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88FF">
      <w:pPr>
        <w:pStyle w:val="14"/>
        <w:spacing w:line="360" w:lineRule="auto"/>
        <w:jc w:val="center"/>
        <w:rPr>
          <w:rFonts w:hint="eastAsia" w:ascii="宋体" w:hAnsi="宋体" w:eastAsia="宋体"/>
          <w:b/>
          <w:bCs/>
          <w:sz w:val="44"/>
          <w:szCs w:val="44"/>
          <w:highlight w:val="none"/>
          <w:lang w:eastAsia="zh-CN"/>
        </w:rPr>
      </w:pPr>
      <w:r>
        <w:rPr>
          <w:rFonts w:hint="eastAsia" w:ascii="宋体" w:hAnsi="宋体"/>
          <w:b/>
          <w:bCs/>
          <w:sz w:val="44"/>
          <w:szCs w:val="44"/>
          <w:highlight w:val="none"/>
          <w:lang w:eastAsia="zh-CN"/>
        </w:rPr>
        <w:t>宜兴市喷涂绿岛项目节能</w:t>
      </w:r>
      <w:r>
        <w:rPr>
          <w:rFonts w:hint="eastAsia" w:ascii="宋体" w:hAnsi="宋体"/>
          <w:b/>
          <w:bCs/>
          <w:sz w:val="44"/>
          <w:szCs w:val="44"/>
          <w:highlight w:val="none"/>
          <w:lang w:val="en-US" w:eastAsia="zh-CN"/>
        </w:rPr>
        <w:t>评估</w:t>
      </w:r>
      <w:r>
        <w:rPr>
          <w:rFonts w:hint="eastAsia" w:ascii="宋体" w:hAnsi="宋体"/>
          <w:b/>
          <w:bCs/>
          <w:sz w:val="44"/>
          <w:szCs w:val="44"/>
          <w:highlight w:val="none"/>
          <w:lang w:eastAsia="zh-CN"/>
        </w:rPr>
        <w:t>服务</w:t>
      </w:r>
    </w:p>
    <w:p w14:paraId="6932DF71">
      <w:pPr>
        <w:pStyle w:val="33"/>
        <w:ind w:firstLine="0" w:firstLineChars="0"/>
        <w:rPr>
          <w:rFonts w:ascii="宋体" w:hAnsi="宋体"/>
          <w:b/>
          <w:bCs/>
          <w:sz w:val="48"/>
          <w:szCs w:val="48"/>
          <w:highlight w:val="none"/>
        </w:rPr>
      </w:pPr>
    </w:p>
    <w:p w14:paraId="165E5E43">
      <w:pPr>
        <w:pStyle w:val="33"/>
        <w:ind w:firstLine="0" w:firstLineChars="0"/>
        <w:rPr>
          <w:rFonts w:ascii="宋体" w:hAnsi="宋体"/>
          <w:b/>
          <w:bCs/>
          <w:sz w:val="48"/>
          <w:szCs w:val="48"/>
          <w:highlight w:val="none"/>
        </w:rPr>
      </w:pPr>
    </w:p>
    <w:p w14:paraId="24CAA1EE">
      <w:pPr>
        <w:spacing w:line="1600" w:lineRule="exact"/>
        <w:jc w:val="center"/>
        <w:rPr>
          <w:rFonts w:ascii="宋体" w:hAnsi="宋体"/>
          <w:b/>
          <w:bCs/>
          <w:sz w:val="112"/>
          <w:szCs w:val="112"/>
          <w:highlight w:val="none"/>
        </w:rPr>
      </w:pPr>
      <w:r>
        <w:rPr>
          <w:rFonts w:hint="eastAsia" w:ascii="宋体" w:hAnsi="宋体"/>
          <w:b/>
          <w:bCs/>
          <w:sz w:val="112"/>
          <w:szCs w:val="112"/>
          <w:highlight w:val="none"/>
        </w:rPr>
        <w:t>招</w:t>
      </w:r>
    </w:p>
    <w:p w14:paraId="09ECEB8A">
      <w:pPr>
        <w:spacing w:line="1600" w:lineRule="exact"/>
        <w:jc w:val="center"/>
        <w:rPr>
          <w:rFonts w:ascii="宋体" w:hAnsi="宋体"/>
          <w:b/>
          <w:bCs/>
          <w:sz w:val="112"/>
          <w:szCs w:val="112"/>
          <w:highlight w:val="none"/>
        </w:rPr>
      </w:pPr>
      <w:r>
        <w:rPr>
          <w:rFonts w:hint="eastAsia" w:ascii="宋体" w:hAnsi="宋体"/>
          <w:b/>
          <w:bCs/>
          <w:sz w:val="112"/>
          <w:szCs w:val="112"/>
          <w:highlight w:val="none"/>
        </w:rPr>
        <w:t>标</w:t>
      </w:r>
    </w:p>
    <w:p w14:paraId="3E1F3A6C">
      <w:pPr>
        <w:spacing w:line="1600" w:lineRule="exact"/>
        <w:jc w:val="center"/>
        <w:rPr>
          <w:rFonts w:ascii="宋体" w:hAnsi="宋体"/>
          <w:b/>
          <w:bCs/>
          <w:sz w:val="112"/>
          <w:szCs w:val="112"/>
          <w:highlight w:val="none"/>
        </w:rPr>
      </w:pPr>
      <w:r>
        <w:rPr>
          <w:rFonts w:hint="eastAsia" w:ascii="宋体" w:hAnsi="宋体"/>
          <w:b/>
          <w:bCs/>
          <w:sz w:val="112"/>
          <w:szCs w:val="112"/>
          <w:highlight w:val="none"/>
        </w:rPr>
        <w:t>文</w:t>
      </w:r>
    </w:p>
    <w:p w14:paraId="6FCCBB1D">
      <w:pPr>
        <w:spacing w:line="1600" w:lineRule="exact"/>
        <w:jc w:val="center"/>
        <w:rPr>
          <w:rFonts w:ascii="宋体" w:hAnsi="宋体"/>
          <w:b/>
          <w:bCs/>
          <w:sz w:val="112"/>
          <w:szCs w:val="112"/>
          <w:highlight w:val="none"/>
        </w:rPr>
      </w:pPr>
      <w:r>
        <w:rPr>
          <w:rFonts w:hint="eastAsia" w:ascii="宋体" w:hAnsi="宋体"/>
          <w:b/>
          <w:bCs/>
          <w:sz w:val="112"/>
          <w:szCs w:val="112"/>
          <w:highlight w:val="none"/>
        </w:rPr>
        <w:t>件</w:t>
      </w:r>
    </w:p>
    <w:p w14:paraId="5BEF2ABA">
      <w:pPr>
        <w:pStyle w:val="33"/>
        <w:ind w:firstLine="0" w:firstLineChars="0"/>
        <w:rPr>
          <w:rFonts w:ascii="宋体" w:hAnsi="宋体"/>
          <w:sz w:val="28"/>
          <w:szCs w:val="24"/>
          <w:highlight w:val="none"/>
        </w:rPr>
      </w:pPr>
    </w:p>
    <w:p w14:paraId="066C741E">
      <w:pPr>
        <w:pStyle w:val="33"/>
        <w:ind w:firstLine="0" w:firstLineChars="0"/>
        <w:rPr>
          <w:rFonts w:ascii="宋体" w:hAnsi="宋体"/>
          <w:sz w:val="28"/>
          <w:szCs w:val="24"/>
          <w:highlight w:val="none"/>
        </w:rPr>
      </w:pPr>
    </w:p>
    <w:p w14:paraId="7755105B">
      <w:pPr>
        <w:pStyle w:val="33"/>
        <w:ind w:firstLine="280"/>
        <w:rPr>
          <w:rFonts w:ascii="宋体" w:hAnsi="宋体"/>
          <w:sz w:val="28"/>
          <w:szCs w:val="24"/>
          <w:highlight w:val="none"/>
        </w:rPr>
      </w:pPr>
    </w:p>
    <w:p w14:paraId="212C0278">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项目编号：</w:t>
      </w:r>
      <w:r>
        <w:rPr>
          <w:rFonts w:hint="eastAsia" w:ascii="宋体" w:hAnsi="宋体"/>
          <w:sz w:val="32"/>
          <w:szCs w:val="28"/>
          <w:highlight w:val="none"/>
          <w:lang w:eastAsia="zh-CN"/>
        </w:rPr>
        <w:t>YXGYJT202601009</w:t>
      </w:r>
    </w:p>
    <w:p w14:paraId="1AC93FD5">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采购人：</w:t>
      </w:r>
      <w:r>
        <w:rPr>
          <w:rFonts w:hint="eastAsia" w:ascii="宋体" w:hAnsi="宋体"/>
          <w:sz w:val="32"/>
          <w:szCs w:val="28"/>
          <w:highlight w:val="none"/>
          <w:lang w:eastAsia="zh-CN"/>
        </w:rPr>
        <w:t>宜兴市宜蓝环境科技有限公司</w:t>
      </w:r>
    </w:p>
    <w:p w14:paraId="77C1F301">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项目名称：</w:t>
      </w:r>
      <w:r>
        <w:rPr>
          <w:rFonts w:hint="eastAsia" w:ascii="宋体" w:hAnsi="宋体"/>
          <w:sz w:val="32"/>
          <w:szCs w:val="28"/>
          <w:highlight w:val="none"/>
          <w:lang w:eastAsia="zh-CN"/>
        </w:rPr>
        <w:t>宜兴市喷涂绿岛项目节能评估服务</w:t>
      </w:r>
    </w:p>
    <w:p w14:paraId="694D7768">
      <w:pPr>
        <w:spacing w:line="360" w:lineRule="auto"/>
        <w:jc w:val="center"/>
        <w:rPr>
          <w:rFonts w:ascii="宋体" w:hAnsi="宋体"/>
          <w:sz w:val="32"/>
          <w:szCs w:val="28"/>
          <w:highlight w:val="none"/>
        </w:rPr>
      </w:pPr>
      <w:r>
        <w:rPr>
          <w:rFonts w:hint="eastAsia" w:ascii="宋体" w:hAnsi="宋体"/>
          <w:sz w:val="32"/>
          <w:szCs w:val="28"/>
          <w:highlight w:val="none"/>
        </w:rPr>
        <w:t>代理机构：江苏鸿成工程项目管理有限公司</w:t>
      </w:r>
    </w:p>
    <w:p w14:paraId="2547A5D0">
      <w:pPr>
        <w:spacing w:line="360" w:lineRule="auto"/>
        <w:jc w:val="center"/>
        <w:rPr>
          <w:rFonts w:ascii="宋体" w:hAnsi="宋体"/>
          <w:sz w:val="32"/>
          <w:szCs w:val="28"/>
          <w:highlight w:val="none"/>
        </w:rPr>
      </w:pPr>
      <w:r>
        <w:rPr>
          <w:rFonts w:hint="eastAsia" w:ascii="宋体" w:hAnsi="宋体"/>
          <w:sz w:val="32"/>
          <w:szCs w:val="28"/>
          <w:highlight w:val="none"/>
        </w:rPr>
        <w:t>二〇二</w:t>
      </w:r>
      <w:r>
        <w:rPr>
          <w:rFonts w:hint="eastAsia" w:ascii="宋体" w:hAnsi="宋体"/>
          <w:sz w:val="32"/>
          <w:szCs w:val="28"/>
          <w:highlight w:val="none"/>
          <w:lang w:val="en-US" w:eastAsia="zh-CN"/>
        </w:rPr>
        <w:t>六</w:t>
      </w:r>
      <w:r>
        <w:rPr>
          <w:rFonts w:hint="eastAsia" w:ascii="宋体" w:hAnsi="宋体"/>
          <w:sz w:val="32"/>
          <w:szCs w:val="28"/>
          <w:highlight w:val="none"/>
        </w:rPr>
        <w:t>年</w:t>
      </w:r>
      <w:r>
        <w:rPr>
          <w:rFonts w:hint="eastAsia" w:ascii="宋体" w:hAnsi="宋体"/>
          <w:sz w:val="32"/>
          <w:szCs w:val="28"/>
          <w:highlight w:val="none"/>
          <w:lang w:val="en-US" w:eastAsia="zh-CN"/>
        </w:rPr>
        <w:t>一</w:t>
      </w:r>
      <w:r>
        <w:rPr>
          <w:rFonts w:hint="eastAsia" w:ascii="宋体" w:hAnsi="宋体"/>
          <w:sz w:val="32"/>
          <w:szCs w:val="28"/>
          <w:highlight w:val="none"/>
        </w:rPr>
        <w:t>月</w:t>
      </w:r>
    </w:p>
    <w:p w14:paraId="6C48BA16">
      <w:pPr>
        <w:spacing w:line="360" w:lineRule="auto"/>
        <w:rPr>
          <w:rStyle w:val="41"/>
          <w:rFonts w:ascii="宋体" w:hAnsi="宋体"/>
          <w:szCs w:val="24"/>
          <w:highlight w:val="none"/>
        </w:rPr>
        <w:sectPr>
          <w:footerReference r:id="rId4" w:type="first"/>
          <w:footerReference r:id="rId3" w:type="default"/>
          <w:pgSz w:w="11906" w:h="16838"/>
          <w:pgMar w:top="1134" w:right="1134" w:bottom="1134" w:left="1134" w:header="851" w:footer="992" w:gutter="0"/>
          <w:pgNumType w:fmt="numberInDash" w:start="1"/>
          <w:cols w:space="720" w:num="1"/>
          <w:docGrid w:linePitch="312" w:charSpace="0"/>
        </w:sectPr>
      </w:pPr>
      <w:r>
        <w:rPr>
          <w:rFonts w:ascii="宋体" w:hAnsi="宋体"/>
          <w:sz w:val="24"/>
          <w:szCs w:val="24"/>
          <w:highlight w:val="none"/>
        </w:rPr>
        <w:t xml:space="preserve">                                                                        </w:t>
      </w:r>
    </w:p>
    <w:p w14:paraId="1F2100E0">
      <w:pPr>
        <w:spacing w:line="360" w:lineRule="auto"/>
        <w:jc w:val="center"/>
        <w:rPr>
          <w:rFonts w:ascii="宋体" w:hAnsi="宋体"/>
          <w:b/>
          <w:sz w:val="28"/>
          <w:szCs w:val="24"/>
          <w:highlight w:val="none"/>
          <w:lang w:val="zh-CN"/>
        </w:rPr>
      </w:pPr>
      <w:bookmarkStart w:id="0" w:name="_Toc30211"/>
      <w:bookmarkStart w:id="1" w:name="_Toc109650244"/>
    </w:p>
    <w:p w14:paraId="2A053CBB">
      <w:pPr>
        <w:spacing w:line="360" w:lineRule="auto"/>
        <w:jc w:val="center"/>
        <w:rPr>
          <w:rFonts w:ascii="宋体" w:hAnsi="宋体"/>
          <w:b/>
          <w:sz w:val="28"/>
          <w:szCs w:val="24"/>
          <w:highlight w:val="none"/>
        </w:rPr>
      </w:pPr>
      <w:r>
        <w:rPr>
          <w:rFonts w:hint="eastAsia" w:ascii="宋体" w:hAnsi="宋体"/>
          <w:b/>
          <w:sz w:val="28"/>
          <w:szCs w:val="24"/>
          <w:highlight w:val="none"/>
          <w:lang w:val="zh-CN"/>
        </w:rPr>
        <w:t>目  录</w:t>
      </w:r>
    </w:p>
    <w:p w14:paraId="3B65B291">
      <w:pPr>
        <w:pStyle w:val="25"/>
        <w:tabs>
          <w:tab w:val="right" w:leader="dot" w:pos="9628"/>
        </w:tabs>
        <w:spacing w:line="360" w:lineRule="auto"/>
        <w:rPr>
          <w:rFonts w:asciiTheme="minorHAnsi" w:hAnsiTheme="minorHAnsi" w:eastAsiaTheme="minorEastAsia" w:cstheme="minorBidi"/>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"_Toc167975509" </w:instrText>
      </w:r>
      <w:r>
        <w:rPr>
          <w:highlight w:val="none"/>
        </w:rPr>
        <w:fldChar w:fldCharType="separate"/>
      </w:r>
      <w:r>
        <w:rPr>
          <w:rStyle w:val="43"/>
          <w:rFonts w:hint="eastAsia" w:ascii="宋体" w:hAnsi="宋体"/>
          <w:b/>
          <w:sz w:val="28"/>
          <w:szCs w:val="28"/>
          <w:highlight w:val="none"/>
        </w:rPr>
        <w:t>第一章</w:t>
      </w:r>
      <w:r>
        <w:rPr>
          <w:rStyle w:val="43"/>
          <w:rFonts w:ascii="宋体" w:hAnsi="宋体"/>
          <w:b/>
          <w:sz w:val="28"/>
          <w:szCs w:val="28"/>
          <w:highlight w:val="none"/>
        </w:rPr>
        <w:t xml:space="preserve"> </w:t>
      </w:r>
      <w:r>
        <w:rPr>
          <w:rStyle w:val="43"/>
          <w:rFonts w:hint="eastAsia" w:ascii="宋体" w:hAnsi="宋体"/>
          <w:b/>
          <w:sz w:val="28"/>
          <w:szCs w:val="28"/>
          <w:highlight w:val="none"/>
        </w:rPr>
        <w:t>投标邀请函</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2DBCD58C">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"_Toc167975510" </w:instrText>
      </w:r>
      <w:r>
        <w:rPr>
          <w:highlight w:val="none"/>
        </w:rPr>
        <w:fldChar w:fldCharType="separate"/>
      </w:r>
      <w:r>
        <w:rPr>
          <w:rStyle w:val="43"/>
          <w:rFonts w:hint="eastAsia" w:ascii="宋体" w:hAnsi="宋体"/>
          <w:b/>
          <w:sz w:val="28"/>
          <w:szCs w:val="28"/>
          <w:highlight w:val="none"/>
        </w:rPr>
        <w:t>第二章</w:t>
      </w:r>
      <w:r>
        <w:rPr>
          <w:rStyle w:val="43"/>
          <w:rFonts w:ascii="宋体" w:hAnsi="宋体"/>
          <w:b/>
          <w:sz w:val="28"/>
          <w:szCs w:val="28"/>
          <w:highlight w:val="none"/>
        </w:rPr>
        <w:t xml:space="preserve"> </w:t>
      </w:r>
      <w:r>
        <w:rPr>
          <w:rStyle w:val="43"/>
          <w:rFonts w:hint="eastAsia" w:ascii="宋体" w:hAnsi="宋体"/>
          <w:b/>
          <w:sz w:val="28"/>
          <w:szCs w:val="28"/>
          <w:highlight w:val="none"/>
        </w:rPr>
        <w:t>供应商须知</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416D0D88">
      <w:pPr>
        <w:pStyle w:val="25"/>
        <w:tabs>
          <w:tab w:val="right" w:leader="dot" w:pos="9628"/>
        </w:tabs>
        <w:spacing w:line="360" w:lineRule="auto"/>
        <w:rPr>
          <w:rStyle w:val="43"/>
          <w:rFonts w:ascii="宋体" w:hAnsi="宋体"/>
          <w:b/>
          <w:sz w:val="28"/>
          <w:szCs w:val="28"/>
          <w:highlight w:val="none"/>
        </w:rPr>
      </w:pPr>
      <w:r>
        <w:rPr>
          <w:highlight w:val="none"/>
        </w:rPr>
        <w:fldChar w:fldCharType="begin"/>
      </w:r>
      <w:r>
        <w:rPr>
          <w:highlight w:val="none"/>
        </w:rPr>
        <w:instrText xml:space="preserve"> HYPERLINK \l "_Toc167975511" </w:instrText>
      </w:r>
      <w:r>
        <w:rPr>
          <w:highlight w:val="none"/>
        </w:rPr>
        <w:fldChar w:fldCharType="separate"/>
      </w:r>
      <w:r>
        <w:rPr>
          <w:rStyle w:val="43"/>
          <w:rFonts w:hint="eastAsia" w:ascii="宋体" w:hAnsi="宋体"/>
          <w:b/>
          <w:sz w:val="28"/>
          <w:szCs w:val="28"/>
          <w:highlight w:val="none"/>
        </w:rPr>
        <w:t>第三章</w:t>
      </w:r>
      <w:r>
        <w:rPr>
          <w:rStyle w:val="43"/>
          <w:rFonts w:ascii="宋体" w:hAnsi="宋体"/>
          <w:b/>
          <w:sz w:val="28"/>
          <w:szCs w:val="28"/>
          <w:highlight w:val="none"/>
        </w:rPr>
        <w:t xml:space="preserve"> </w:t>
      </w:r>
      <w:r>
        <w:rPr>
          <w:rStyle w:val="43"/>
          <w:rFonts w:hint="eastAsia" w:ascii="宋体" w:hAnsi="宋体"/>
          <w:b/>
          <w:sz w:val="28"/>
          <w:szCs w:val="28"/>
          <w:highlight w:val="none"/>
        </w:rPr>
        <w:t>评标方法和标准</w:t>
      </w:r>
      <w:r>
        <w:rPr>
          <w:sz w:val="28"/>
          <w:szCs w:val="28"/>
          <w:highlight w:val="none"/>
        </w:rPr>
        <w:tab/>
      </w:r>
    </w:p>
    <w:p w14:paraId="3C7007D6">
      <w:pPr>
        <w:pStyle w:val="25"/>
        <w:tabs>
          <w:tab w:val="right" w:leader="dot" w:pos="9628"/>
        </w:tabs>
        <w:spacing w:line="360" w:lineRule="auto"/>
        <w:rPr>
          <w:rFonts w:asciiTheme="minorHAnsi" w:hAnsiTheme="minorHAnsi" w:eastAsiaTheme="minorEastAsia" w:cstheme="minorBidi"/>
          <w:sz w:val="28"/>
          <w:szCs w:val="28"/>
          <w:highlight w:val="none"/>
        </w:rPr>
      </w:pPr>
      <w:r>
        <w:rPr>
          <w:rStyle w:val="43"/>
          <w:rFonts w:hint="eastAsia" w:ascii="宋体" w:hAnsi="宋体"/>
          <w:b/>
          <w:sz w:val="28"/>
          <w:szCs w:val="28"/>
          <w:highlight w:val="none"/>
        </w:rPr>
        <w:t>第四章 项目技术要求和有关说明</w:t>
      </w:r>
      <w:r>
        <w:rPr>
          <w:sz w:val="28"/>
          <w:szCs w:val="28"/>
          <w:highlight w:val="none"/>
        </w:rPr>
        <w:tab/>
      </w:r>
      <w:r>
        <w:rPr>
          <w:rFonts w:hint="eastAsia"/>
          <w:sz w:val="28"/>
          <w:szCs w:val="28"/>
          <w:highlight w:val="none"/>
        </w:rPr>
        <w:t xml:space="preserve"> </w:t>
      </w:r>
      <w:r>
        <w:rPr>
          <w:sz w:val="28"/>
          <w:szCs w:val="28"/>
          <w:highlight w:val="none"/>
        </w:rPr>
        <w:fldChar w:fldCharType="end"/>
      </w:r>
    </w:p>
    <w:p w14:paraId="4016F506">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"_Toc167975513" </w:instrText>
      </w:r>
      <w:r>
        <w:rPr>
          <w:highlight w:val="none"/>
        </w:rPr>
        <w:fldChar w:fldCharType="separate"/>
      </w:r>
      <w:r>
        <w:rPr>
          <w:rStyle w:val="43"/>
          <w:rFonts w:hint="eastAsia" w:ascii="宋体" w:hAnsi="宋体"/>
          <w:b/>
          <w:sz w:val="28"/>
          <w:szCs w:val="28"/>
          <w:highlight w:val="none"/>
        </w:rPr>
        <w:t>第五章</w:t>
      </w:r>
      <w:r>
        <w:rPr>
          <w:rStyle w:val="43"/>
          <w:rFonts w:ascii="宋体" w:hAnsi="宋体"/>
          <w:b/>
          <w:sz w:val="28"/>
          <w:szCs w:val="28"/>
          <w:highlight w:val="none"/>
        </w:rPr>
        <w:t xml:space="preserve"> </w:t>
      </w:r>
      <w:r>
        <w:rPr>
          <w:rStyle w:val="43"/>
          <w:rFonts w:hint="eastAsia" w:ascii="宋体" w:hAnsi="宋体"/>
          <w:b/>
          <w:sz w:val="28"/>
          <w:szCs w:val="28"/>
          <w:highlight w:val="none"/>
        </w:rPr>
        <w:t>采购合同（格式文本）</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716E01D7">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"_Toc167975514" </w:instrText>
      </w:r>
      <w:r>
        <w:rPr>
          <w:highlight w:val="none"/>
        </w:rPr>
        <w:fldChar w:fldCharType="separate"/>
      </w:r>
      <w:r>
        <w:rPr>
          <w:rStyle w:val="43"/>
          <w:rFonts w:hint="eastAsia" w:ascii="宋体" w:hAnsi="宋体"/>
          <w:b/>
          <w:sz w:val="28"/>
          <w:szCs w:val="28"/>
          <w:highlight w:val="none"/>
        </w:rPr>
        <w:t>第六章</w:t>
      </w:r>
      <w:r>
        <w:rPr>
          <w:rStyle w:val="43"/>
          <w:rFonts w:ascii="宋体" w:hAnsi="宋体"/>
          <w:b/>
          <w:sz w:val="28"/>
          <w:szCs w:val="28"/>
          <w:highlight w:val="none"/>
        </w:rPr>
        <w:t xml:space="preserve"> </w:t>
      </w:r>
      <w:r>
        <w:rPr>
          <w:rStyle w:val="43"/>
          <w:rFonts w:hint="eastAsia" w:ascii="宋体" w:hAnsi="宋体"/>
          <w:b/>
          <w:sz w:val="28"/>
          <w:szCs w:val="28"/>
          <w:highlight w:val="none"/>
        </w:rPr>
        <w:t>投标文件（格式文件）</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3C83881E">
      <w:pPr>
        <w:spacing w:line="360" w:lineRule="auto"/>
        <w:rPr>
          <w:rFonts w:ascii="宋体" w:hAnsi="宋体"/>
          <w:sz w:val="28"/>
          <w:szCs w:val="28"/>
          <w:highlight w:val="none"/>
        </w:rPr>
      </w:pPr>
      <w:r>
        <w:rPr>
          <w:rFonts w:ascii="宋体" w:hAnsi="宋体"/>
          <w:b/>
          <w:bCs/>
          <w:sz w:val="28"/>
          <w:szCs w:val="28"/>
          <w:highlight w:val="none"/>
          <w:lang w:val="zh-CN"/>
        </w:rPr>
        <w:fldChar w:fldCharType="end"/>
      </w:r>
    </w:p>
    <w:p w14:paraId="10BD3CCE">
      <w:pPr>
        <w:spacing w:line="360" w:lineRule="auto"/>
        <w:jc w:val="center"/>
        <w:outlineLvl w:val="0"/>
        <w:rPr>
          <w:rFonts w:ascii="宋体" w:hAnsi="宋体"/>
          <w:b/>
          <w:sz w:val="24"/>
          <w:szCs w:val="24"/>
          <w:highlight w:val="none"/>
        </w:rPr>
        <w:sectPr>
          <w:headerReference r:id="rId5" w:type="default"/>
          <w:footerReference r:id="rId6" w:type="default"/>
          <w:pgSz w:w="11906" w:h="16838"/>
          <w:pgMar w:top="1134" w:right="1134" w:bottom="1134" w:left="1134" w:header="567" w:footer="850" w:gutter="0"/>
          <w:pgNumType w:fmt="numberInDash" w:start="1"/>
          <w:cols w:space="720" w:num="1"/>
          <w:docGrid w:linePitch="312" w:charSpace="0"/>
        </w:sectPr>
      </w:pPr>
    </w:p>
    <w:p w14:paraId="0870E2C1">
      <w:pPr>
        <w:spacing w:line="360" w:lineRule="auto"/>
        <w:jc w:val="center"/>
        <w:outlineLvl w:val="0"/>
        <w:rPr>
          <w:rFonts w:ascii="宋体" w:hAnsi="宋体"/>
          <w:b/>
          <w:sz w:val="24"/>
          <w:szCs w:val="24"/>
          <w:highlight w:val="none"/>
        </w:rPr>
      </w:pPr>
      <w:bookmarkStart w:id="2" w:name="_Toc167975509"/>
      <w:bookmarkStart w:id="3" w:name="_Toc109652648"/>
      <w:bookmarkStart w:id="4" w:name="_Toc109652600"/>
      <w:r>
        <w:rPr>
          <w:rFonts w:hint="eastAsia" w:ascii="宋体" w:hAnsi="宋体"/>
          <w:b/>
          <w:sz w:val="24"/>
          <w:szCs w:val="24"/>
          <w:highlight w:val="none"/>
        </w:rPr>
        <w:t>第一章</w:t>
      </w:r>
      <w:r>
        <w:rPr>
          <w:rFonts w:ascii="宋体" w:hAnsi="宋体"/>
          <w:b/>
          <w:sz w:val="24"/>
          <w:szCs w:val="24"/>
          <w:highlight w:val="none"/>
        </w:rPr>
        <w:t xml:space="preserve"> </w:t>
      </w:r>
      <w:r>
        <w:rPr>
          <w:rFonts w:hint="eastAsia" w:ascii="宋体" w:hAnsi="宋体"/>
          <w:b/>
          <w:sz w:val="24"/>
          <w:szCs w:val="24"/>
          <w:highlight w:val="none"/>
        </w:rPr>
        <w:t>投标邀请函</w:t>
      </w:r>
      <w:bookmarkEnd w:id="0"/>
      <w:bookmarkEnd w:id="1"/>
      <w:bookmarkEnd w:id="2"/>
      <w:bookmarkEnd w:id="3"/>
      <w:bookmarkEnd w:id="4"/>
    </w:p>
    <w:p w14:paraId="273BA61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lang w:eastAsia="zh-CN"/>
        </w:rPr>
        <w:t>宜兴市宜蓝环境科技有限公司</w:t>
      </w:r>
      <w:r>
        <w:rPr>
          <w:rFonts w:hint="eastAsia" w:ascii="宋体" w:hAnsi="宋体"/>
          <w:bCs/>
          <w:sz w:val="24"/>
          <w:szCs w:val="24"/>
          <w:highlight w:val="none"/>
        </w:rPr>
        <w:t>对</w:t>
      </w:r>
      <w:r>
        <w:rPr>
          <w:rFonts w:hint="eastAsia" w:ascii="宋体" w:hAnsi="宋体"/>
          <w:bCs/>
          <w:sz w:val="24"/>
          <w:szCs w:val="24"/>
          <w:highlight w:val="none"/>
          <w:lang w:eastAsia="zh-CN"/>
        </w:rPr>
        <w:t>宜兴市喷涂绿岛项目节能评估服务</w:t>
      </w:r>
      <w:r>
        <w:rPr>
          <w:rFonts w:hint="eastAsia" w:ascii="宋体" w:hAnsi="宋体"/>
          <w:bCs/>
          <w:sz w:val="24"/>
          <w:szCs w:val="24"/>
          <w:highlight w:val="none"/>
        </w:rPr>
        <w:t>组织公开招标，欢迎你单位参加投标并提请注意下列附表中的相关事项：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6624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3F278188">
            <w:pPr>
              <w:snapToGrid w:val="0"/>
              <w:spacing w:line="400" w:lineRule="exact"/>
              <w:jc w:val="center"/>
              <w:rPr>
                <w:rFonts w:asciiTheme="minorEastAsia" w:hAnsiTheme="minorEastAsia" w:eastAsiaTheme="minorEastAsia"/>
                <w:bCs/>
                <w:sz w:val="24"/>
                <w:szCs w:val="24"/>
                <w:highlight w:val="none"/>
              </w:rPr>
            </w:pPr>
            <w:bookmarkStart w:id="5" w:name="_Toc29543"/>
            <w:r>
              <w:rPr>
                <w:rFonts w:hint="eastAsia" w:asciiTheme="minorEastAsia" w:hAnsiTheme="minorEastAsia" w:eastAsiaTheme="minorEastAsia"/>
                <w:bCs/>
                <w:sz w:val="24"/>
                <w:szCs w:val="24"/>
                <w:highlight w:val="none"/>
              </w:rPr>
              <w:t>序号</w:t>
            </w:r>
          </w:p>
        </w:tc>
        <w:tc>
          <w:tcPr>
            <w:tcW w:w="8979" w:type="dxa"/>
            <w:gridSpan w:val="4"/>
          </w:tcPr>
          <w:p w14:paraId="7E72ABF5">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内容</w:t>
            </w:r>
          </w:p>
        </w:tc>
      </w:tr>
      <w:tr w14:paraId="583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2378023B">
            <w:pPr>
              <w:snapToGrid w:val="0"/>
              <w:spacing w:line="400" w:lineRule="exact"/>
              <w:jc w:val="center"/>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1</w:t>
            </w:r>
          </w:p>
        </w:tc>
        <w:tc>
          <w:tcPr>
            <w:tcW w:w="8979" w:type="dxa"/>
            <w:gridSpan w:val="4"/>
          </w:tcPr>
          <w:p w14:paraId="3FDED480">
            <w:pPr>
              <w:snapToGrid w:val="0"/>
              <w:spacing w:line="400" w:lineRule="exact"/>
              <w:jc w:val="left"/>
              <w:rPr>
                <w:rFonts w:hint="eastAsia" w:asciiTheme="minorEastAsia" w:hAnsiTheme="minorEastAsia" w:eastAsiaTheme="minorEastAsia"/>
                <w:bCs/>
                <w:sz w:val="24"/>
                <w:szCs w:val="24"/>
                <w:highlight w:val="none"/>
                <w:lang w:eastAsia="zh-CN"/>
              </w:rPr>
            </w:pPr>
            <w:bookmarkStart w:id="6" w:name="OLE_LINK192"/>
            <w:r>
              <w:rPr>
                <w:rFonts w:hint="eastAsia" w:asciiTheme="minorEastAsia" w:hAnsiTheme="minorEastAsia" w:eastAsiaTheme="minorEastAsia"/>
                <w:bCs/>
                <w:sz w:val="24"/>
                <w:szCs w:val="24"/>
                <w:highlight w:val="none"/>
              </w:rPr>
              <w:t>采购人：</w:t>
            </w:r>
            <w:r>
              <w:rPr>
                <w:rFonts w:hint="eastAsia" w:ascii="宋体" w:hAnsi="宋体" w:eastAsiaTheme="minorEastAsia"/>
                <w:bCs/>
                <w:sz w:val="24"/>
                <w:szCs w:val="24"/>
                <w:highlight w:val="none"/>
                <w:lang w:eastAsia="zh-CN"/>
              </w:rPr>
              <w:t>宜兴市宜蓝环境科技有限公司</w:t>
            </w:r>
          </w:p>
          <w:p w14:paraId="7DFF80B8">
            <w:pPr>
              <w:snapToGrid w:val="0"/>
              <w:spacing w:line="400" w:lineRule="exact"/>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项目编号：</w:t>
            </w:r>
            <w:r>
              <w:rPr>
                <w:rFonts w:hint="eastAsia" w:ascii="宋体" w:hAnsi="宋体" w:eastAsiaTheme="minorEastAsia"/>
                <w:bCs/>
                <w:sz w:val="24"/>
                <w:szCs w:val="24"/>
                <w:highlight w:val="none"/>
                <w:lang w:eastAsia="zh-CN"/>
              </w:rPr>
              <w:t>YXGYJT202601009</w:t>
            </w:r>
          </w:p>
          <w:p w14:paraId="19734D61">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采购代理机构：江苏鸿成工程项目管理有限公司</w:t>
            </w:r>
          </w:p>
          <w:p w14:paraId="158AC2A6">
            <w:pPr>
              <w:snapToGrid w:val="0"/>
              <w:spacing w:line="400" w:lineRule="exact"/>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项目名称：</w:t>
            </w:r>
            <w:r>
              <w:rPr>
                <w:rFonts w:hint="eastAsia" w:asciiTheme="minorEastAsia" w:hAnsiTheme="minorEastAsia" w:eastAsiaTheme="minorEastAsia"/>
                <w:bCs/>
                <w:sz w:val="24"/>
                <w:szCs w:val="24"/>
                <w:highlight w:val="none"/>
                <w:lang w:eastAsia="zh-CN"/>
              </w:rPr>
              <w:t>宜兴市喷涂绿岛项目节能评估服务</w:t>
            </w:r>
          </w:p>
          <w:p w14:paraId="7F282A65">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宋体" w:hAnsi="宋体" w:cs="宋体"/>
                <w:sz w:val="24"/>
                <w:szCs w:val="24"/>
                <w:highlight w:val="none"/>
              </w:rPr>
              <w:t>集团网站公开招标（代理）</w:t>
            </w:r>
            <w:r>
              <w:rPr>
                <w:rFonts w:hint="eastAsia" w:ascii="宋体" w:hAnsi="宋体"/>
                <w:bCs/>
                <w:sz w:val="24"/>
                <w:szCs w:val="24"/>
                <w:highlight w:val="none"/>
              </w:rPr>
              <w:t xml:space="preserve"> </w:t>
            </w:r>
          </w:p>
          <w:p w14:paraId="3071E056">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评标方法：综合评分法</w:t>
            </w:r>
          </w:p>
          <w:bookmarkEnd w:id="6"/>
          <w:p w14:paraId="5E73FF8B">
            <w:pPr>
              <w:snapToGrid w:val="0"/>
              <w:spacing w:line="400" w:lineRule="exact"/>
              <w:jc w:val="left"/>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lang w:val="en-US" w:eastAsia="zh-CN"/>
              </w:rPr>
              <w:t>9</w:t>
            </w:r>
            <w:r>
              <w:rPr>
                <w:rFonts w:hint="eastAsia" w:asciiTheme="minorEastAsia" w:hAnsiTheme="minorEastAsia" w:eastAsiaTheme="minorEastAsia"/>
                <w:bCs/>
                <w:sz w:val="24"/>
                <w:szCs w:val="24"/>
                <w:highlight w:val="none"/>
              </w:rPr>
              <w:t>万元</w:t>
            </w:r>
          </w:p>
        </w:tc>
      </w:tr>
      <w:tr w14:paraId="62B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7435D3B3">
            <w:pPr>
              <w:snapToGrid w:val="0"/>
              <w:spacing w:line="400" w:lineRule="exact"/>
              <w:jc w:val="center"/>
              <w:rPr>
                <w:rFonts w:asciiTheme="minorEastAsia" w:hAnsiTheme="minorEastAsia" w:eastAsiaTheme="minorEastAsia"/>
                <w:bCs/>
                <w:sz w:val="24"/>
                <w:szCs w:val="24"/>
                <w:highlight w:val="none"/>
              </w:rPr>
            </w:pPr>
            <w:bookmarkStart w:id="7" w:name="OLE_LINK61" w:colFirst="1" w:colLast="1"/>
            <w:r>
              <w:rPr>
                <w:rFonts w:asciiTheme="minorEastAsia" w:hAnsiTheme="minorEastAsia" w:eastAsiaTheme="minorEastAsia"/>
                <w:bCs/>
                <w:sz w:val="24"/>
                <w:szCs w:val="24"/>
                <w:highlight w:val="none"/>
              </w:rPr>
              <w:t>2</w:t>
            </w:r>
          </w:p>
        </w:tc>
        <w:tc>
          <w:tcPr>
            <w:tcW w:w="516" w:type="dxa"/>
            <w:vMerge w:val="restart"/>
            <w:vAlign w:val="center"/>
          </w:tcPr>
          <w:p w14:paraId="6EB286F5">
            <w:pPr>
              <w:pStyle w:val="148"/>
              <w:snapToGrid w:val="0"/>
              <w:spacing w:line="400" w:lineRule="exact"/>
              <w:jc w:val="center"/>
              <w:rPr>
                <w:rFonts w:asciiTheme="minorEastAsia" w:hAnsiTheme="minorEastAsia" w:eastAsiaTheme="minorEastAsia"/>
                <w:szCs w:val="24"/>
                <w:highlight w:val="none"/>
              </w:rPr>
            </w:pPr>
            <w:bookmarkStart w:id="8" w:name="OLE_LINK208"/>
            <w:r>
              <w:rPr>
                <w:rFonts w:hint="eastAsia" w:asciiTheme="minorEastAsia" w:hAnsiTheme="minorEastAsia" w:eastAsiaTheme="minorEastAsia"/>
                <w:b/>
                <w:bCs/>
                <w:szCs w:val="24"/>
                <w:highlight w:val="none"/>
                <w:lang w:val="zh-CN"/>
              </w:rPr>
              <w:t>资格审查</w:t>
            </w:r>
            <w:bookmarkEnd w:id="8"/>
          </w:p>
        </w:tc>
        <w:tc>
          <w:tcPr>
            <w:tcW w:w="8463" w:type="dxa"/>
            <w:gridSpan w:val="3"/>
          </w:tcPr>
          <w:p w14:paraId="4A44DF9B">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2.1供应商参加本次采购活动应具备下列资格条件：</w:t>
            </w:r>
          </w:p>
          <w:p w14:paraId="13B47D09">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①具有独立承担民事责任的能力；</w:t>
            </w:r>
          </w:p>
          <w:p w14:paraId="4E48A7CC">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②具有良好的商业信誉和健全的财务会计制度；</w:t>
            </w:r>
          </w:p>
          <w:p w14:paraId="19687B09">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③有依法缴纳税收和社会保障资金的良好记录；</w:t>
            </w:r>
          </w:p>
          <w:p w14:paraId="754F1C45">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④具有履行合同所必需的设备和专业技术能力；</w:t>
            </w:r>
          </w:p>
          <w:p w14:paraId="4E2D4817">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⑤不接受联合体，不接受中标后分包；</w:t>
            </w:r>
          </w:p>
          <w:p w14:paraId="2607834E">
            <w:pPr>
              <w:pStyle w:val="148"/>
              <w:rPr>
                <w:highlight w:val="none"/>
                <w:lang w:val="zh-CN"/>
              </w:rPr>
            </w:pPr>
            <w:r>
              <w:rPr>
                <w:rFonts w:hint="eastAsia" w:asciiTheme="minorEastAsia" w:hAnsiTheme="minorEastAsia" w:eastAsiaTheme="minorEastAsia"/>
                <w:szCs w:val="24"/>
                <w:highlight w:val="none"/>
                <w:lang w:val="zh-CN"/>
              </w:rPr>
              <w:t>⑥</w:t>
            </w:r>
            <w:r>
              <w:rPr>
                <w:rFonts w:hint="eastAsia"/>
                <w:highlight w:val="none"/>
                <w:lang w:val="zh-CN"/>
              </w:rPr>
              <w:t>良好的信用记录</w:t>
            </w:r>
            <w:r>
              <w:rPr>
                <w:rFonts w:hint="eastAsia"/>
                <w:highlight w:val="none"/>
              </w:rPr>
              <w:t>：</w:t>
            </w:r>
            <w:r>
              <w:rPr>
                <w:rFonts w:hint="eastAsia"/>
                <w:highlight w:val="none"/>
                <w:lang w:val="zh-CN"/>
              </w:rPr>
              <w:t>投标截止时间之前</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信用中国</w:t>
            </w:r>
            <w:r>
              <w:rPr>
                <w:rFonts w:hint="eastAsia"/>
                <w:highlight w:val="none"/>
              </w:rPr>
              <w:t>”</w:t>
            </w:r>
            <w:r>
              <w:rPr>
                <w:rFonts w:hint="eastAsia"/>
                <w:highlight w:val="none"/>
                <w:lang w:val="zh-CN"/>
              </w:rPr>
              <w:t>网站</w:t>
            </w:r>
            <w:r>
              <w:rPr>
                <w:rFonts w:hint="eastAsia"/>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highlight w:val="none"/>
              </w:rPr>
              <w:t>）</w:t>
            </w:r>
            <w:r>
              <w:rPr>
                <w:rFonts w:hint="eastAsia"/>
                <w:highlight w:val="none"/>
                <w:lang w:val="zh-CN"/>
              </w:rPr>
              <w:t>列入失信被执行人、</w:t>
            </w:r>
            <w:r>
              <w:rPr>
                <w:rFonts w:hint="eastAsia"/>
                <w:highlight w:val="none"/>
              </w:rPr>
              <w:t>重大税收违法失信主体名单</w:t>
            </w:r>
            <w:r>
              <w:rPr>
                <w:rFonts w:hint="eastAsia"/>
                <w:highlight w:val="none"/>
                <w:lang w:val="zh-CN"/>
              </w:rPr>
              <w:t>、严重失信主体名单</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中国政府采购网</w:t>
            </w:r>
            <w:r>
              <w:rPr>
                <w:rFonts w:hint="eastAsia"/>
                <w:highlight w:val="none"/>
              </w:rPr>
              <w:t>”</w:t>
            </w:r>
            <w:r>
              <w:rPr>
                <w:rFonts w:hint="eastAsia"/>
                <w:highlight w:val="none"/>
                <w:lang w:val="zh-CN"/>
              </w:rPr>
              <w:t>网站</w:t>
            </w:r>
            <w:r>
              <w:rPr>
                <w:rFonts w:hint="eastAsia"/>
                <w:highlight w:val="none"/>
              </w:rPr>
              <w:t>（www.ccgp.gov.cn）</w:t>
            </w:r>
            <w:r>
              <w:rPr>
                <w:rFonts w:hint="eastAsia"/>
                <w:highlight w:val="none"/>
                <w:lang w:val="zh-CN"/>
              </w:rPr>
              <w:t>列入政府采购严重违法失信行为记录名单。</w:t>
            </w:r>
          </w:p>
        </w:tc>
      </w:tr>
      <w:tr w14:paraId="2AD6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865B5DF">
            <w:pPr>
              <w:snapToGrid w:val="0"/>
              <w:spacing w:line="400" w:lineRule="exact"/>
              <w:rPr>
                <w:rFonts w:asciiTheme="minorEastAsia" w:hAnsiTheme="minorEastAsia" w:eastAsiaTheme="minorEastAsia"/>
                <w:sz w:val="24"/>
                <w:szCs w:val="24"/>
                <w:highlight w:val="none"/>
              </w:rPr>
            </w:pPr>
          </w:p>
        </w:tc>
        <w:tc>
          <w:tcPr>
            <w:tcW w:w="516" w:type="dxa"/>
            <w:vMerge w:val="continue"/>
          </w:tcPr>
          <w:p w14:paraId="7833A3F2">
            <w:pPr>
              <w:snapToGrid w:val="0"/>
              <w:spacing w:line="400" w:lineRule="exact"/>
              <w:rPr>
                <w:rFonts w:asciiTheme="minorEastAsia" w:hAnsiTheme="minorEastAsia" w:eastAsiaTheme="minorEastAsia"/>
                <w:sz w:val="24"/>
                <w:szCs w:val="24"/>
                <w:highlight w:val="none"/>
              </w:rPr>
            </w:pPr>
          </w:p>
        </w:tc>
        <w:tc>
          <w:tcPr>
            <w:tcW w:w="8463" w:type="dxa"/>
            <w:gridSpan w:val="3"/>
          </w:tcPr>
          <w:p w14:paraId="7799FD09">
            <w:pPr>
              <w:pStyle w:val="148"/>
              <w:rPr>
                <w:rFonts w:cs="宋体" w:asciiTheme="minorEastAsia" w:hAnsiTheme="minorEastAsia" w:eastAsiaTheme="minorEastAsia"/>
                <w:bCs/>
                <w:kern w:val="2"/>
                <w:szCs w:val="24"/>
                <w:highlight w:val="none"/>
              </w:rPr>
            </w:pPr>
            <w:r>
              <w:rPr>
                <w:rFonts w:hint="eastAsia" w:asciiTheme="minorEastAsia" w:hAnsiTheme="minorEastAsia" w:eastAsiaTheme="minorEastAsia"/>
                <w:szCs w:val="24"/>
                <w:highlight w:val="none"/>
              </w:rPr>
              <w:t>2.2</w:t>
            </w:r>
            <w:r>
              <w:rPr>
                <w:rFonts w:hint="eastAsia" w:asciiTheme="minorEastAsia" w:hAnsiTheme="minorEastAsia" w:eastAsiaTheme="minorEastAsia"/>
                <w:szCs w:val="24"/>
                <w:highlight w:val="none"/>
                <w:lang w:val="zh-CN"/>
              </w:rPr>
              <w:t>投标保证金：</w:t>
            </w:r>
            <w:r>
              <w:rPr>
                <w:rFonts w:hint="eastAsia" w:cs="宋体" w:asciiTheme="minorEastAsia" w:hAnsiTheme="minorEastAsia" w:eastAsiaTheme="minorEastAsia"/>
                <w:szCs w:val="24"/>
                <w:highlight w:val="none"/>
              </w:rPr>
              <w:t>采购人根据项目的实际情况，要求供应商在202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1</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7</w:t>
            </w:r>
            <w:r>
              <w:rPr>
                <w:rFonts w:hint="eastAsia" w:cs="宋体" w:asciiTheme="minorEastAsia" w:hAnsiTheme="minorEastAsia" w:eastAsiaTheme="minorEastAsia"/>
                <w:szCs w:val="24"/>
                <w:highlight w:val="none"/>
              </w:rPr>
              <w:t>日下午5:00至202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1</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15</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 xml:space="preserve">下午1:50 </w:t>
            </w:r>
            <w:r>
              <w:rPr>
                <w:rFonts w:hint="eastAsia" w:cs="宋体" w:asciiTheme="minorEastAsia" w:hAnsiTheme="minorEastAsia" w:eastAsiaTheme="minorEastAsia"/>
                <w:szCs w:val="24"/>
                <w:highlight w:val="none"/>
              </w:rPr>
              <w:t>前须交纳投标保证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lang w:val="en-US" w:eastAsia="zh-CN"/>
              </w:rPr>
              <w:t>壹</w:t>
            </w:r>
            <w:r>
              <w:rPr>
                <w:rFonts w:hint="eastAsia" w:asciiTheme="minorEastAsia" w:hAnsiTheme="minorEastAsia" w:eastAsiaTheme="minorEastAsia"/>
                <w:szCs w:val="24"/>
                <w:highlight w:val="none"/>
              </w:rPr>
              <w:t>仟</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民币。交纳投标保证金的单位名称必须与参加投标的供应商名称一致</w:t>
            </w:r>
            <w:r>
              <w:rPr>
                <w:rFonts w:hint="eastAsia" w:cs="宋体" w:asciiTheme="minorEastAsia" w:hAnsiTheme="minorEastAsia" w:eastAsiaTheme="minorEastAsia"/>
                <w:bCs/>
                <w:kern w:val="2"/>
                <w:szCs w:val="24"/>
                <w:highlight w:val="none"/>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529A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696DC2C9">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交纳投标保证金账户名称</w:t>
                  </w:r>
                </w:p>
              </w:tc>
              <w:tc>
                <w:tcPr>
                  <w:tcW w:w="3402" w:type="dxa"/>
                  <w:vAlign w:val="center"/>
                </w:tcPr>
                <w:p w14:paraId="1CF3CF5F">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宜兴市公用环保集团有限公司</w:t>
                  </w:r>
                </w:p>
              </w:tc>
              <w:tc>
                <w:tcPr>
                  <w:tcW w:w="613" w:type="dxa"/>
                  <w:vMerge w:val="restart"/>
                  <w:vAlign w:val="center"/>
                </w:tcPr>
                <w:p w14:paraId="736B8E34">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交纳</w:t>
                  </w:r>
                </w:p>
                <w:p w14:paraId="745CB023">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形式</w:t>
                  </w:r>
                </w:p>
              </w:tc>
              <w:tc>
                <w:tcPr>
                  <w:tcW w:w="2022" w:type="dxa"/>
                  <w:vMerge w:val="restart"/>
                  <w:vAlign w:val="center"/>
                </w:tcPr>
                <w:p w14:paraId="751A333B">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投标保证金的交纳形式限于转账（不接受其他形式的投标保证金）</w:t>
                  </w:r>
                </w:p>
              </w:tc>
            </w:tr>
            <w:tr w14:paraId="421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4092F058">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开户银行</w:t>
                  </w:r>
                </w:p>
              </w:tc>
              <w:tc>
                <w:tcPr>
                  <w:tcW w:w="3402" w:type="dxa"/>
                  <w:vAlign w:val="center"/>
                </w:tcPr>
                <w:p w14:paraId="0F2DE4A2">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光大银行宜兴支行</w:t>
                  </w:r>
                </w:p>
              </w:tc>
              <w:tc>
                <w:tcPr>
                  <w:tcW w:w="613" w:type="dxa"/>
                  <w:vMerge w:val="continue"/>
                  <w:vAlign w:val="center"/>
                </w:tcPr>
                <w:p w14:paraId="748899DE">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7B12F540">
                  <w:pPr>
                    <w:jc w:val="center"/>
                    <w:rPr>
                      <w:rFonts w:asciiTheme="minorEastAsia" w:hAnsiTheme="minorEastAsia" w:eastAsiaTheme="minorEastAsia"/>
                      <w:sz w:val="24"/>
                      <w:szCs w:val="24"/>
                      <w:highlight w:val="none"/>
                    </w:rPr>
                  </w:pPr>
                </w:p>
              </w:tc>
            </w:tr>
            <w:tr w14:paraId="558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0190F75D">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账号</w:t>
                  </w:r>
                </w:p>
              </w:tc>
              <w:tc>
                <w:tcPr>
                  <w:tcW w:w="3402" w:type="dxa"/>
                  <w:vAlign w:val="center"/>
                </w:tcPr>
                <w:p w14:paraId="76EA82DF">
                  <w:pPr>
                    <w:jc w:val="center"/>
                    <w:rPr>
                      <w:rFonts w:hint="default"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51610188000327319</w:t>
                  </w:r>
                </w:p>
              </w:tc>
              <w:tc>
                <w:tcPr>
                  <w:tcW w:w="613" w:type="dxa"/>
                  <w:vMerge w:val="continue"/>
                  <w:vAlign w:val="center"/>
                </w:tcPr>
                <w:p w14:paraId="0545D99A">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2CC42748">
                  <w:pPr>
                    <w:jc w:val="center"/>
                    <w:rPr>
                      <w:rFonts w:asciiTheme="minorEastAsia" w:hAnsiTheme="minorEastAsia" w:eastAsiaTheme="minorEastAsia"/>
                      <w:sz w:val="24"/>
                      <w:szCs w:val="24"/>
                      <w:highlight w:val="none"/>
                    </w:rPr>
                  </w:pPr>
                </w:p>
              </w:tc>
            </w:tr>
          </w:tbl>
          <w:p w14:paraId="40C8A685">
            <w:pPr>
              <w:snapToGrid w:val="0"/>
              <w:spacing w:line="276" w:lineRule="auto"/>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b/>
                <w:bCs/>
                <w:color w:val="FF0000"/>
                <w:sz w:val="24"/>
                <w:szCs w:val="24"/>
                <w:highlight w:val="none"/>
              </w:rPr>
              <w:t>注：供应商必须在开标前10分钟将保证金汇入以上账户，否则作废标处理,缴纳投标保证金账户为涉密账户，账号随机，请供应商仔细核对账号后缴纳投标保证金。</w:t>
            </w:r>
          </w:p>
        </w:tc>
      </w:tr>
      <w:tr w14:paraId="4055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3E9B8C6">
            <w:pPr>
              <w:snapToGrid w:val="0"/>
              <w:spacing w:line="400" w:lineRule="exact"/>
              <w:rPr>
                <w:rFonts w:asciiTheme="minorEastAsia" w:hAnsiTheme="minorEastAsia" w:eastAsiaTheme="minorEastAsia"/>
                <w:sz w:val="24"/>
                <w:szCs w:val="24"/>
                <w:highlight w:val="none"/>
              </w:rPr>
            </w:pPr>
          </w:p>
        </w:tc>
        <w:tc>
          <w:tcPr>
            <w:tcW w:w="516" w:type="dxa"/>
            <w:vMerge w:val="continue"/>
          </w:tcPr>
          <w:p w14:paraId="4D0868C4">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2137AE26">
            <w:pPr>
              <w:snapToGrid w:val="0"/>
              <w:spacing w:line="400" w:lineRule="exact"/>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2.3拒绝下述供应商参加本次采购活动：</w:t>
            </w:r>
          </w:p>
          <w:p w14:paraId="5E9BC275">
            <w:pPr>
              <w:snapToGrid w:val="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①</w:t>
            </w:r>
            <w:r>
              <w:rPr>
                <w:rFonts w:hint="eastAsia" w:asciiTheme="minorEastAsia" w:hAnsiTheme="minorEastAsia" w:eastAsiaTheme="minorEastAsia"/>
                <w:kern w:val="0"/>
                <w:sz w:val="24"/>
                <w:szCs w:val="24"/>
                <w:highlight w:val="none"/>
                <w:u w:color="000000"/>
              </w:rPr>
              <w:t>供应商单位</w:t>
            </w:r>
            <w:r>
              <w:rPr>
                <w:rFonts w:hint="eastAsia" w:asciiTheme="minorEastAsia" w:hAnsiTheme="minorEastAsia" w:eastAsiaTheme="minorEastAsia"/>
                <w:kern w:val="0"/>
                <w:sz w:val="24"/>
                <w:szCs w:val="24"/>
                <w:highlight w:val="none"/>
                <w:u w:color="000000"/>
                <w:lang w:val="zh-CN"/>
              </w:rPr>
              <w:t>负责人为同一人或者存在直接控股、管理关系的不同供应商，不得参加同一合同项下的采购活动，否则相关投标将被认定为无效投标；</w:t>
            </w:r>
          </w:p>
          <w:p w14:paraId="4927280A">
            <w:pPr>
              <w:pStyle w:val="17"/>
              <w:ind w:left="0" w:leftChars="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②凡为采购项目提供整体设计、规范编制或者项目管理、监理、检测等服务的供应商，不得再参加本项目的采购活动，否则其投标将被认定为无效投标。</w:t>
            </w:r>
          </w:p>
        </w:tc>
      </w:tr>
      <w:tr w14:paraId="03C0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FBD0005">
            <w:pPr>
              <w:snapToGrid w:val="0"/>
              <w:spacing w:line="400" w:lineRule="exact"/>
              <w:rPr>
                <w:rFonts w:asciiTheme="minorEastAsia" w:hAnsiTheme="minorEastAsia" w:eastAsiaTheme="minorEastAsia"/>
                <w:sz w:val="24"/>
                <w:szCs w:val="24"/>
                <w:highlight w:val="none"/>
              </w:rPr>
            </w:pPr>
          </w:p>
        </w:tc>
        <w:tc>
          <w:tcPr>
            <w:tcW w:w="516" w:type="dxa"/>
            <w:vMerge w:val="continue"/>
          </w:tcPr>
          <w:p w14:paraId="1E7D7A04">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5AC3ACAE">
            <w:pPr>
              <w:pStyle w:val="17"/>
              <w:ind w:left="0" w:leftChars="0"/>
              <w:rPr>
                <w:rFonts w:asciiTheme="minorEastAsia" w:hAnsiTheme="minorEastAsia" w:eastAsiaTheme="minorEastAsia"/>
                <w:kern w:val="0"/>
                <w:sz w:val="24"/>
                <w:szCs w:val="24"/>
                <w:highlight w:val="none"/>
                <w:u w:color="000000"/>
              </w:rPr>
            </w:pPr>
            <w:r>
              <w:rPr>
                <w:rFonts w:hint="eastAsia" w:asciiTheme="minorEastAsia" w:hAnsiTheme="minorEastAsia" w:eastAsiaTheme="minorEastAsia"/>
                <w:kern w:val="0"/>
                <w:sz w:val="24"/>
                <w:szCs w:val="24"/>
                <w:highlight w:val="none"/>
                <w:u w:color="000000"/>
              </w:rPr>
              <w:t>2.4</w:t>
            </w:r>
            <w:r>
              <w:rPr>
                <w:rFonts w:hint="eastAsia" w:ascii="宋体" w:hAnsi="Times New Roman"/>
                <w:kern w:val="0"/>
                <w:sz w:val="24"/>
                <w:highlight w:val="none"/>
                <w:u w:color="000000"/>
                <w:lang w:val="zh-CN"/>
              </w:rPr>
              <w:t>集中考察或答疑：</w:t>
            </w:r>
            <w:r>
              <w:rPr>
                <w:rFonts w:hint="eastAsia" w:ascii="宋体" w:hAnsi="Times New Roman"/>
                <w:kern w:val="0"/>
                <w:sz w:val="24"/>
                <w:highlight w:val="none"/>
                <w:u w:color="000000"/>
              </w:rPr>
              <w:t>供应商</w:t>
            </w:r>
            <w:r>
              <w:rPr>
                <w:rFonts w:hint="eastAsia" w:ascii="宋体" w:hAnsi="Times New Roman"/>
                <w:kern w:val="0"/>
                <w:sz w:val="24"/>
                <w:highlight w:val="none"/>
                <w:u w:color="000000"/>
                <w:lang w:val="zh-CN"/>
              </w:rPr>
              <w:t>如有需要踏勘的，供应商可自行联系采购人。</w:t>
            </w:r>
            <w:r>
              <w:rPr>
                <w:rFonts w:hint="eastAsia" w:ascii="宋体" w:hAnsi="Times New Roman"/>
                <w:kern w:val="0"/>
                <w:sz w:val="24"/>
                <w:highlight w:val="none"/>
                <w:u w:color="000000"/>
              </w:rPr>
              <w:t>投标人对踏勘结果</w:t>
            </w:r>
            <w:r>
              <w:rPr>
                <w:rFonts w:hint="eastAsia" w:ascii="宋体" w:hAnsi="宋体"/>
                <w:bCs/>
                <w:sz w:val="24"/>
                <w:szCs w:val="24"/>
                <w:highlight w:val="none"/>
              </w:rPr>
              <w:t>及投标报价自行负责。中标后，不得以不了解或不完全了解项目情况为理由而提出额外费用等要求。</w:t>
            </w:r>
          </w:p>
        </w:tc>
      </w:tr>
      <w:bookmarkEnd w:id="7"/>
      <w:tr w14:paraId="65BF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171F46BC">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p>
        </w:tc>
        <w:tc>
          <w:tcPr>
            <w:tcW w:w="8979" w:type="dxa"/>
            <w:gridSpan w:val="4"/>
          </w:tcPr>
          <w:p w14:paraId="15E4BE67">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投标文件正本份数：</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份（需装订后密封）</w:t>
            </w:r>
          </w:p>
          <w:p w14:paraId="191F2BC0">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投标文件副本份数：</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份（需装订后密封）</w:t>
            </w:r>
          </w:p>
          <w:p w14:paraId="70B553C0">
            <w:pPr>
              <w:snapToGrid w:val="0"/>
              <w:spacing w:line="400" w:lineRule="exact"/>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资格审查原件：</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份（不需密封）</w:t>
            </w:r>
          </w:p>
        </w:tc>
      </w:tr>
      <w:tr w14:paraId="0BC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3489E54F">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p>
        </w:tc>
        <w:tc>
          <w:tcPr>
            <w:tcW w:w="8979" w:type="dxa"/>
            <w:gridSpan w:val="4"/>
          </w:tcPr>
          <w:p w14:paraId="14815303">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投标截止时间及开标时间</w:t>
            </w:r>
            <w:r>
              <w:rPr>
                <w:rFonts w:hint="eastAsia"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lang w:val="en-US" w:eastAsia="zh-CN"/>
              </w:rPr>
              <w:t>2026</w:t>
            </w:r>
            <w:r>
              <w:rPr>
                <w:rFonts w:hint="eastAsia" w:asciiTheme="minorEastAsia" w:hAnsiTheme="minorEastAsia" w:eastAsiaTheme="minorEastAsia"/>
                <w:bCs/>
                <w:sz w:val="24"/>
                <w:szCs w:val="24"/>
                <w:highlight w:val="none"/>
              </w:rPr>
              <w:t>年</w:t>
            </w:r>
            <w:r>
              <w:rPr>
                <w:rFonts w:hint="eastAsia" w:asciiTheme="minorEastAsia" w:hAnsiTheme="minorEastAsia" w:eastAsiaTheme="minorEastAsia"/>
                <w:bCs/>
                <w:sz w:val="24"/>
                <w:szCs w:val="24"/>
                <w:highlight w:val="none"/>
                <w:lang w:val="en-US" w:eastAsia="zh-CN"/>
              </w:rPr>
              <w:t>1</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15</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下午2</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p>
          <w:p w14:paraId="7664F4C6">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定标时间：评标结束后</w:t>
            </w:r>
          </w:p>
          <w:p w14:paraId="0BAD0853">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投标地点及开标地点：</w:t>
            </w:r>
            <w:r>
              <w:rPr>
                <w:rFonts w:hint="eastAsia" w:ascii="宋体" w:hAnsi="宋体"/>
                <w:bCs/>
                <w:sz w:val="24"/>
                <w:szCs w:val="24"/>
                <w:highlight w:val="none"/>
                <w:lang w:val="zh-CN"/>
              </w:rPr>
              <w:t>宜兴市</w:t>
            </w:r>
            <w:r>
              <w:rPr>
                <w:rFonts w:hint="eastAsia" w:ascii="宋体" w:hAnsi="宋体"/>
                <w:bCs/>
                <w:sz w:val="24"/>
                <w:szCs w:val="24"/>
                <w:highlight w:val="none"/>
              </w:rPr>
              <w:t>公用</w:t>
            </w:r>
            <w:r>
              <w:rPr>
                <w:rFonts w:hint="eastAsia" w:ascii="宋体" w:hAnsi="宋体"/>
                <w:bCs/>
                <w:sz w:val="24"/>
                <w:szCs w:val="24"/>
                <w:highlight w:val="none"/>
                <w:lang w:val="zh-CN"/>
              </w:rPr>
              <w:t>环保集团有限公司二楼开标室</w:t>
            </w:r>
          </w:p>
        </w:tc>
      </w:tr>
      <w:tr w14:paraId="4F7E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6E957C3E">
            <w:pPr>
              <w:snapToGrid w:val="0"/>
              <w:spacing w:line="400" w:lineRule="exact"/>
              <w:jc w:val="center"/>
              <w:rPr>
                <w:rFonts w:asciiTheme="minorEastAsia" w:hAnsiTheme="minorEastAsia" w:eastAsiaTheme="minorEastAsia"/>
                <w:bCs/>
                <w:sz w:val="24"/>
                <w:szCs w:val="24"/>
                <w:highlight w:val="none"/>
              </w:rPr>
            </w:pPr>
            <w:bookmarkStart w:id="9" w:name="OLE_LINK84" w:colFirst="1" w:colLast="2"/>
            <w:r>
              <w:rPr>
                <w:rFonts w:hint="eastAsia" w:asciiTheme="minorEastAsia" w:hAnsiTheme="minorEastAsia" w:eastAsiaTheme="minorEastAsia"/>
                <w:bCs/>
                <w:sz w:val="24"/>
                <w:szCs w:val="24"/>
                <w:highlight w:val="none"/>
              </w:rPr>
              <w:t>6</w:t>
            </w:r>
          </w:p>
        </w:tc>
        <w:tc>
          <w:tcPr>
            <w:tcW w:w="645" w:type="dxa"/>
            <w:gridSpan w:val="2"/>
            <w:vMerge w:val="restart"/>
            <w:vAlign w:val="center"/>
          </w:tcPr>
          <w:p w14:paraId="2105DBE4">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w:t>
            </w:r>
          </w:p>
        </w:tc>
        <w:tc>
          <w:tcPr>
            <w:tcW w:w="1785" w:type="dxa"/>
            <w:vAlign w:val="center"/>
          </w:tcPr>
          <w:p w14:paraId="6273D7A7">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p>
        </w:tc>
        <w:tc>
          <w:tcPr>
            <w:tcW w:w="6549" w:type="dxa"/>
            <w:vAlign w:val="center"/>
          </w:tcPr>
          <w:p w14:paraId="594D35C9">
            <w:pPr>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采购人：</w:t>
            </w:r>
            <w:bookmarkStart w:id="290" w:name="_GoBack"/>
            <w:r>
              <w:rPr>
                <w:rFonts w:hint="eastAsia" w:ascii="宋体" w:hAnsi="宋体" w:eastAsiaTheme="minorEastAsia"/>
                <w:bCs/>
                <w:sz w:val="24"/>
                <w:szCs w:val="24"/>
                <w:highlight w:val="none"/>
                <w:lang w:eastAsia="zh-CN"/>
              </w:rPr>
              <w:t>宜兴市宜蓝环境科技有限公司</w:t>
            </w:r>
            <w:bookmarkEnd w:id="290"/>
          </w:p>
          <w:p w14:paraId="532F8764">
            <w:pPr>
              <w:jc w:val="left"/>
              <w:rPr>
                <w:rFonts w:hint="eastAsia" w:asciiTheme="majorEastAsia" w:hAnsiTheme="majorEastAsia" w:eastAsiaTheme="majorEastAsia" w:cstheme="majorEastAsia"/>
                <w:bCs/>
                <w:sz w:val="24"/>
                <w:szCs w:val="24"/>
                <w:highlight w:val="none"/>
                <w:lang w:val="en-US" w:eastAsia="zh-CN"/>
              </w:rPr>
            </w:pPr>
            <w:r>
              <w:rPr>
                <w:rFonts w:hint="eastAsia" w:asciiTheme="minorEastAsia" w:hAnsiTheme="minorEastAsia" w:eastAsiaTheme="minorEastAsia"/>
                <w:bCs/>
                <w:sz w:val="24"/>
                <w:szCs w:val="24"/>
                <w:highlight w:val="none"/>
              </w:rPr>
              <w:t>联系人：</w:t>
            </w:r>
            <w:r>
              <w:rPr>
                <w:rFonts w:hint="eastAsia" w:asciiTheme="minorEastAsia" w:hAnsiTheme="minorEastAsia" w:eastAsiaTheme="minorEastAsia"/>
                <w:bCs/>
                <w:sz w:val="24"/>
                <w:szCs w:val="24"/>
                <w:highlight w:val="none"/>
                <w:lang w:val="en-US" w:eastAsia="zh-CN"/>
              </w:rPr>
              <w:t>傅先生、祁先生</w:t>
            </w:r>
          </w:p>
          <w:p w14:paraId="5AB35B06">
            <w:pPr>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联系电话：</w:t>
            </w:r>
            <w:r>
              <w:rPr>
                <w:rFonts w:hint="eastAsia" w:asciiTheme="majorEastAsia" w:hAnsiTheme="majorEastAsia" w:eastAsiaTheme="majorEastAsia" w:cstheme="majorEastAsia"/>
                <w:sz w:val="24"/>
                <w:szCs w:val="28"/>
                <w:highlight w:val="none"/>
              </w:rPr>
              <w:t>0510-</w:t>
            </w:r>
            <w:r>
              <w:rPr>
                <w:rFonts w:hint="eastAsia" w:asciiTheme="majorEastAsia" w:hAnsiTheme="majorEastAsia" w:eastAsiaTheme="majorEastAsia" w:cstheme="majorEastAsia"/>
                <w:sz w:val="24"/>
                <w:szCs w:val="22"/>
              </w:rPr>
              <w:t>80702121</w:t>
            </w:r>
          </w:p>
          <w:p w14:paraId="0A1E33DF">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联系地址：宜兴环科园绿园路528号科技孵化园</w:t>
            </w:r>
          </w:p>
          <w:p w14:paraId="3C1704A8">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11FC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5D964397">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04ABF758">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1B0C5D4E">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w:t>
            </w:r>
          </w:p>
        </w:tc>
        <w:tc>
          <w:tcPr>
            <w:tcW w:w="6549" w:type="dxa"/>
          </w:tcPr>
          <w:p w14:paraId="3ACC0AD5">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联系人：曹工</w:t>
            </w:r>
          </w:p>
          <w:p w14:paraId="727CE52D">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联系方式：13771319057</w:t>
            </w:r>
          </w:p>
          <w:p w14:paraId="5A476225">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联系地址：宜兴市杏园路108号科创商务中心5号楼</w:t>
            </w:r>
          </w:p>
          <w:p w14:paraId="5DFF6DB5">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3905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A43613C">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5AE51972">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32E8EBA8">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采购监管部门</w:t>
            </w:r>
          </w:p>
        </w:tc>
        <w:tc>
          <w:tcPr>
            <w:tcW w:w="6549" w:type="dxa"/>
          </w:tcPr>
          <w:p w14:paraId="5C7A5509">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采购监督管理及投诉处理主体：</w:t>
            </w:r>
          </w:p>
          <w:p w14:paraId="34770FCE">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宜兴市公用环保集团有限公司</w:t>
            </w:r>
          </w:p>
          <w:p w14:paraId="4F8E2438">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联系地址：中国宜兴环保科技工业园科技孵化园</w:t>
            </w:r>
          </w:p>
          <w:p w14:paraId="750CE213">
            <w:pPr>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联系电话：</w:t>
            </w:r>
            <w:r>
              <w:rPr>
                <w:rFonts w:asciiTheme="minorEastAsia" w:hAnsiTheme="minorEastAsia" w:eastAsiaTheme="minorEastAsia"/>
                <w:sz w:val="24"/>
                <w:szCs w:val="24"/>
                <w:highlight w:val="none"/>
              </w:rPr>
              <w:t>0510-8070210</w:t>
            </w:r>
            <w:r>
              <w:rPr>
                <w:rFonts w:hint="eastAsia" w:asciiTheme="minorEastAsia" w:hAnsiTheme="minorEastAsia" w:eastAsiaTheme="minorEastAsia"/>
                <w:sz w:val="24"/>
                <w:szCs w:val="24"/>
                <w:highlight w:val="none"/>
              </w:rPr>
              <w:t>9</w:t>
            </w:r>
          </w:p>
        </w:tc>
      </w:tr>
      <w:bookmarkEnd w:id="9"/>
    </w:tbl>
    <w:p w14:paraId="2A84DE4F">
      <w:pPr>
        <w:spacing w:line="360" w:lineRule="auto"/>
        <w:jc w:val="center"/>
        <w:outlineLvl w:val="0"/>
        <w:rPr>
          <w:rFonts w:ascii="宋体" w:hAnsi="宋体"/>
          <w:b/>
          <w:sz w:val="24"/>
          <w:szCs w:val="24"/>
          <w:highlight w:val="none"/>
        </w:rPr>
      </w:pPr>
      <w:r>
        <w:rPr>
          <w:rFonts w:ascii="宋体" w:hAnsi="宋体"/>
          <w:sz w:val="24"/>
          <w:szCs w:val="24"/>
          <w:highlight w:val="none"/>
        </w:rPr>
        <w:br w:type="page"/>
      </w:r>
      <w:bookmarkStart w:id="10" w:name="_Toc167975510"/>
      <w:bookmarkStart w:id="11" w:name="_Toc109650245"/>
      <w:bookmarkStart w:id="12" w:name="_Toc109652649"/>
      <w:bookmarkStart w:id="13" w:name="_Toc109652601"/>
      <w:r>
        <w:rPr>
          <w:rFonts w:hint="eastAsia" w:ascii="宋体" w:hAnsi="宋体"/>
          <w:b/>
          <w:sz w:val="24"/>
          <w:szCs w:val="24"/>
          <w:highlight w:val="none"/>
        </w:rPr>
        <w:t>第二章</w:t>
      </w:r>
      <w:r>
        <w:rPr>
          <w:rFonts w:ascii="宋体" w:hAnsi="宋体"/>
          <w:b/>
          <w:sz w:val="24"/>
          <w:szCs w:val="24"/>
          <w:highlight w:val="none"/>
        </w:rPr>
        <w:t xml:space="preserve"> </w:t>
      </w:r>
      <w:r>
        <w:rPr>
          <w:rFonts w:hint="eastAsia" w:ascii="宋体" w:hAnsi="宋体"/>
          <w:b/>
          <w:sz w:val="24"/>
          <w:szCs w:val="24"/>
          <w:highlight w:val="none"/>
        </w:rPr>
        <w:t>供应商须知</w:t>
      </w:r>
      <w:bookmarkEnd w:id="5"/>
      <w:bookmarkEnd w:id="10"/>
      <w:bookmarkEnd w:id="11"/>
      <w:bookmarkEnd w:id="12"/>
      <w:bookmarkEnd w:id="13"/>
    </w:p>
    <w:p w14:paraId="54C0745D">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一、总   则</w:t>
      </w:r>
    </w:p>
    <w:p w14:paraId="2837723C">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1</w:t>
      </w:r>
      <w:r>
        <w:rPr>
          <w:rFonts w:hint="eastAsia" w:ascii="宋体" w:hAnsi="宋体"/>
          <w:b/>
          <w:sz w:val="24"/>
          <w:szCs w:val="24"/>
          <w:highlight w:val="none"/>
          <w:lang w:val="zh-CN"/>
        </w:rPr>
        <w:t>、定义</w:t>
      </w:r>
    </w:p>
    <w:p w14:paraId="3D7633AC">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.1</w:t>
      </w:r>
      <w:r>
        <w:rPr>
          <w:rFonts w:hint="eastAsia" w:ascii="宋体" w:hAnsi="宋体"/>
          <w:bCs/>
          <w:sz w:val="24"/>
          <w:szCs w:val="24"/>
          <w:highlight w:val="none"/>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18E552E5">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 招标文件中的“法定代表人”是指供应商的营业执照中的“法定代表人”、“执行事务合伙人”、“经营者”、“负责人”（仅适用于银行、保险、石油石化、电力、电信等特殊行业），若自然人报价即指自然人本人。</w:t>
      </w:r>
    </w:p>
    <w:p w14:paraId="15D7427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“供应商签章”</w:t>
      </w:r>
      <w:r>
        <w:rPr>
          <w:rFonts w:hint="eastAsia" w:ascii="宋体" w:hAnsi="宋体"/>
          <w:bCs/>
          <w:sz w:val="24"/>
          <w:szCs w:val="24"/>
          <w:highlight w:val="none"/>
        </w:rPr>
        <w:t>是指供应商的公章，</w:t>
      </w:r>
      <w:r>
        <w:rPr>
          <w:rFonts w:hint="eastAsia" w:ascii="宋体" w:hAnsi="宋体"/>
          <w:bCs/>
          <w:sz w:val="24"/>
          <w:szCs w:val="24"/>
          <w:highlight w:val="none"/>
          <w:lang w:val="zh-CN"/>
        </w:rPr>
        <w:t>自然人投标即指自然人私章</w:t>
      </w:r>
      <w:r>
        <w:rPr>
          <w:rFonts w:hint="eastAsia" w:ascii="宋体" w:hAnsi="宋体"/>
          <w:bCs/>
          <w:sz w:val="24"/>
          <w:szCs w:val="24"/>
          <w:highlight w:val="none"/>
        </w:rPr>
        <w:t>。</w:t>
      </w:r>
    </w:p>
    <w:p w14:paraId="6B13C52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4</w:t>
      </w:r>
      <w:r>
        <w:rPr>
          <w:rFonts w:hint="eastAsia" w:ascii="宋体" w:hAnsi="宋体"/>
          <w:bCs/>
          <w:sz w:val="24"/>
          <w:szCs w:val="24"/>
          <w:highlight w:val="none"/>
          <w:lang w:val="zh-CN"/>
        </w:rPr>
        <w:t xml:space="preserve"> “供应商签名”是指</w:t>
      </w:r>
      <w:r>
        <w:rPr>
          <w:rFonts w:hint="eastAsia" w:ascii="宋体" w:hAnsi="宋体"/>
          <w:bCs/>
          <w:sz w:val="24"/>
          <w:szCs w:val="24"/>
          <w:highlight w:val="none"/>
        </w:rPr>
        <w:t>法定代表人或法定代表人授权代表签字或盖章</w:t>
      </w:r>
      <w:r>
        <w:rPr>
          <w:rFonts w:hint="eastAsia" w:ascii="宋体" w:hAnsi="宋体"/>
          <w:bCs/>
          <w:sz w:val="24"/>
          <w:szCs w:val="24"/>
          <w:highlight w:val="none"/>
          <w:lang w:val="zh-CN"/>
        </w:rPr>
        <w:t>。</w:t>
      </w:r>
    </w:p>
    <w:p w14:paraId="78AF7F8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1.5</w:t>
      </w:r>
      <w:r>
        <w:rPr>
          <w:rFonts w:hint="eastAsia" w:ascii="宋体" w:hAnsi="宋体"/>
          <w:bCs/>
          <w:sz w:val="24"/>
          <w:szCs w:val="24"/>
          <w:highlight w:val="none"/>
          <w:lang w:val="zh-CN"/>
        </w:rPr>
        <w:t xml:space="preserve"> “</w:t>
      </w:r>
      <w:r>
        <w:rPr>
          <w:rFonts w:hint="eastAsia" w:ascii="宋体" w:hAnsi="宋体"/>
          <w:bCs/>
          <w:sz w:val="24"/>
          <w:szCs w:val="24"/>
          <w:highlight w:val="none"/>
        </w:rPr>
        <w:t>服务”</w:t>
      </w:r>
      <w:r>
        <w:rPr>
          <w:rFonts w:hint="eastAsia" w:ascii="宋体" w:hAnsi="宋体"/>
          <w:bCs/>
          <w:sz w:val="24"/>
          <w:szCs w:val="24"/>
          <w:highlight w:val="none"/>
          <w:lang w:val="zh-CN"/>
        </w:rPr>
        <w:t>指本招标文件中所述服务及相关产品。</w:t>
      </w:r>
    </w:p>
    <w:p w14:paraId="5632E43D">
      <w:pPr>
        <w:spacing w:line="360" w:lineRule="auto"/>
        <w:ind w:left="482"/>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、投标费用</w:t>
      </w:r>
    </w:p>
    <w:p w14:paraId="1F80C93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.1 </w:t>
      </w:r>
      <w:r>
        <w:rPr>
          <w:rFonts w:hint="eastAsia" w:ascii="宋体" w:hAnsi="宋体"/>
          <w:bCs/>
          <w:sz w:val="24"/>
          <w:szCs w:val="24"/>
          <w:highlight w:val="none"/>
        </w:rPr>
        <w:t>招标文件中的货币单位均为人民币元。</w:t>
      </w:r>
    </w:p>
    <w:p w14:paraId="11B3369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.2 </w:t>
      </w:r>
      <w:r>
        <w:rPr>
          <w:rFonts w:hint="eastAsia" w:ascii="宋体" w:hAnsi="宋体"/>
          <w:bCs/>
          <w:sz w:val="24"/>
          <w:szCs w:val="24"/>
          <w:highlight w:val="none"/>
        </w:rPr>
        <w:t>供应商应自行承担所有与准备和参加投标有关的一切费用（含报名费、标书制作费、评标费等）</w:t>
      </w:r>
    </w:p>
    <w:p w14:paraId="2B816F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2.3本次采购，招标文件费300元/套，售后不退，在递交投标文件时收取。</w:t>
      </w:r>
    </w:p>
    <w:p w14:paraId="05F7A4D8">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2.4</w:t>
      </w:r>
      <w:r>
        <w:rPr>
          <w:rFonts w:hint="eastAsia" w:ascii="宋体" w:hAnsi="宋体"/>
          <w:bCs/>
          <w:sz w:val="24"/>
          <w:szCs w:val="24"/>
        </w:rPr>
        <w:t>代理服务、评标收费标准及金额:</w:t>
      </w:r>
    </w:p>
    <w:p w14:paraId="68FBF593">
      <w:pPr>
        <w:pStyle w:val="185"/>
        <w:numPr>
          <w:ilvl w:val="0"/>
          <w:numId w:val="4"/>
        </w:numPr>
        <w:spacing w:line="360" w:lineRule="auto"/>
        <w:ind w:firstLine="420" w:firstLineChars="0"/>
        <w:rPr>
          <w:rFonts w:ascii="宋体" w:hAnsi="宋体"/>
          <w:b/>
          <w:sz w:val="24"/>
          <w:szCs w:val="24"/>
        </w:rPr>
      </w:pPr>
      <w:r>
        <w:rPr>
          <w:rFonts w:hint="eastAsia" w:ascii="宋体" w:hAnsi="宋体"/>
          <w:b/>
          <w:sz w:val="24"/>
          <w:szCs w:val="24"/>
        </w:rPr>
        <w:t>代理服务费：参照国家计委计价格[2002]1980号文件规定的48%计取；专家评审费：按《关于规范江苏省政府采购专家评审费标准的通知》(苏财购(2016)48号)执行。</w:t>
      </w:r>
    </w:p>
    <w:p w14:paraId="26B3E22C">
      <w:pPr>
        <w:pStyle w:val="185"/>
        <w:spacing w:line="360" w:lineRule="auto"/>
        <w:ind w:left="420" w:firstLine="0" w:firstLineChars="0"/>
        <w:rPr>
          <w:rFonts w:hint="eastAsia" w:ascii="宋体" w:hAnsi="宋体"/>
          <w:b/>
          <w:sz w:val="24"/>
          <w:szCs w:val="24"/>
        </w:rPr>
      </w:pPr>
      <w:r>
        <w:rPr>
          <w:rFonts w:hint="eastAsia" w:ascii="宋体" w:hAnsi="宋体"/>
          <w:b/>
          <w:sz w:val="24"/>
          <w:szCs w:val="24"/>
        </w:rPr>
        <w:t>（2）上述两项费用均由中标供应商在领取中标通知书时一次性付清，请各供应商将上述</w:t>
      </w:r>
    </w:p>
    <w:p w14:paraId="715EC376">
      <w:pPr>
        <w:spacing w:line="360" w:lineRule="auto"/>
        <w:rPr>
          <w:rFonts w:hint="eastAsia" w:ascii="宋体" w:hAnsi="宋体"/>
          <w:b/>
          <w:sz w:val="24"/>
          <w:szCs w:val="24"/>
        </w:rPr>
      </w:pPr>
      <w:r>
        <w:rPr>
          <w:rFonts w:hint="eastAsia" w:ascii="宋体" w:hAnsi="宋体"/>
          <w:b/>
          <w:sz w:val="24"/>
          <w:szCs w:val="24"/>
        </w:rPr>
        <w:t>费用考虑在内。</w:t>
      </w:r>
    </w:p>
    <w:p w14:paraId="0789F997">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3、保密要求</w:t>
      </w:r>
    </w:p>
    <w:p w14:paraId="192F5D0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采购各方当事人，对采购活动过程中获悉的国家秘密、商业秘密，应当依法予以保密。</w:t>
      </w:r>
    </w:p>
    <w:p w14:paraId="3646D86E">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二、招标文件</w:t>
      </w:r>
    </w:p>
    <w:p w14:paraId="30E2A08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4</w:t>
      </w:r>
      <w:r>
        <w:rPr>
          <w:rFonts w:ascii="宋体" w:hAnsi="宋体"/>
          <w:b/>
          <w:sz w:val="24"/>
          <w:szCs w:val="24"/>
          <w:highlight w:val="none"/>
        </w:rPr>
        <w:t>、</w:t>
      </w:r>
      <w:r>
        <w:rPr>
          <w:rFonts w:hint="eastAsia" w:ascii="宋体" w:hAnsi="宋体"/>
          <w:b/>
          <w:sz w:val="24"/>
          <w:szCs w:val="24"/>
          <w:highlight w:val="none"/>
          <w:lang w:val="zh-CN"/>
        </w:rPr>
        <w:t>招标文件的组成</w:t>
      </w:r>
    </w:p>
    <w:p w14:paraId="09A8A4B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.1 </w:t>
      </w:r>
      <w:r>
        <w:rPr>
          <w:rFonts w:hint="eastAsia" w:ascii="宋体" w:hAnsi="宋体"/>
          <w:bCs/>
          <w:sz w:val="24"/>
          <w:szCs w:val="24"/>
          <w:highlight w:val="none"/>
        </w:rPr>
        <w:t>供应商可在</w:t>
      </w:r>
      <w:r>
        <w:rPr>
          <w:rFonts w:ascii="宋体" w:hAnsi="宋体"/>
          <w:bCs/>
          <w:sz w:val="24"/>
          <w:szCs w:val="24"/>
          <w:highlight w:val="none"/>
        </w:rPr>
        <w:t xml:space="preserve"> </w:t>
      </w:r>
      <w:r>
        <w:rPr>
          <w:rFonts w:hint="eastAsia" w:ascii="宋体" w:hAnsi="宋体"/>
          <w:bCs/>
          <w:sz w:val="24"/>
          <w:szCs w:val="24"/>
          <w:highlight w:val="none"/>
        </w:rPr>
        <w:t>“宜兴市公用环保集团”网站公告要求购买招标文件及有关资料。供应商须按招标文件要求提交全部资料并对招标文件各项内容作出实质性响应，否则投标无效。</w:t>
      </w:r>
    </w:p>
    <w:p w14:paraId="5FF06B6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.2 </w:t>
      </w:r>
      <w:r>
        <w:rPr>
          <w:rFonts w:hint="eastAsia" w:ascii="宋体" w:hAnsi="宋体"/>
          <w:bCs/>
          <w:sz w:val="24"/>
          <w:szCs w:val="24"/>
          <w:highlight w:val="none"/>
        </w:rPr>
        <w:t>招标文件包括本文件目录所列全部内容及其附件，如有缺漏，请立即与江苏鸿成工程项目管理有限公司联系解决。</w:t>
      </w:r>
    </w:p>
    <w:p w14:paraId="4BB81C0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.3 </w:t>
      </w:r>
      <w:r>
        <w:rPr>
          <w:rFonts w:hint="eastAsia" w:ascii="宋体" w:hAnsi="宋体"/>
          <w:bCs/>
          <w:sz w:val="24"/>
          <w:szCs w:val="24"/>
          <w:highlight w:val="none"/>
        </w:rPr>
        <w:t>招标文件如与招标公告有不一致的地方，以招标文件为准。</w:t>
      </w:r>
    </w:p>
    <w:p w14:paraId="657B506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w:t>
      </w:r>
      <w:r>
        <w:rPr>
          <w:rFonts w:hint="eastAsia" w:ascii="宋体" w:hAnsi="宋体"/>
          <w:b/>
          <w:sz w:val="24"/>
          <w:szCs w:val="24"/>
          <w:highlight w:val="none"/>
          <w:lang w:val="zh-CN"/>
        </w:rPr>
        <w:t>招标文件的解释</w:t>
      </w:r>
    </w:p>
    <w:p w14:paraId="6162438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rPr>
        <w:t>本文件“</w:t>
      </w:r>
      <w:bookmarkStart w:id="14" w:name="OLE_LINK21"/>
      <w:r>
        <w:rPr>
          <w:rFonts w:hint="eastAsia" w:ascii="宋体" w:hAnsi="宋体"/>
          <w:bCs/>
          <w:sz w:val="24"/>
          <w:szCs w:val="24"/>
          <w:highlight w:val="none"/>
        </w:rPr>
        <w:t>第三章</w:t>
      </w:r>
      <w:r>
        <w:rPr>
          <w:rFonts w:ascii="宋体" w:hAnsi="宋体"/>
          <w:bCs/>
          <w:sz w:val="24"/>
          <w:szCs w:val="24"/>
          <w:highlight w:val="none"/>
        </w:rPr>
        <w:t xml:space="preserve"> </w:t>
      </w:r>
      <w:r>
        <w:rPr>
          <w:rFonts w:hint="eastAsia" w:ascii="宋体" w:hAnsi="宋体"/>
          <w:bCs/>
          <w:sz w:val="24"/>
          <w:szCs w:val="24"/>
          <w:highlight w:val="none"/>
        </w:rPr>
        <w:t>评标方法和标准</w:t>
      </w:r>
      <w:bookmarkEnd w:id="14"/>
      <w:r>
        <w:rPr>
          <w:rFonts w:hint="eastAsia" w:ascii="宋体" w:hAnsi="宋体"/>
          <w:bCs/>
          <w:sz w:val="24"/>
          <w:szCs w:val="24"/>
          <w:highlight w:val="none"/>
        </w:rPr>
        <w:t>”和“第四章</w:t>
      </w:r>
      <w:r>
        <w:rPr>
          <w:rFonts w:ascii="宋体" w:hAnsi="宋体"/>
          <w:bCs/>
          <w:sz w:val="24"/>
          <w:szCs w:val="24"/>
          <w:highlight w:val="none"/>
        </w:rPr>
        <w:t xml:space="preserve"> </w:t>
      </w:r>
      <w:r>
        <w:rPr>
          <w:rFonts w:hint="eastAsia" w:ascii="宋体" w:hAnsi="宋体"/>
          <w:bCs/>
          <w:sz w:val="24"/>
          <w:szCs w:val="24"/>
          <w:highlight w:val="none"/>
        </w:rPr>
        <w:t>项目技术要求和有关说明”由</w:t>
      </w:r>
      <w:bookmarkStart w:id="15" w:name="OLE_LINK13"/>
      <w:r>
        <w:rPr>
          <w:rFonts w:hint="eastAsia" w:ascii="宋体" w:hAnsi="宋体"/>
          <w:bCs/>
          <w:sz w:val="24"/>
          <w:szCs w:val="24"/>
          <w:highlight w:val="none"/>
        </w:rPr>
        <w:t>采购人负责解释</w:t>
      </w:r>
      <w:bookmarkEnd w:id="15"/>
      <w:r>
        <w:rPr>
          <w:rFonts w:hint="eastAsia" w:ascii="宋体" w:hAnsi="宋体"/>
          <w:bCs/>
          <w:sz w:val="24"/>
          <w:szCs w:val="24"/>
          <w:highlight w:val="none"/>
        </w:rPr>
        <w:t>，其他部分由采购人和代理机构负责解释。</w:t>
      </w:r>
    </w:p>
    <w:p w14:paraId="7EBA0701">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6</w:t>
      </w:r>
      <w:r>
        <w:rPr>
          <w:rFonts w:ascii="宋体" w:hAnsi="宋体"/>
          <w:b/>
          <w:sz w:val="24"/>
          <w:szCs w:val="24"/>
          <w:highlight w:val="none"/>
        </w:rPr>
        <w:t>、</w:t>
      </w:r>
      <w:r>
        <w:rPr>
          <w:rFonts w:hint="eastAsia" w:ascii="宋体" w:hAnsi="宋体"/>
          <w:b/>
          <w:sz w:val="24"/>
          <w:szCs w:val="24"/>
          <w:highlight w:val="none"/>
          <w:lang w:val="zh-CN"/>
        </w:rPr>
        <w:t>招标文件的澄清、修改</w:t>
      </w:r>
    </w:p>
    <w:p w14:paraId="18259A20">
      <w:pPr>
        <w:spacing w:line="360" w:lineRule="auto"/>
        <w:ind w:firstLine="480" w:firstLineChars="200"/>
        <w:rPr>
          <w:rFonts w:ascii="宋体" w:hAnsi="宋体"/>
          <w:sz w:val="24"/>
          <w:szCs w:val="24"/>
          <w:highlight w:val="none"/>
          <w:lang w:val="zh-CN"/>
        </w:rPr>
      </w:pPr>
      <w:r>
        <w:rPr>
          <w:rFonts w:hint="eastAsia" w:ascii="宋体" w:hAnsi="宋体"/>
          <w:bCs/>
          <w:sz w:val="24"/>
          <w:szCs w:val="24"/>
          <w:highlight w:val="none"/>
        </w:rPr>
        <w:t>6</w:t>
      </w:r>
      <w:r>
        <w:rPr>
          <w:rFonts w:ascii="宋体" w:hAnsi="宋体"/>
          <w:bCs/>
          <w:sz w:val="24"/>
          <w:szCs w:val="24"/>
          <w:highlight w:val="none"/>
        </w:rPr>
        <w:t xml:space="preserve">.1 </w:t>
      </w:r>
      <w:bookmarkStart w:id="16" w:name="OLE_LINK14"/>
      <w:r>
        <w:rPr>
          <w:rFonts w:hint="eastAsia" w:ascii="宋体" w:hAnsi="宋体" w:cs="宋体"/>
          <w:sz w:val="24"/>
          <w:szCs w:val="24"/>
          <w:highlight w:val="none"/>
        </w:rPr>
        <w:t>采购人或者</w:t>
      </w:r>
      <w:bookmarkEnd w:id="16"/>
      <w:r>
        <w:rPr>
          <w:rFonts w:hint="eastAsia" w:ascii="宋体" w:hAnsi="宋体" w:cs="宋体"/>
          <w:sz w:val="24"/>
          <w:szCs w:val="24"/>
          <w:highlight w:val="none"/>
        </w:rPr>
        <w:t>采购代理机构</w:t>
      </w:r>
      <w:r>
        <w:rPr>
          <w:rFonts w:hint="eastAsia" w:ascii="宋体" w:hAnsi="宋体"/>
          <w:sz w:val="24"/>
          <w:szCs w:val="24"/>
          <w:highlight w:val="none"/>
          <w:lang w:val="zh-CN"/>
        </w:rPr>
        <w:t>对</w:t>
      </w:r>
      <w:r>
        <w:rPr>
          <w:rFonts w:hint="eastAsia" w:ascii="宋体" w:hAnsi="宋体"/>
          <w:bCs/>
          <w:sz w:val="24"/>
          <w:szCs w:val="24"/>
          <w:highlight w:val="none"/>
          <w:lang w:val="zh-CN"/>
        </w:rPr>
        <w:t>已</w:t>
      </w:r>
      <w:r>
        <w:rPr>
          <w:rFonts w:hint="eastAsia" w:ascii="宋体" w:hAnsi="宋体"/>
          <w:sz w:val="24"/>
          <w:szCs w:val="24"/>
          <w:highlight w:val="none"/>
          <w:lang w:val="zh-CN"/>
        </w:rPr>
        <w:t>发出的招标文件进行必要澄清或者修改的，将在招标文件要求提交投标文件截止时间</w:t>
      </w:r>
      <w:r>
        <w:rPr>
          <w:rFonts w:hint="eastAsia" w:ascii="宋体" w:hAnsi="宋体"/>
          <w:bCs/>
          <w:iCs/>
          <w:sz w:val="24"/>
          <w:szCs w:val="24"/>
          <w:highlight w:val="none"/>
          <w:u w:val="single"/>
        </w:rPr>
        <w:t>3</w:t>
      </w:r>
      <w:r>
        <w:rPr>
          <w:rFonts w:hint="eastAsia" w:ascii="宋体" w:hAnsi="宋体"/>
          <w:bCs/>
          <w:iCs/>
          <w:sz w:val="24"/>
          <w:szCs w:val="24"/>
          <w:highlight w:val="none"/>
          <w:lang w:val="zh-CN"/>
        </w:rPr>
        <w:t>日</w:t>
      </w:r>
      <w:r>
        <w:rPr>
          <w:rFonts w:hint="eastAsia" w:ascii="宋体" w:hAnsi="宋体"/>
          <w:sz w:val="24"/>
          <w:szCs w:val="24"/>
          <w:highlight w:val="none"/>
          <w:lang w:val="zh-CN"/>
        </w:rPr>
        <w:t>前</w:t>
      </w:r>
      <w:r>
        <w:rPr>
          <w:rFonts w:hint="eastAsia" w:ascii="宋体" w:hAnsi="宋体"/>
          <w:sz w:val="24"/>
          <w:szCs w:val="24"/>
          <w:highlight w:val="none"/>
        </w:rPr>
        <w:t>，</w:t>
      </w:r>
      <w:r>
        <w:rPr>
          <w:rFonts w:hint="eastAsia" w:ascii="宋体" w:hAnsi="宋体"/>
          <w:sz w:val="24"/>
          <w:szCs w:val="24"/>
          <w:highlight w:val="none"/>
          <w:lang w:val="zh-CN"/>
        </w:rPr>
        <w:t>在原招标公告媒体发布更正公告。不足</w:t>
      </w:r>
      <w:r>
        <w:rPr>
          <w:rFonts w:hint="eastAsia" w:ascii="宋体" w:hAnsi="宋体"/>
          <w:sz w:val="24"/>
          <w:szCs w:val="24"/>
          <w:highlight w:val="none"/>
          <w:u w:val="single"/>
        </w:rPr>
        <w:t>3</w:t>
      </w:r>
      <w:r>
        <w:rPr>
          <w:rFonts w:hint="eastAsia" w:ascii="宋体" w:hAnsi="宋体"/>
          <w:sz w:val="24"/>
          <w:szCs w:val="24"/>
          <w:highlight w:val="none"/>
        </w:rPr>
        <w:t>日的，</w:t>
      </w:r>
      <w:r>
        <w:rPr>
          <w:rFonts w:hint="eastAsia" w:ascii="宋体" w:hAnsi="宋体" w:cs="宋体"/>
          <w:sz w:val="24"/>
          <w:szCs w:val="24"/>
          <w:highlight w:val="none"/>
        </w:rPr>
        <w:t>采购人或者采购代理机构有权决定延长投标文件的截止时间和开标时间，</w:t>
      </w:r>
      <w:r>
        <w:rPr>
          <w:rFonts w:hint="eastAsia" w:ascii="宋体" w:hAnsi="宋体"/>
          <w:sz w:val="24"/>
          <w:szCs w:val="24"/>
          <w:highlight w:val="none"/>
          <w:lang w:val="zh-CN"/>
        </w:rPr>
        <w:t>该澄清或者修改的内容为招标文件的组成部分。</w:t>
      </w:r>
    </w:p>
    <w:p w14:paraId="1E768F72">
      <w:pPr>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lang w:val="zh-CN"/>
        </w:rPr>
        <w:t>供应商应在投标截止时间前关注原采购信息发布媒体上有关本招标项目有无变更公告。如供应商未及时关注，由此造成的一切损失由供应商自行承担。</w:t>
      </w:r>
    </w:p>
    <w:p w14:paraId="7D0A2386">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三、投标文件</w:t>
      </w:r>
    </w:p>
    <w:p w14:paraId="0A04F48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7</w:t>
      </w:r>
      <w:r>
        <w:rPr>
          <w:rFonts w:ascii="宋体" w:hAnsi="宋体"/>
          <w:b/>
          <w:sz w:val="24"/>
          <w:szCs w:val="24"/>
          <w:highlight w:val="none"/>
        </w:rPr>
        <w:t>、投标文件的组成。</w:t>
      </w:r>
    </w:p>
    <w:p w14:paraId="0949FA9F">
      <w:pPr>
        <w:numPr>
          <w:ilvl w:val="0"/>
          <w:numId w:val="5"/>
        </w:numPr>
        <w:tabs>
          <w:tab w:val="left" w:pos="0"/>
          <w:tab w:val="left" w:pos="255"/>
        </w:tabs>
        <w:spacing w:line="360" w:lineRule="auto"/>
        <w:rPr>
          <w:rFonts w:ascii="宋体" w:hAnsi="宋体"/>
          <w:sz w:val="24"/>
          <w:szCs w:val="24"/>
          <w:highlight w:val="none"/>
          <w:lang w:val="zh-CN"/>
        </w:rPr>
      </w:pPr>
      <w:bookmarkStart w:id="17" w:name="OLE_LINK51"/>
      <w:r>
        <w:rPr>
          <w:rFonts w:hint="eastAsia" w:ascii="宋体" w:hAnsi="宋体"/>
          <w:sz w:val="24"/>
          <w:szCs w:val="24"/>
          <w:highlight w:val="none"/>
          <w:lang w:val="zh-CN"/>
        </w:rPr>
        <w:t>投标函</w:t>
      </w:r>
      <w:bookmarkStart w:id="18" w:name="OLE_LINK17"/>
      <w:r>
        <w:rPr>
          <w:rFonts w:hint="eastAsia" w:ascii="宋体" w:hAnsi="宋体"/>
          <w:sz w:val="24"/>
          <w:szCs w:val="24"/>
          <w:highlight w:val="none"/>
          <w:lang w:val="zh-CN"/>
        </w:rPr>
        <w:t>（</w:t>
      </w:r>
      <w:r>
        <w:rPr>
          <w:rFonts w:hint="eastAsia" w:ascii="宋体" w:hAnsi="宋体"/>
          <w:sz w:val="24"/>
          <w:szCs w:val="24"/>
          <w:highlight w:val="none"/>
        </w:rPr>
        <w:t>格式见附件</w:t>
      </w:r>
      <w:r>
        <w:rPr>
          <w:rFonts w:hint="eastAsia" w:ascii="宋体" w:hAnsi="宋体"/>
          <w:sz w:val="24"/>
          <w:szCs w:val="24"/>
          <w:highlight w:val="none"/>
          <w:lang w:val="zh-CN"/>
        </w:rPr>
        <w:t>）</w:t>
      </w:r>
      <w:bookmarkEnd w:id="18"/>
    </w:p>
    <w:p w14:paraId="299E6C58">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报价文件：</w:t>
      </w:r>
    </w:p>
    <w:p w14:paraId="4A1CC6FF">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1 \* GB3 \* MERGEFORMAT </w:instrText>
      </w:r>
      <w:r>
        <w:rPr>
          <w:rFonts w:hint="eastAsia" w:ascii="宋体" w:hAnsi="宋体"/>
          <w:sz w:val="24"/>
          <w:szCs w:val="24"/>
          <w:highlight w:val="none"/>
          <w:lang w:val="zh-CN"/>
        </w:rPr>
        <w:fldChar w:fldCharType="separate"/>
      </w:r>
      <w:r>
        <w:rPr>
          <w:sz w:val="24"/>
          <w:szCs w:val="24"/>
          <w:highlight w:val="none"/>
        </w:rPr>
        <w:t>①</w:t>
      </w:r>
      <w:r>
        <w:rPr>
          <w:rFonts w:hint="eastAsia" w:ascii="宋体" w:hAnsi="宋体"/>
          <w:sz w:val="24"/>
          <w:szCs w:val="24"/>
          <w:highlight w:val="none"/>
          <w:lang w:val="zh-CN"/>
        </w:rPr>
        <w:fldChar w:fldCharType="end"/>
      </w:r>
      <w:r>
        <w:rPr>
          <w:rFonts w:hint="eastAsia" w:ascii="宋体" w:hAnsi="宋体"/>
          <w:sz w:val="24"/>
          <w:szCs w:val="24"/>
          <w:highlight w:val="none"/>
          <w:lang w:val="zh-CN"/>
        </w:rPr>
        <w:t>开标一览表（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26A5998E">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2 \* GB3 \* MERGEFORMAT </w:instrText>
      </w:r>
      <w:r>
        <w:rPr>
          <w:rFonts w:hint="eastAsia" w:ascii="宋体" w:hAnsi="宋体"/>
          <w:sz w:val="24"/>
          <w:szCs w:val="24"/>
          <w:highlight w:val="none"/>
          <w:lang w:val="zh-CN"/>
        </w:rPr>
        <w:fldChar w:fldCharType="separate"/>
      </w:r>
      <w:r>
        <w:rPr>
          <w:rFonts w:hint="eastAsia" w:ascii="宋体" w:hAnsi="宋体"/>
          <w:sz w:val="24"/>
          <w:szCs w:val="24"/>
          <w:highlight w:val="none"/>
          <w:lang w:val="zh-CN"/>
        </w:rPr>
        <w:t>②</w:t>
      </w:r>
      <w:r>
        <w:rPr>
          <w:rFonts w:hint="eastAsia" w:ascii="宋体" w:hAnsi="宋体"/>
          <w:sz w:val="24"/>
          <w:szCs w:val="24"/>
          <w:highlight w:val="none"/>
          <w:lang w:val="zh-CN"/>
        </w:rPr>
        <w:fldChar w:fldCharType="end"/>
      </w:r>
      <w:r>
        <w:rPr>
          <w:rFonts w:hint="eastAsia" w:ascii="宋体" w:hAnsi="宋体"/>
          <w:sz w:val="24"/>
          <w:szCs w:val="24"/>
          <w:highlight w:val="none"/>
          <w:lang w:val="zh-CN"/>
        </w:rPr>
        <w:t>投标明细报价表（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4A15AFAB">
      <w:pPr>
        <w:numPr>
          <w:ilvl w:val="0"/>
          <w:numId w:val="5"/>
        </w:numPr>
        <w:tabs>
          <w:tab w:val="left" w:pos="0"/>
          <w:tab w:val="left" w:pos="255"/>
        </w:tabs>
        <w:spacing w:line="360" w:lineRule="auto"/>
        <w:rPr>
          <w:rFonts w:ascii="宋体" w:hAnsi="宋体"/>
          <w:sz w:val="24"/>
          <w:szCs w:val="24"/>
          <w:highlight w:val="none"/>
        </w:rPr>
      </w:pPr>
      <w:bookmarkStart w:id="19" w:name="OLE_LINK20"/>
      <w:r>
        <w:rPr>
          <w:rFonts w:hint="eastAsia" w:ascii="宋体" w:hAnsi="宋体"/>
          <w:sz w:val="24"/>
          <w:szCs w:val="24"/>
          <w:highlight w:val="none"/>
        </w:rPr>
        <w:t>资格证明文件</w:t>
      </w:r>
      <w:bookmarkEnd w:id="19"/>
      <w:r>
        <w:rPr>
          <w:rFonts w:hint="eastAsia" w:ascii="宋体" w:hAnsi="宋体"/>
          <w:sz w:val="24"/>
          <w:szCs w:val="24"/>
          <w:highlight w:val="none"/>
        </w:rPr>
        <w:t>：</w:t>
      </w:r>
    </w:p>
    <w:p w14:paraId="6038EAD6">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1AD5C7EC">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22745B98">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045F7E59">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0A17B2DD">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4373E2C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1D1C8501">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4C087004">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258ECB47">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04E6F8FA">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19513E50">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031341E3">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5D2DAAA1">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3E148953">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7FF855BC">
      <w:pPr>
        <w:tabs>
          <w:tab w:val="left" w:pos="0"/>
          <w:tab w:val="left" w:pos="255"/>
        </w:tabs>
        <w:spacing w:line="360" w:lineRule="auto"/>
        <w:contextualSpacing/>
        <w:rPr>
          <w:rFonts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2C951EB1">
      <w:pPr>
        <w:tabs>
          <w:tab w:val="left" w:pos="0"/>
          <w:tab w:val="left" w:pos="255"/>
        </w:tabs>
        <w:spacing w:line="360" w:lineRule="auto"/>
        <w:ind w:firstLine="480" w:firstLineChars="200"/>
        <w:rPr>
          <w:rFonts w:ascii="宋体" w:hAnsi="宋体"/>
          <w:sz w:val="24"/>
          <w:szCs w:val="24"/>
          <w:highlight w:val="none"/>
        </w:rPr>
      </w:pPr>
      <w:bookmarkStart w:id="20" w:name="OLE_LINK114"/>
      <w:r>
        <w:rPr>
          <w:rFonts w:hint="eastAsia" w:ascii="宋体" w:hAnsi="宋体"/>
          <w:sz w:val="24"/>
          <w:szCs w:val="24"/>
          <w:highlight w:val="none"/>
        </w:rPr>
        <w:t>注：以上“近十二个月”是指投标截止日之前近十二个月（不含投标当月）。</w:t>
      </w:r>
    </w:p>
    <w:bookmarkEnd w:id="20"/>
    <w:p w14:paraId="493ACB19">
      <w:pPr>
        <w:numPr>
          <w:ilvl w:val="0"/>
          <w:numId w:val="5"/>
        </w:numPr>
        <w:tabs>
          <w:tab w:val="left" w:pos="0"/>
          <w:tab w:val="left" w:pos="255"/>
        </w:tabs>
        <w:spacing w:line="360" w:lineRule="auto"/>
        <w:rPr>
          <w:rFonts w:ascii="宋体" w:hAnsi="宋体"/>
          <w:sz w:val="24"/>
          <w:szCs w:val="24"/>
          <w:highlight w:val="none"/>
        </w:rPr>
      </w:pPr>
      <w:bookmarkStart w:id="21" w:name="OLE_LINK4"/>
      <w:r>
        <w:rPr>
          <w:rFonts w:hint="eastAsia" w:ascii="宋体" w:hAnsi="宋体"/>
          <w:sz w:val="24"/>
          <w:szCs w:val="24"/>
          <w:highlight w:val="none"/>
        </w:rPr>
        <w:t>招标文件</w:t>
      </w:r>
      <w:bookmarkEnd w:id="21"/>
      <w:r>
        <w:rPr>
          <w:rFonts w:hint="eastAsia" w:ascii="宋体" w:hAnsi="宋体"/>
          <w:sz w:val="24"/>
          <w:szCs w:val="24"/>
          <w:highlight w:val="none"/>
        </w:rPr>
        <w:t>第四章“项目技术要求和有关说明”中要求提供的相关证明材料</w:t>
      </w:r>
      <w:bookmarkStart w:id="22" w:name="OLE_LINK6"/>
      <w:r>
        <w:rPr>
          <w:rFonts w:hint="eastAsia" w:ascii="宋体" w:hAnsi="宋体"/>
          <w:sz w:val="24"/>
          <w:szCs w:val="24"/>
          <w:highlight w:val="none"/>
        </w:rPr>
        <w:t>（如有自行添加）</w:t>
      </w:r>
      <w:bookmarkEnd w:id="22"/>
    </w:p>
    <w:p w14:paraId="5BD3A4AD">
      <w:pPr>
        <w:numPr>
          <w:ilvl w:val="0"/>
          <w:numId w:val="5"/>
        </w:numPr>
        <w:tabs>
          <w:tab w:val="left" w:pos="0"/>
          <w:tab w:val="left" w:pos="255"/>
        </w:tabs>
        <w:spacing w:line="360" w:lineRule="auto"/>
        <w:rPr>
          <w:rFonts w:ascii="宋体" w:hAnsi="宋体"/>
          <w:sz w:val="24"/>
          <w:szCs w:val="24"/>
          <w:highlight w:val="none"/>
        </w:rPr>
      </w:pPr>
      <w:bookmarkStart w:id="23" w:name="OLE_LINK7"/>
      <w:r>
        <w:rPr>
          <w:rFonts w:hint="eastAsia" w:ascii="宋体" w:hAnsi="宋体"/>
          <w:sz w:val="24"/>
          <w:szCs w:val="24"/>
          <w:highlight w:val="none"/>
        </w:rPr>
        <w:t>技术商务部分评分导读表</w:t>
      </w:r>
      <w:bookmarkEnd w:id="23"/>
      <w:r>
        <w:rPr>
          <w:rFonts w:hint="eastAsia" w:ascii="宋体" w:hAnsi="宋体"/>
          <w:sz w:val="24"/>
          <w:szCs w:val="24"/>
          <w:highlight w:val="none"/>
        </w:rPr>
        <w:t>，附招标文件第三章“评标方法和标准”中要求提供的相关文件、证明材料等（格式见附件）</w:t>
      </w:r>
    </w:p>
    <w:p w14:paraId="7FF4C4DB">
      <w:pPr>
        <w:numPr>
          <w:ilvl w:val="0"/>
          <w:numId w:val="5"/>
        </w:numPr>
        <w:spacing w:line="360" w:lineRule="auto"/>
        <w:rPr>
          <w:rFonts w:ascii="宋体" w:hAnsi="宋体"/>
          <w:sz w:val="24"/>
          <w:szCs w:val="24"/>
          <w:highlight w:val="none"/>
          <w:lang w:val="zh-CN"/>
        </w:rPr>
      </w:pPr>
      <w:r>
        <w:rPr>
          <w:rFonts w:hint="eastAsia" w:ascii="宋体" w:hAnsi="宋体"/>
          <w:sz w:val="24"/>
          <w:szCs w:val="24"/>
          <w:highlight w:val="none"/>
          <w:lang w:val="zh-CN"/>
        </w:rPr>
        <w:t>服务内容的详细说明及服务方案（格式自拟）</w:t>
      </w:r>
    </w:p>
    <w:p w14:paraId="5946B230">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zh-CN"/>
        </w:rPr>
        <w:t>项目人员配置清单</w:t>
      </w:r>
    </w:p>
    <w:p w14:paraId="711BF954">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14:paraId="2DFD6216">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其他（供应商认为有必要提供的声明和文件，</w:t>
      </w:r>
      <w:r>
        <w:rPr>
          <w:rFonts w:hint="eastAsia" w:ascii="宋体" w:hAnsi="宋体"/>
          <w:sz w:val="24"/>
          <w:szCs w:val="24"/>
          <w:highlight w:val="none"/>
        </w:rPr>
        <w:t>如有自拟并自行添加）</w:t>
      </w:r>
    </w:p>
    <w:bookmarkEnd w:id="17"/>
    <w:p w14:paraId="7A504C9D">
      <w:pPr>
        <w:spacing w:line="360" w:lineRule="auto"/>
        <w:ind w:firstLine="482" w:firstLineChars="200"/>
        <w:rPr>
          <w:rFonts w:ascii="宋体" w:hAnsi="宋体"/>
          <w:bCs/>
          <w:sz w:val="24"/>
          <w:szCs w:val="24"/>
          <w:highlight w:val="none"/>
        </w:rPr>
      </w:pPr>
      <w:r>
        <w:rPr>
          <w:rFonts w:hint="eastAsia" w:ascii="宋体" w:hAnsi="宋体"/>
          <w:b/>
          <w:sz w:val="24"/>
          <w:szCs w:val="24"/>
          <w:highlight w:val="none"/>
        </w:rPr>
        <w:t>上述（</w:t>
      </w:r>
      <w:r>
        <w:rPr>
          <w:rFonts w:ascii="宋体" w:hAnsi="宋体"/>
          <w:b/>
          <w:sz w:val="24"/>
          <w:szCs w:val="24"/>
          <w:highlight w:val="none"/>
        </w:rPr>
        <w:t>1）-（7）项</w:t>
      </w:r>
      <w:r>
        <w:rPr>
          <w:rFonts w:hint="eastAsia" w:ascii="宋体" w:hAnsi="宋体"/>
          <w:b/>
          <w:sz w:val="24"/>
          <w:szCs w:val="24"/>
          <w:highlight w:val="none"/>
        </w:rPr>
        <w:t>供应商必须按要求全部提供，否则投标无效。</w:t>
      </w:r>
      <w:r>
        <w:rPr>
          <w:rFonts w:hint="eastAsia" w:ascii="宋体" w:hAnsi="宋体" w:cs="宋体"/>
          <w:b/>
          <w:sz w:val="24"/>
          <w:szCs w:val="24"/>
          <w:highlight w:val="none"/>
        </w:rPr>
        <w:t>若要求提交原件的，</w:t>
      </w:r>
      <w:r>
        <w:rPr>
          <w:rFonts w:hint="eastAsia" w:ascii="宋体" w:hAnsi="宋体"/>
          <w:b/>
          <w:sz w:val="24"/>
          <w:szCs w:val="24"/>
          <w:highlight w:val="none"/>
        </w:rPr>
        <w:t>供应商应在提交投标文件截止时间之前将相关原件或公证件与投标文件一并提交。</w:t>
      </w:r>
      <w:r>
        <w:rPr>
          <w:rFonts w:hint="eastAsia" w:ascii="宋体" w:hAnsi="宋体"/>
          <w:bCs/>
          <w:sz w:val="24"/>
          <w:szCs w:val="24"/>
          <w:highlight w:val="none"/>
        </w:rPr>
        <w:t>如上述证明文件遇年检、换证，则必须提供法定年检、换证单位出具的有效证明复印件，原件一并提交。如上述“（</w:t>
      </w:r>
      <w:r>
        <w:rPr>
          <w:rFonts w:ascii="宋体" w:hAnsi="宋体"/>
          <w:bCs/>
          <w:sz w:val="24"/>
          <w:szCs w:val="24"/>
          <w:highlight w:val="none"/>
        </w:rPr>
        <w:t>3）资格证明文件”第</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5 \* GB3 \* MERGEFORMAT </w:instrText>
      </w:r>
      <w:r>
        <w:rPr>
          <w:rFonts w:hint="eastAsia" w:ascii="宋体" w:hAnsi="宋体"/>
          <w:bCs/>
          <w:sz w:val="24"/>
          <w:szCs w:val="24"/>
          <w:highlight w:val="none"/>
        </w:rPr>
        <w:fldChar w:fldCharType="separate"/>
      </w:r>
      <w:r>
        <w:rPr>
          <w:rFonts w:ascii="宋体" w:hAnsi="宋体"/>
          <w:bCs/>
          <w:sz w:val="24"/>
          <w:szCs w:val="24"/>
          <w:highlight w:val="none"/>
        </w:rPr>
        <w:t>⑤</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6 \* GB3 \* MERGEFORMAT </w:instrText>
      </w:r>
      <w:r>
        <w:rPr>
          <w:rFonts w:hint="eastAsia" w:ascii="宋体" w:hAnsi="宋体"/>
          <w:bCs/>
          <w:sz w:val="24"/>
          <w:szCs w:val="24"/>
          <w:highlight w:val="none"/>
        </w:rPr>
        <w:fldChar w:fldCharType="separate"/>
      </w:r>
      <w:r>
        <w:rPr>
          <w:rFonts w:ascii="宋体" w:hAnsi="宋体"/>
          <w:bCs/>
          <w:sz w:val="24"/>
          <w:szCs w:val="24"/>
          <w:highlight w:val="none"/>
        </w:rPr>
        <w:t>⑥</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7 \* GB3 \* MERGEFORMAT </w:instrText>
      </w:r>
      <w:r>
        <w:rPr>
          <w:rFonts w:hint="eastAsia" w:ascii="宋体" w:hAnsi="宋体"/>
          <w:bCs/>
          <w:sz w:val="24"/>
          <w:szCs w:val="24"/>
          <w:highlight w:val="none"/>
        </w:rPr>
        <w:fldChar w:fldCharType="separate"/>
      </w:r>
      <w:r>
        <w:rPr>
          <w:rFonts w:ascii="宋体" w:hAnsi="宋体"/>
          <w:bCs/>
          <w:sz w:val="24"/>
          <w:szCs w:val="24"/>
          <w:highlight w:val="none"/>
        </w:rPr>
        <w:t>⑦</w:t>
      </w:r>
      <w:r>
        <w:rPr>
          <w:rFonts w:hint="eastAsia" w:ascii="宋体" w:hAnsi="宋体"/>
          <w:bCs/>
          <w:sz w:val="24"/>
          <w:szCs w:val="24"/>
          <w:highlight w:val="none"/>
        </w:rPr>
        <w:fldChar w:fldCharType="end"/>
      </w:r>
      <w:r>
        <w:rPr>
          <w:rFonts w:hint="eastAsia" w:ascii="宋体" w:hAnsi="宋体"/>
          <w:bCs/>
          <w:sz w:val="24"/>
          <w:szCs w:val="24"/>
          <w:highlight w:val="none"/>
        </w:rPr>
        <w:t>项，依法免税或</w:t>
      </w:r>
      <w:bookmarkStart w:id="24" w:name="OLE_LINK19"/>
      <w:r>
        <w:rPr>
          <w:rFonts w:hint="eastAsia" w:ascii="宋体" w:hAnsi="宋体"/>
          <w:bCs/>
          <w:sz w:val="24"/>
          <w:szCs w:val="24"/>
          <w:highlight w:val="none"/>
        </w:rPr>
        <w:t>不需要缴纳社会保障资金</w:t>
      </w:r>
      <w:bookmarkEnd w:id="24"/>
      <w:r>
        <w:rPr>
          <w:rFonts w:hint="eastAsia" w:ascii="宋体" w:hAnsi="宋体"/>
          <w:bCs/>
          <w:sz w:val="24"/>
          <w:szCs w:val="24"/>
          <w:highlight w:val="none"/>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20F1019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8</w:t>
      </w:r>
      <w:r>
        <w:rPr>
          <w:rFonts w:ascii="宋体" w:hAnsi="宋体"/>
          <w:b/>
          <w:sz w:val="24"/>
          <w:szCs w:val="24"/>
          <w:highlight w:val="none"/>
        </w:rPr>
        <w:t>、</w:t>
      </w:r>
      <w:bookmarkStart w:id="25" w:name="_Toc23231"/>
      <w:bookmarkStart w:id="26" w:name="_Toc19624"/>
      <w:bookmarkStart w:id="27" w:name="_Toc2248"/>
      <w:bookmarkStart w:id="28" w:name="_Toc515647770"/>
      <w:bookmarkStart w:id="29" w:name="_Toc520356155"/>
      <w:r>
        <w:rPr>
          <w:rFonts w:hint="eastAsia" w:ascii="宋体" w:hAnsi="宋体"/>
          <w:b/>
          <w:sz w:val="24"/>
          <w:szCs w:val="24"/>
          <w:highlight w:val="none"/>
        </w:rPr>
        <w:t>投标报价</w:t>
      </w:r>
      <w:bookmarkEnd w:id="25"/>
      <w:bookmarkEnd w:id="26"/>
      <w:bookmarkEnd w:id="27"/>
      <w:bookmarkEnd w:id="28"/>
      <w:bookmarkEnd w:id="29"/>
    </w:p>
    <w:p w14:paraId="5B1DF9B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.1</w:t>
      </w:r>
      <w:r>
        <w:rPr>
          <w:rFonts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30" w:name="OLE_LINK204"/>
      <w:r>
        <w:rPr>
          <w:rFonts w:hint="eastAsia" w:ascii="宋体" w:hAnsi="宋体"/>
          <w:bCs/>
          <w:sz w:val="24"/>
          <w:szCs w:val="24"/>
          <w:highlight w:val="none"/>
          <w:lang w:val="zh-CN"/>
        </w:rPr>
        <w:t>。</w:t>
      </w:r>
      <w:bookmarkEnd w:id="30"/>
      <w:r>
        <w:rPr>
          <w:rFonts w:hint="eastAsia" w:ascii="宋体" w:hAnsi="宋体"/>
          <w:bCs/>
          <w:sz w:val="24"/>
          <w:szCs w:val="24"/>
          <w:highlight w:val="none"/>
          <w:lang w:val="zh-CN"/>
        </w:rPr>
        <w:t>供应商的投标报价应遵守《中华人民共和国价格法》。同时为保证公平竞争，如有</w:t>
      </w:r>
      <w:r>
        <w:rPr>
          <w:rFonts w:hint="eastAsia" w:ascii="宋体" w:hAnsi="宋体"/>
          <w:bCs/>
          <w:sz w:val="24"/>
          <w:szCs w:val="24"/>
          <w:highlight w:val="none"/>
        </w:rPr>
        <w:t>服务</w:t>
      </w:r>
      <w:r>
        <w:rPr>
          <w:rFonts w:hint="eastAsia" w:ascii="宋体" w:hAnsi="宋体"/>
          <w:bCs/>
          <w:sz w:val="24"/>
          <w:szCs w:val="24"/>
          <w:highlight w:val="none"/>
          <w:lang w:val="zh-CN"/>
        </w:rPr>
        <w:t>主体部分的赠与行为，其投标将被认定为投标无效。</w:t>
      </w:r>
    </w:p>
    <w:p w14:paraId="0338EE6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.2</w:t>
      </w:r>
      <w:r>
        <w:rPr>
          <w:rFonts w:hint="eastAsia" w:ascii="宋体" w:hAnsi="宋体"/>
          <w:bCs/>
          <w:sz w:val="24"/>
          <w:szCs w:val="24"/>
          <w:highlight w:val="none"/>
          <w:lang w:val="zh-CN"/>
        </w:rPr>
        <w:t>投标报价包含完成本服务项目发生的所有含税费用、支付给员工的工资和国家强制缴纳的各种社会保障资金，以及供应商认为需要的其他费用等。</w:t>
      </w:r>
    </w:p>
    <w:p w14:paraId="3AC9456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 xml:space="preserve">3 </w:t>
      </w:r>
      <w:r>
        <w:rPr>
          <w:rFonts w:hint="eastAsia" w:ascii="宋体" w:hAnsi="宋体"/>
          <w:bCs/>
          <w:sz w:val="24"/>
          <w:szCs w:val="24"/>
          <w:highlight w:val="none"/>
          <w:lang w:val="zh-CN"/>
        </w:rPr>
        <w:t>供应商所报的各分项投标单价（</w:t>
      </w:r>
      <w:r>
        <w:rPr>
          <w:rFonts w:hint="eastAsia" w:ascii="宋体" w:hAnsi="宋体"/>
          <w:bCs/>
          <w:sz w:val="24"/>
          <w:szCs w:val="24"/>
          <w:highlight w:val="none"/>
        </w:rPr>
        <w:t>投标比率</w:t>
      </w:r>
      <w:r>
        <w:rPr>
          <w:rFonts w:hint="eastAsia" w:ascii="宋体" w:hAnsi="宋体"/>
          <w:bCs/>
          <w:sz w:val="24"/>
          <w:szCs w:val="24"/>
          <w:highlight w:val="none"/>
          <w:lang w:val="zh-CN"/>
        </w:rPr>
        <w:t>）在合同履行过程中是固定不变的，不得以任何理由予以变更。任何包含价格调整要求的投标，其投标将被认定为投标无效。</w:t>
      </w:r>
    </w:p>
    <w:p w14:paraId="7A765676">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4</w:t>
      </w:r>
      <w:r>
        <w:rPr>
          <w:rFonts w:hint="eastAsia" w:ascii="宋体" w:hAnsi="宋体"/>
          <w:bCs/>
          <w:sz w:val="24"/>
          <w:szCs w:val="24"/>
          <w:highlight w:val="none"/>
          <w:lang w:val="zh-CN"/>
        </w:rPr>
        <w:t>每种服务及货物只能有一个投标报价。采购人不接受具有附加条件的报价。</w:t>
      </w:r>
    </w:p>
    <w:p w14:paraId="32E5FD1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9、投标文件的制作及密封</w:t>
      </w:r>
    </w:p>
    <w:p w14:paraId="733DB5D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9.1 </w:t>
      </w:r>
      <w:r>
        <w:rPr>
          <w:rFonts w:hint="eastAsia" w:ascii="宋体" w:hAnsi="宋体"/>
          <w:bCs/>
          <w:sz w:val="24"/>
          <w:szCs w:val="24"/>
          <w:highlight w:val="none"/>
          <w:lang w:val="zh-CN"/>
        </w:rPr>
        <w:t>所有文件、往来函件均应使用简体中文（规格、型号辅助符号例外）。</w:t>
      </w:r>
    </w:p>
    <w:p w14:paraId="5131008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供应商所使用的计量单位应为国家法定计量单位。</w:t>
      </w:r>
    </w:p>
    <w:p w14:paraId="4AAA062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.3 </w:t>
      </w:r>
      <w:r>
        <w:rPr>
          <w:rFonts w:hint="eastAsia" w:ascii="宋体" w:hAnsi="宋体"/>
          <w:bCs/>
          <w:sz w:val="24"/>
          <w:szCs w:val="24"/>
          <w:highlight w:val="none"/>
          <w:lang w:val="zh-CN"/>
        </w:rPr>
        <w:t>如供应商对招标文件的相关内容有不同意见的偏离，应在投标文件中详细说明偏离的情况，如未明确作出偏离情况的说明，</w:t>
      </w:r>
      <w:bookmarkStart w:id="31" w:name="OLE_LINK119"/>
      <w:r>
        <w:rPr>
          <w:rFonts w:hint="eastAsia" w:ascii="宋体" w:hAnsi="宋体"/>
          <w:bCs/>
          <w:sz w:val="24"/>
          <w:szCs w:val="24"/>
          <w:highlight w:val="none"/>
          <w:lang w:val="zh-CN"/>
        </w:rPr>
        <w:t>则视同</w:t>
      </w:r>
      <w:bookmarkStart w:id="32" w:name="OLE_LINK225"/>
      <w:r>
        <w:rPr>
          <w:rFonts w:hint="eastAsia" w:ascii="宋体" w:hAnsi="宋体"/>
          <w:bCs/>
          <w:sz w:val="24"/>
          <w:szCs w:val="24"/>
          <w:highlight w:val="none"/>
        </w:rPr>
        <w:t>供应商承诺实质性响应</w:t>
      </w:r>
      <w:bookmarkEnd w:id="32"/>
      <w:r>
        <w:rPr>
          <w:rFonts w:hint="eastAsia" w:ascii="宋体" w:hAnsi="宋体"/>
          <w:bCs/>
          <w:sz w:val="24"/>
          <w:szCs w:val="24"/>
          <w:highlight w:val="none"/>
        </w:rPr>
        <w:t>招标文件的要求。</w:t>
      </w:r>
      <w:bookmarkEnd w:id="31"/>
    </w:p>
    <w:p w14:paraId="2338B3A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sz w:val="24"/>
          <w:szCs w:val="24"/>
          <w:highlight w:val="none"/>
        </w:rPr>
        <w:t xml:space="preserve">.4 </w:t>
      </w:r>
      <w:bookmarkStart w:id="33" w:name="OLE_LINK120"/>
      <w:bookmarkStart w:id="34" w:name="OLE_LINK121"/>
      <w:r>
        <w:rPr>
          <w:rFonts w:hint="eastAsia" w:ascii="宋体" w:hAnsi="宋体"/>
          <w:sz w:val="24"/>
          <w:szCs w:val="24"/>
          <w:highlight w:val="none"/>
        </w:rPr>
        <w:t>如供应商对投标文件进行了修改，则应由供应商的法定代表人或被授权代表在每一修改处签字</w:t>
      </w:r>
      <w:bookmarkEnd w:id="33"/>
      <w:r>
        <w:rPr>
          <w:rFonts w:hint="eastAsia" w:ascii="宋体" w:hAnsi="宋体"/>
          <w:sz w:val="24"/>
          <w:szCs w:val="24"/>
          <w:highlight w:val="none"/>
        </w:rPr>
        <w:t>并加盖供应商公章。</w:t>
      </w:r>
      <w:bookmarkEnd w:id="34"/>
    </w:p>
    <w:p w14:paraId="004E1F2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.5 </w:t>
      </w:r>
      <w:r>
        <w:rPr>
          <w:rFonts w:hint="eastAsia" w:ascii="宋体" w:hAnsi="宋体"/>
          <w:bCs/>
          <w:sz w:val="24"/>
          <w:szCs w:val="24"/>
          <w:highlight w:val="none"/>
        </w:rPr>
        <w:t>投标文件可按照“投标文件的组成”顺序</w:t>
      </w:r>
      <w:r>
        <w:rPr>
          <w:rFonts w:hint="eastAsia" w:ascii="宋体" w:hAnsi="宋体"/>
          <w:bCs/>
          <w:sz w:val="24"/>
          <w:szCs w:val="24"/>
          <w:highlight w:val="none"/>
          <w:lang w:val="zh-CN"/>
        </w:rPr>
        <w:t>打印或用不褪色墨水书写，装订成册，</w:t>
      </w:r>
      <w:bookmarkStart w:id="35" w:name="OLE_LINK122"/>
      <w:r>
        <w:rPr>
          <w:rFonts w:hint="eastAsia" w:ascii="宋体" w:hAnsi="宋体"/>
          <w:bCs/>
          <w:sz w:val="24"/>
          <w:szCs w:val="24"/>
          <w:highlight w:val="none"/>
        </w:rPr>
        <w:t>注明“正本”、“副本”字样</w:t>
      </w:r>
      <w:bookmarkEnd w:id="35"/>
      <w:r>
        <w:rPr>
          <w:rFonts w:hint="eastAsia" w:ascii="宋体" w:hAnsi="宋体"/>
          <w:bCs/>
          <w:sz w:val="24"/>
          <w:szCs w:val="24"/>
          <w:highlight w:val="none"/>
          <w:lang w:val="zh-CN"/>
        </w:rPr>
        <w:t>。投标文件中有</w:t>
      </w:r>
      <w:r>
        <w:rPr>
          <w:rFonts w:hint="eastAsia" w:ascii="宋体" w:hAnsi="宋体"/>
          <w:bCs/>
          <w:sz w:val="24"/>
          <w:szCs w:val="24"/>
          <w:highlight w:val="none"/>
        </w:rPr>
        <w:t>给定格式的，供应商应按照格式如实填写（编写），格式中有盖章和签名要求的，须加盖供应商公章、并由法定代表人或被授权代表签名。其中，正本上加盖的公章应为红章。</w:t>
      </w:r>
    </w:p>
    <w:p w14:paraId="099384A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.6 </w:t>
      </w:r>
      <w:r>
        <w:rPr>
          <w:rFonts w:hint="eastAsia" w:ascii="宋体" w:hAnsi="宋体"/>
          <w:b/>
          <w:sz w:val="24"/>
          <w:szCs w:val="24"/>
          <w:highlight w:val="none"/>
          <w:lang w:val="zh-CN"/>
        </w:rPr>
        <w:t>由于装订、纸张、文件排序等非实质性的格式或形式问题导致投标文件被误读或查找不到的，责任由供应商承担。</w:t>
      </w:r>
      <w:r>
        <w:rPr>
          <w:rFonts w:ascii="宋体" w:hAnsi="宋体"/>
          <w:bCs/>
          <w:sz w:val="24"/>
          <w:szCs w:val="24"/>
          <w:highlight w:val="none"/>
        </w:rPr>
        <w:t xml:space="preserve">   </w:t>
      </w:r>
    </w:p>
    <w:p w14:paraId="3E1C465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.7 </w:t>
      </w:r>
      <w:bookmarkStart w:id="36" w:name="OLE_LINK123"/>
      <w:r>
        <w:rPr>
          <w:rFonts w:hint="eastAsia" w:ascii="宋体" w:hAnsi="宋体"/>
          <w:bCs/>
          <w:sz w:val="24"/>
          <w:szCs w:val="24"/>
          <w:highlight w:val="none"/>
        </w:rPr>
        <w:t>供应商须对投标文件进行密封，同时注明供应商名称。</w:t>
      </w:r>
      <w:bookmarkEnd w:id="36"/>
    </w:p>
    <w:p w14:paraId="2CE4D01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10、投标文件的真实性</w:t>
      </w:r>
    </w:p>
    <w:p w14:paraId="282F0455">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供应商（含中标供应商）应对其投标文件中提供的所有材料的真实性负责。</w:t>
      </w:r>
    </w:p>
    <w:p w14:paraId="3E63CC74">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0</w:t>
      </w:r>
      <w:r>
        <w:rPr>
          <w:rFonts w:ascii="宋体" w:hAnsi="宋体"/>
          <w:sz w:val="24"/>
          <w:szCs w:val="24"/>
          <w:highlight w:val="none"/>
        </w:rPr>
        <w:t xml:space="preserve">.2 </w:t>
      </w:r>
      <w:r>
        <w:rPr>
          <w:rFonts w:hint="eastAsia" w:ascii="宋体" w:hAnsi="宋体"/>
          <w:sz w:val="24"/>
          <w:szCs w:val="24"/>
          <w:highlight w:val="none"/>
        </w:rPr>
        <w:t>如</w:t>
      </w:r>
      <w:bookmarkStart w:id="37" w:name="OLE_LINK45"/>
      <w:r>
        <w:rPr>
          <w:rFonts w:hint="eastAsia" w:ascii="宋体" w:hAnsi="宋体"/>
          <w:sz w:val="24"/>
          <w:szCs w:val="24"/>
          <w:highlight w:val="none"/>
        </w:rPr>
        <w:t>采购人、</w:t>
      </w:r>
      <w:bookmarkEnd w:id="37"/>
      <w:r>
        <w:rPr>
          <w:rFonts w:hint="eastAsia" w:ascii="宋体" w:hAnsi="宋体"/>
          <w:sz w:val="24"/>
          <w:szCs w:val="24"/>
          <w:highlight w:val="none"/>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40B0764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11、投标</w:t>
      </w:r>
    </w:p>
    <w:p w14:paraId="7D9B8E9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11</w:t>
      </w:r>
      <w:r>
        <w:rPr>
          <w:rFonts w:ascii="宋体" w:hAnsi="宋体"/>
          <w:bCs/>
          <w:sz w:val="24"/>
          <w:szCs w:val="24"/>
          <w:highlight w:val="none"/>
        </w:rPr>
        <w:t xml:space="preserve">.1 </w:t>
      </w:r>
      <w:bookmarkStart w:id="38" w:name="OLE_LINK259"/>
      <w:r>
        <w:rPr>
          <w:rFonts w:hint="eastAsia" w:ascii="宋体" w:hAnsi="宋体"/>
          <w:bCs/>
          <w:sz w:val="24"/>
          <w:szCs w:val="24"/>
          <w:highlight w:val="none"/>
        </w:rPr>
        <w:t>供应商应在招标文件规定的投标截止时间之前，将投标文件及相关资料送达招标文件指定地点，并递交给采购人或代理机构现场工作人员。</w:t>
      </w:r>
      <w:bookmarkEnd w:id="38"/>
    </w:p>
    <w:p w14:paraId="11360514">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12、有下列情形之一的投标文件将被拒收</w:t>
      </w:r>
    </w:p>
    <w:p w14:paraId="2B368B0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.1 </w:t>
      </w:r>
      <w:r>
        <w:rPr>
          <w:rFonts w:hint="eastAsia" w:ascii="宋体" w:hAnsi="宋体"/>
          <w:bCs/>
          <w:sz w:val="24"/>
          <w:szCs w:val="24"/>
          <w:highlight w:val="none"/>
        </w:rPr>
        <w:t>在招标文件要求的投标截止时间之后送达的；</w:t>
      </w:r>
    </w:p>
    <w:p w14:paraId="4C571CA9">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.2 </w:t>
      </w:r>
      <w:r>
        <w:rPr>
          <w:rFonts w:hint="eastAsia" w:ascii="宋体" w:hAnsi="宋体" w:cs="宋体"/>
          <w:sz w:val="24"/>
          <w:szCs w:val="24"/>
          <w:highlight w:val="none"/>
        </w:rPr>
        <w:t>未按照招标文件要求密封的。</w:t>
      </w:r>
    </w:p>
    <w:p w14:paraId="524CFEE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13、投标文件的有效期</w:t>
      </w:r>
    </w:p>
    <w:p w14:paraId="032FD8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13</w:t>
      </w:r>
      <w:r>
        <w:rPr>
          <w:rFonts w:ascii="宋体" w:hAnsi="宋体"/>
          <w:bCs/>
          <w:sz w:val="24"/>
          <w:szCs w:val="24"/>
          <w:highlight w:val="none"/>
        </w:rPr>
        <w:t xml:space="preserve">.1 </w:t>
      </w:r>
      <w:r>
        <w:rPr>
          <w:rFonts w:hint="eastAsia" w:ascii="宋体" w:hAnsi="宋体"/>
          <w:bCs/>
          <w:sz w:val="24"/>
          <w:szCs w:val="24"/>
          <w:highlight w:val="none"/>
        </w:rPr>
        <w:t>投标文件的有效期为投标截止之日起的</w:t>
      </w:r>
      <w:r>
        <w:rPr>
          <w:rFonts w:ascii="宋体" w:hAnsi="宋体"/>
          <w:bCs/>
          <w:sz w:val="24"/>
          <w:szCs w:val="24"/>
          <w:highlight w:val="none"/>
        </w:rPr>
        <w:t>60天（含提交当日）。在特殊情况下，采购人、</w:t>
      </w:r>
      <w:r>
        <w:rPr>
          <w:rFonts w:hint="eastAsia" w:ascii="宋体" w:hAnsi="宋体"/>
          <w:sz w:val="24"/>
          <w:szCs w:val="24"/>
          <w:highlight w:val="none"/>
        </w:rPr>
        <w:t>代理机构</w:t>
      </w:r>
      <w:r>
        <w:rPr>
          <w:rFonts w:hint="eastAsia" w:ascii="宋体" w:hAnsi="宋体"/>
          <w:bCs/>
          <w:sz w:val="24"/>
          <w:szCs w:val="24"/>
          <w:highlight w:val="none"/>
        </w:rPr>
        <w:t>可与供应商协商延长投标文件的有效期。</w:t>
      </w:r>
    </w:p>
    <w:p w14:paraId="5BFC0E8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14、投标文件的退还</w:t>
      </w:r>
    </w:p>
    <w:p w14:paraId="15D21CC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w:t>
      </w:r>
      <w:r>
        <w:rPr>
          <w:rFonts w:ascii="宋体" w:hAnsi="宋体"/>
          <w:bCs/>
          <w:sz w:val="24"/>
          <w:szCs w:val="24"/>
          <w:highlight w:val="none"/>
        </w:rPr>
        <w:t xml:space="preserve">.1 </w:t>
      </w:r>
      <w:r>
        <w:rPr>
          <w:rFonts w:hint="eastAsia" w:ascii="宋体" w:hAnsi="宋体"/>
          <w:bCs/>
          <w:sz w:val="24"/>
          <w:szCs w:val="24"/>
          <w:highlight w:val="none"/>
        </w:rPr>
        <w:t>供应商投标后，采购人和代理机构对所有供应商的投标文件一律不予退还。</w:t>
      </w:r>
    </w:p>
    <w:p w14:paraId="2A6F508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15、投标文件的</w:t>
      </w:r>
      <w:bookmarkStart w:id="39" w:name="OLE_LINK260"/>
      <w:r>
        <w:rPr>
          <w:rFonts w:hint="eastAsia" w:ascii="宋体" w:hAnsi="宋体"/>
          <w:b/>
          <w:sz w:val="24"/>
          <w:szCs w:val="24"/>
          <w:highlight w:val="none"/>
        </w:rPr>
        <w:t>补充、修改或者撤回</w:t>
      </w:r>
      <w:bookmarkEnd w:id="39"/>
    </w:p>
    <w:p w14:paraId="7EC9D219">
      <w:pPr>
        <w:spacing w:line="360" w:lineRule="auto"/>
        <w:ind w:firstLine="480" w:firstLineChars="200"/>
        <w:rPr>
          <w:rFonts w:ascii="宋体" w:hAnsi="宋体"/>
          <w:bCs/>
          <w:sz w:val="24"/>
          <w:szCs w:val="24"/>
          <w:highlight w:val="none"/>
          <w:lang w:val="zh-CN"/>
        </w:rPr>
      </w:pPr>
      <w:bookmarkStart w:id="40" w:name="OLE_LINK221"/>
      <w:r>
        <w:rPr>
          <w:rFonts w:ascii="宋体" w:hAnsi="宋体"/>
          <w:bCs/>
          <w:sz w:val="24"/>
          <w:szCs w:val="24"/>
          <w:highlight w:val="none"/>
        </w:rPr>
        <w:t>15.1</w:t>
      </w:r>
      <w:r>
        <w:rPr>
          <w:rFonts w:ascii="宋体" w:hAnsi="宋体"/>
          <w:bCs/>
          <w:sz w:val="24"/>
          <w:szCs w:val="24"/>
          <w:highlight w:val="none"/>
          <w:lang w:val="zh-CN"/>
        </w:rPr>
        <w:t xml:space="preserve"> </w:t>
      </w:r>
      <w:r>
        <w:rPr>
          <w:rFonts w:hint="eastAsia" w:ascii="宋体" w:hAnsi="宋体"/>
          <w:bCs/>
          <w:sz w:val="24"/>
          <w:szCs w:val="24"/>
          <w:highlight w:val="none"/>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3FD99920">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rPr>
        <w:t>在投标截止时间之后，采购人、代理机构、评标委员会不接受供应商主动对其投标文件做任何补充、修改。</w:t>
      </w:r>
      <w:bookmarkEnd w:id="40"/>
    </w:p>
    <w:p w14:paraId="03B7FECE">
      <w:pPr>
        <w:spacing w:line="360" w:lineRule="auto"/>
        <w:rPr>
          <w:rFonts w:ascii="宋体" w:hAnsi="宋体"/>
          <w:b/>
          <w:sz w:val="24"/>
          <w:szCs w:val="24"/>
          <w:highlight w:val="none"/>
          <w:lang w:val="zh-CN"/>
        </w:rPr>
      </w:pPr>
      <w:r>
        <w:rPr>
          <w:rFonts w:ascii="宋体" w:hAnsi="宋体"/>
          <w:b/>
          <w:sz w:val="24"/>
          <w:szCs w:val="24"/>
          <w:highlight w:val="none"/>
        </w:rPr>
        <w:t xml:space="preserve">    </w:t>
      </w: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1CCFF87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16</w:t>
      </w:r>
      <w:r>
        <w:rPr>
          <w:rFonts w:ascii="宋体" w:hAnsi="宋体"/>
          <w:bCs/>
          <w:sz w:val="24"/>
          <w:szCs w:val="24"/>
          <w:highlight w:val="none"/>
        </w:rPr>
        <w:t xml:space="preserve">.1 </w:t>
      </w:r>
      <w:r>
        <w:rPr>
          <w:rFonts w:hint="eastAsia" w:ascii="宋体" w:hAnsi="宋体"/>
          <w:bCs/>
          <w:sz w:val="24"/>
          <w:szCs w:val="24"/>
          <w:highlight w:val="none"/>
          <w:lang w:val="zh-CN"/>
        </w:rPr>
        <w:t>供应商有下列情况之一者，其投标无效：</w:t>
      </w:r>
    </w:p>
    <w:p w14:paraId="01C856F7">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（1）未按照招标文件的规定提交投标保证金的；</w:t>
      </w:r>
    </w:p>
    <w:p w14:paraId="20CD7E47">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（2）投标文件未按招标文件</w:t>
      </w:r>
      <w:r>
        <w:rPr>
          <w:rFonts w:hint="eastAsia" w:ascii="宋体" w:hAnsi="宋体"/>
          <w:bCs/>
          <w:sz w:val="24"/>
          <w:szCs w:val="24"/>
          <w:highlight w:val="none"/>
        </w:rPr>
        <w:t>给定格式如实填写（编写）的或未按</w:t>
      </w:r>
      <w:r>
        <w:rPr>
          <w:rFonts w:hint="eastAsia" w:ascii="宋体" w:hAnsi="宋体" w:cs="宋体"/>
          <w:sz w:val="24"/>
          <w:szCs w:val="24"/>
          <w:highlight w:val="none"/>
        </w:rPr>
        <w:t>要求签署、盖章的；</w:t>
      </w:r>
    </w:p>
    <w:p w14:paraId="660C0FA0">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（3）不具备招标文件投标邀请函中“</w:t>
      </w:r>
      <w:r>
        <w:rPr>
          <w:rFonts w:ascii="宋体" w:hAnsi="宋体" w:cs="宋体"/>
          <w:sz w:val="24"/>
          <w:szCs w:val="24"/>
          <w:highlight w:val="none"/>
        </w:rPr>
        <w:t>2.1</w:t>
      </w:r>
      <w:r>
        <w:rPr>
          <w:rFonts w:hint="eastAsia" w:ascii="宋体" w:hAnsi="宋体" w:cs="宋体"/>
          <w:sz w:val="24"/>
          <w:szCs w:val="24"/>
          <w:highlight w:val="none"/>
        </w:rPr>
        <w:t>供应商参加本次采购活动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0FBD98C4">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（4）投标文件中有招标文件未允许提供的选择性内容的；</w:t>
      </w:r>
    </w:p>
    <w:p w14:paraId="6B3EE31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（5）投标文件含有采购人不能接受的附加条件的；</w:t>
      </w:r>
    </w:p>
    <w:p w14:paraId="68179A8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（6）报价</w:t>
      </w:r>
      <w:r>
        <w:rPr>
          <w:rFonts w:hint="eastAsia" w:ascii="宋体" w:hAnsi="宋体" w:cs="宋体"/>
          <w:sz w:val="24"/>
          <w:szCs w:val="24"/>
          <w:highlight w:val="none"/>
        </w:rPr>
        <w:t>超过招标文件中规定的预算金额及各部分预算金额的或者最高限价的</w:t>
      </w:r>
      <w:r>
        <w:rPr>
          <w:rFonts w:hint="eastAsia" w:ascii="宋体" w:hAnsi="宋体" w:cs="宋体"/>
          <w:sz w:val="24"/>
          <w:szCs w:val="24"/>
          <w:highlight w:val="none"/>
          <w:lang w:val="zh-CN"/>
        </w:rPr>
        <w:t>；</w:t>
      </w:r>
    </w:p>
    <w:p w14:paraId="7E3494E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（7）投标文件报价</w:t>
      </w:r>
      <w:r>
        <w:rPr>
          <w:rFonts w:hint="eastAsia" w:ascii="宋体" w:hAnsi="宋体" w:cs="宋体"/>
          <w:sz w:val="24"/>
          <w:szCs w:val="24"/>
          <w:highlight w:val="none"/>
        </w:rPr>
        <w:t>出现前后不一致，且供应商拒绝修正的；</w:t>
      </w:r>
    </w:p>
    <w:p w14:paraId="60555B07">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（8）评标委员会认为供应商的报价明显低于其他通过符合性审查供应商的报价，有可能影响产品质量或者不能诚信履约，且供应商不能证明其报价合理性的；</w:t>
      </w:r>
    </w:p>
    <w:p w14:paraId="0E329DB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（9）属于投标邀请函</w:t>
      </w:r>
      <w:r>
        <w:rPr>
          <w:rFonts w:ascii="宋体" w:hAnsi="宋体"/>
          <w:bCs/>
          <w:sz w:val="24"/>
          <w:szCs w:val="24"/>
          <w:highlight w:val="none"/>
        </w:rPr>
        <w:t>2.</w:t>
      </w:r>
      <w:r>
        <w:rPr>
          <w:rFonts w:hint="eastAsia" w:ascii="宋体" w:hAnsi="宋体"/>
          <w:bCs/>
          <w:sz w:val="24"/>
          <w:szCs w:val="24"/>
          <w:highlight w:val="none"/>
        </w:rPr>
        <w:t>2</w:t>
      </w:r>
      <w:r>
        <w:rPr>
          <w:rFonts w:ascii="宋体" w:hAnsi="宋体"/>
          <w:bCs/>
          <w:sz w:val="24"/>
          <w:szCs w:val="24"/>
          <w:highlight w:val="none"/>
        </w:rPr>
        <w:t>拒绝参加本次采购活动供应商的；</w:t>
      </w:r>
    </w:p>
    <w:p w14:paraId="7A7E1F7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（10）与其他供应商串通投标的，包括但不限于以下几种情况：</w:t>
      </w:r>
    </w:p>
    <w:p w14:paraId="53BEFB36">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不同供应商的投标文件由同一单位或者个人编制</w:t>
      </w:r>
      <w:r>
        <w:rPr>
          <w:rFonts w:hint="eastAsia" w:ascii="宋体" w:hAnsi="宋体"/>
          <w:bCs/>
          <w:sz w:val="24"/>
          <w:szCs w:val="24"/>
          <w:highlight w:val="none"/>
          <w:lang w:val="zh-CN"/>
        </w:rPr>
        <w:t>；</w:t>
      </w:r>
    </w:p>
    <w:p w14:paraId="5BC25D61">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不同供应商委托同一单位或者个人办理报价事宜</w:t>
      </w:r>
      <w:r>
        <w:rPr>
          <w:rFonts w:hint="eastAsia" w:ascii="宋体" w:hAnsi="宋体"/>
          <w:bCs/>
          <w:sz w:val="24"/>
          <w:szCs w:val="24"/>
          <w:highlight w:val="none"/>
          <w:lang w:val="zh-CN"/>
        </w:rPr>
        <w:t>；</w:t>
      </w:r>
    </w:p>
    <w:p w14:paraId="4A4DA0D8">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不同供应商的投标文件载明的项目管理成员或者联系人员为同一人</w:t>
      </w:r>
      <w:r>
        <w:rPr>
          <w:rFonts w:hint="eastAsia" w:ascii="宋体" w:hAnsi="宋体"/>
          <w:bCs/>
          <w:sz w:val="24"/>
          <w:szCs w:val="24"/>
          <w:highlight w:val="none"/>
          <w:lang w:val="zh-CN"/>
        </w:rPr>
        <w:t>；</w:t>
      </w:r>
    </w:p>
    <w:p w14:paraId="7803CEA6">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不同供应商的投标文件异常一致或者报价呈规律性差异</w:t>
      </w:r>
      <w:r>
        <w:rPr>
          <w:rFonts w:hint="eastAsia" w:ascii="宋体" w:hAnsi="宋体"/>
          <w:bCs/>
          <w:sz w:val="24"/>
          <w:szCs w:val="24"/>
          <w:highlight w:val="none"/>
          <w:lang w:val="zh-CN"/>
        </w:rPr>
        <w:t>；</w:t>
      </w:r>
    </w:p>
    <w:p w14:paraId="29BEFA95">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不同供应商的投标文件相互混装</w:t>
      </w:r>
      <w:r>
        <w:rPr>
          <w:rFonts w:hint="eastAsia" w:ascii="宋体" w:hAnsi="宋体"/>
          <w:bCs/>
          <w:sz w:val="24"/>
          <w:szCs w:val="24"/>
          <w:highlight w:val="none"/>
          <w:lang w:val="zh-CN"/>
        </w:rPr>
        <w:t>；</w:t>
      </w:r>
    </w:p>
    <w:p w14:paraId="763BC3EE">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bCs/>
          <w:sz w:val="24"/>
          <w:szCs w:val="24"/>
          <w:highlight w:val="none"/>
          <w:lang w:val="zh-CN"/>
        </w:rPr>
        <w:t>不同供应商的投标保证金从同一单位或者个人的账户转出。</w:t>
      </w:r>
    </w:p>
    <w:p w14:paraId="51E61220">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（11）提供虚假材料</w:t>
      </w:r>
      <w:bookmarkStart w:id="41" w:name="OLE_LINK137"/>
      <w:r>
        <w:rPr>
          <w:rFonts w:hint="eastAsia" w:ascii="宋体" w:hAnsi="宋体" w:cs="宋体"/>
          <w:sz w:val="24"/>
          <w:szCs w:val="24"/>
          <w:highlight w:val="none"/>
          <w:lang w:val="zh-CN"/>
        </w:rPr>
        <w:t>（含虚假承诺）</w:t>
      </w:r>
      <w:bookmarkEnd w:id="41"/>
      <w:r>
        <w:rPr>
          <w:rFonts w:hint="eastAsia" w:ascii="宋体" w:hAnsi="宋体" w:cs="宋体"/>
          <w:sz w:val="24"/>
          <w:szCs w:val="24"/>
          <w:highlight w:val="none"/>
          <w:lang w:val="zh-CN"/>
        </w:rPr>
        <w:t>的；</w:t>
      </w:r>
    </w:p>
    <w:p w14:paraId="4E4810A6">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432449A3">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2A6A88E4">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752B5992">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05084008">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（13）投标文件内容不全、自相矛盾或不符合法律法规和招标文件中规定的其它实质性要求的；</w:t>
      </w:r>
    </w:p>
    <w:p w14:paraId="227C8E6D">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lang w:val="zh-CN"/>
        </w:rPr>
        <w:t>（14）法律、法规和招标文件规定的其他无效情形；</w:t>
      </w:r>
    </w:p>
    <w:p w14:paraId="2F2A8ACE">
      <w:pPr>
        <w:numPr>
          <w:ilvl w:val="0"/>
          <w:numId w:val="7"/>
        </w:numPr>
        <w:spacing w:line="360" w:lineRule="auto"/>
        <w:ind w:firstLine="482" w:firstLineChars="200"/>
        <w:rPr>
          <w:rFonts w:ascii="宋体" w:hAnsi="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4FAD3628">
      <w:pPr>
        <w:spacing w:line="360" w:lineRule="auto"/>
        <w:ind w:firstLine="482" w:firstLineChars="200"/>
        <w:rPr>
          <w:rFonts w:ascii="宋体" w:hAnsi="宋体"/>
          <w:b/>
          <w:bCs/>
          <w:sz w:val="24"/>
          <w:szCs w:val="24"/>
          <w:highlight w:val="none"/>
        </w:rPr>
      </w:pPr>
      <w:bookmarkStart w:id="42" w:name="OLE_LINK96"/>
      <w:r>
        <w:rPr>
          <w:rFonts w:hint="eastAsia" w:ascii="宋体" w:hAnsi="宋体"/>
          <w:b/>
          <w:bCs/>
          <w:sz w:val="24"/>
          <w:szCs w:val="24"/>
          <w:highlight w:val="none"/>
        </w:rPr>
        <w:t>17、不接受联合体投标、不接受中标后分包。</w:t>
      </w:r>
    </w:p>
    <w:bookmarkEnd w:id="42"/>
    <w:p w14:paraId="7DDF2D4F">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开标、资审、评标、定标、废标</w:t>
      </w:r>
    </w:p>
    <w:p w14:paraId="3B51487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18、开标</w:t>
      </w:r>
    </w:p>
    <w:p w14:paraId="5C1ACDCC">
      <w:pPr>
        <w:spacing w:line="360" w:lineRule="auto"/>
        <w:ind w:firstLine="480" w:firstLineChars="200"/>
        <w:rPr>
          <w:rFonts w:ascii="宋体" w:hAnsi="宋体"/>
          <w:bCs/>
          <w:sz w:val="24"/>
          <w:szCs w:val="24"/>
          <w:highlight w:val="none"/>
          <w:lang w:val="zh-CN"/>
        </w:rPr>
      </w:pPr>
      <w:bookmarkStart w:id="43" w:name="OLE_LINK224"/>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 xml:space="preserve">.1 </w:t>
      </w:r>
      <w:bookmarkStart w:id="44" w:name="OLE_LINK276"/>
      <w:r>
        <w:rPr>
          <w:rFonts w:hint="eastAsia" w:ascii="宋体" w:hAnsi="宋体"/>
          <w:bCs/>
          <w:sz w:val="24"/>
          <w:szCs w:val="24"/>
          <w:highlight w:val="none"/>
          <w:lang w:val="zh-CN"/>
        </w:rPr>
        <w:t>采购人按招标文件规定的时间在指定开标地点召开开标大会，邀请所有供应商代表参加。</w:t>
      </w:r>
    </w:p>
    <w:p w14:paraId="067C638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供应商不足</w:t>
      </w:r>
      <w:r>
        <w:rPr>
          <w:rFonts w:ascii="宋体" w:hAnsi="宋体"/>
          <w:bCs/>
          <w:sz w:val="24"/>
          <w:szCs w:val="24"/>
          <w:highlight w:val="none"/>
        </w:rPr>
        <w:t>3家的，不得开标。</w:t>
      </w:r>
    </w:p>
    <w:bookmarkEnd w:id="44"/>
    <w:p w14:paraId="3F85B469">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.2 </w:t>
      </w:r>
      <w:r>
        <w:rPr>
          <w:rFonts w:hint="eastAsia" w:ascii="宋体" w:hAnsi="宋体"/>
          <w:bCs/>
          <w:sz w:val="24"/>
          <w:szCs w:val="24"/>
          <w:highlight w:val="none"/>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76760E4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3</w:t>
      </w:r>
      <w:r>
        <w:rPr>
          <w:rFonts w:ascii="宋体" w:hAnsi="宋体"/>
          <w:bCs/>
          <w:sz w:val="24"/>
          <w:szCs w:val="24"/>
          <w:highlight w:val="none"/>
          <w:lang w:val="zh-CN"/>
        </w:rPr>
        <w:t xml:space="preserve"> 开标</w:t>
      </w:r>
      <w:bookmarkStart w:id="45" w:name="OLE_LINK130"/>
      <w:r>
        <w:rPr>
          <w:rFonts w:hint="eastAsia" w:ascii="宋体" w:hAnsi="宋体"/>
          <w:bCs/>
          <w:sz w:val="24"/>
          <w:szCs w:val="24"/>
          <w:highlight w:val="none"/>
          <w:lang w:val="zh-CN"/>
        </w:rPr>
        <w:t>过程由采购人或者代理机构负责记录，由参加开标的各供应商代表和相关工作人员签字确认后随采购文件一并存档。</w:t>
      </w:r>
      <w:bookmarkEnd w:id="45"/>
      <w:r>
        <w:rPr>
          <w:rFonts w:hint="eastAsia" w:ascii="宋体" w:hAnsi="宋体"/>
          <w:bCs/>
          <w:sz w:val="24"/>
          <w:szCs w:val="24"/>
          <w:highlight w:val="none"/>
          <w:lang w:val="zh-CN"/>
        </w:rPr>
        <w:t>供应商未参加开标的，视同认可开标结果。</w:t>
      </w:r>
    </w:p>
    <w:p w14:paraId="6A010389">
      <w:pPr>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.4 </w:t>
      </w:r>
      <w:bookmarkStart w:id="46" w:name="OLE_LINK131"/>
      <w:bookmarkStart w:id="47" w:name="OLE_LINK179"/>
      <w:r>
        <w:rPr>
          <w:rFonts w:hint="eastAsia" w:ascii="宋体" w:hAnsi="宋体"/>
          <w:bCs/>
          <w:sz w:val="24"/>
          <w:szCs w:val="24"/>
          <w:highlight w:val="none"/>
        </w:rPr>
        <w:t>供应商对开标过程和开标记录有疑义，以及认为采购人、代理机构相关工作人员有需要回避的情形的，应当场提出询问或者回避申请。</w:t>
      </w:r>
      <w:bookmarkEnd w:id="46"/>
      <w:bookmarkStart w:id="48"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47"/>
      <w:bookmarkEnd w:id="48"/>
      <w:r>
        <w:rPr>
          <w:rFonts w:hint="eastAsia" w:ascii="宋体" w:hAnsi="宋体"/>
          <w:bCs/>
          <w:sz w:val="24"/>
          <w:szCs w:val="24"/>
          <w:highlight w:val="none"/>
          <w:lang w:val="zh-CN"/>
        </w:rPr>
        <w:t>。</w:t>
      </w:r>
    </w:p>
    <w:bookmarkEnd w:id="43"/>
    <w:p w14:paraId="345B74C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19、资格审查</w:t>
      </w:r>
    </w:p>
    <w:p w14:paraId="29652CA1">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19</w:t>
      </w:r>
      <w:r>
        <w:rPr>
          <w:rFonts w:ascii="宋体" w:hAnsi="宋体"/>
          <w:bCs/>
          <w:sz w:val="24"/>
          <w:szCs w:val="24"/>
          <w:highlight w:val="none"/>
        </w:rPr>
        <w:t xml:space="preserve">.1 </w:t>
      </w:r>
      <w:r>
        <w:rPr>
          <w:rFonts w:hint="eastAsia" w:ascii="宋体" w:hAnsi="宋体"/>
          <w:bCs/>
          <w:sz w:val="24"/>
          <w:szCs w:val="24"/>
          <w:highlight w:val="none"/>
        </w:rPr>
        <w:t>开标结束后，</w:t>
      </w:r>
      <w:r>
        <w:rPr>
          <w:rFonts w:hint="eastAsia" w:ascii="宋体" w:hAnsi="宋体" w:cs="宋体"/>
          <w:sz w:val="24"/>
          <w:szCs w:val="24"/>
          <w:highlight w:val="none"/>
        </w:rPr>
        <w:t>采购人现场依法对供应商的资格进行审查。</w:t>
      </w:r>
    </w:p>
    <w:p w14:paraId="5B00A8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合格供应商不足</w:t>
      </w:r>
      <w:r>
        <w:rPr>
          <w:rFonts w:ascii="宋体" w:hAnsi="宋体" w:cs="宋体"/>
          <w:sz w:val="24"/>
          <w:szCs w:val="24"/>
          <w:highlight w:val="none"/>
        </w:rPr>
        <w:t>3家的，不得评标。</w:t>
      </w:r>
    </w:p>
    <w:p w14:paraId="2C71E0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 </w:t>
      </w:r>
      <w:r>
        <w:rPr>
          <w:rFonts w:hint="eastAsia" w:ascii="宋体" w:hAnsi="宋体" w:cs="宋体"/>
          <w:sz w:val="24"/>
          <w:szCs w:val="24"/>
          <w:highlight w:val="none"/>
        </w:rPr>
        <w:t>资格审查包括两部分内容：</w:t>
      </w:r>
    </w:p>
    <w:p w14:paraId="281BDB5C">
      <w:pPr>
        <w:spacing w:line="360" w:lineRule="auto"/>
        <w:ind w:firstLine="480" w:firstLineChars="200"/>
        <w:rPr>
          <w:rFonts w:ascii="宋体" w:hAnsi="宋体" w:cs="宋体"/>
          <w:sz w:val="24"/>
          <w:szCs w:val="24"/>
          <w:highlight w:val="none"/>
        </w:rPr>
      </w:pPr>
      <w:bookmarkStart w:id="49" w:name="OLE_LINK257"/>
      <w:bookmarkStart w:id="50" w:name="OLE_LINK261"/>
      <w:r>
        <w:rPr>
          <w:rFonts w:hint="eastAsia" w:ascii="宋体" w:hAnsi="宋体" w:cs="宋体"/>
          <w:sz w:val="24"/>
          <w:szCs w:val="24"/>
          <w:highlight w:val="none"/>
        </w:rPr>
        <w:t>19</w:t>
      </w:r>
      <w:r>
        <w:rPr>
          <w:rFonts w:ascii="宋体" w:hAnsi="宋体" w:cs="宋体"/>
          <w:sz w:val="24"/>
          <w:szCs w:val="24"/>
          <w:highlight w:val="none"/>
        </w:rPr>
        <w:t xml:space="preserve">.2.1 </w:t>
      </w:r>
      <w:bookmarkEnd w:id="49"/>
      <w:r>
        <w:rPr>
          <w:rFonts w:hint="eastAsia" w:ascii="宋体" w:hAnsi="宋体" w:cs="宋体"/>
          <w:sz w:val="24"/>
          <w:szCs w:val="24"/>
          <w:highlight w:val="none"/>
        </w:rPr>
        <w:t>按照本须知“7</w:t>
      </w:r>
      <w:r>
        <w:rPr>
          <w:rFonts w:ascii="宋体" w:hAnsi="宋体" w:cs="宋体"/>
          <w:sz w:val="24"/>
          <w:szCs w:val="24"/>
          <w:highlight w:val="none"/>
        </w:rPr>
        <w:t>、投标文件的组成”中“（3）资格证明文件”的要求依法对</w:t>
      </w:r>
      <w:r>
        <w:rPr>
          <w:rFonts w:hint="eastAsia" w:ascii="宋体" w:hAnsi="宋体" w:cs="宋体"/>
          <w:sz w:val="24"/>
          <w:szCs w:val="24"/>
          <w:highlight w:val="none"/>
        </w:rPr>
        <w:t>供应商的资格进行审查。</w:t>
      </w:r>
    </w:p>
    <w:p w14:paraId="072979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.2.2 </w:t>
      </w:r>
      <w:r>
        <w:rPr>
          <w:rFonts w:hint="eastAsia" w:ascii="宋体" w:hAnsi="宋体" w:cs="宋体"/>
          <w:sz w:val="24"/>
          <w:szCs w:val="24"/>
          <w:highlight w:val="none"/>
        </w:rPr>
        <w:t>信用查询。</w:t>
      </w:r>
    </w:p>
    <w:p w14:paraId="2B7F75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w:t>
      </w:r>
      <w:r>
        <w:rPr>
          <w:rFonts w:ascii="宋体" w:hAnsi="宋体" w:cs="宋体"/>
          <w:sz w:val="24"/>
          <w:szCs w:val="24"/>
          <w:highlight w:val="none"/>
        </w:rPr>
        <w:t xml:space="preserve"> </w:t>
      </w:r>
      <w:r>
        <w:rPr>
          <w:rFonts w:hint="eastAsia" w:ascii="宋体" w:hAnsi="宋体" w:cs="宋体"/>
          <w:sz w:val="24"/>
          <w:szCs w:val="24"/>
          <w:highlight w:val="none"/>
        </w:rPr>
        <w:t>查询时间：采购人将在资审环节查询供应商的信用记录，供应商存在不良信用记录的，其投标将被认定为投标无效。</w:t>
      </w:r>
    </w:p>
    <w:p w14:paraId="2F5C13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 xml:space="preserve"> </w:t>
      </w:r>
      <w:r>
        <w:rPr>
          <w:rFonts w:hint="eastAsia" w:ascii="宋体" w:hAnsi="宋体" w:cs="宋体"/>
          <w:sz w:val="24"/>
          <w:szCs w:val="24"/>
          <w:highlight w:val="none"/>
        </w:rPr>
        <w:t>不良信用记录指：按照</w:t>
      </w:r>
      <w:r>
        <w:rPr>
          <w:rFonts w:hint="eastAsia" w:ascii="宋体" w:hAnsi="宋体" w:cs="宋体"/>
          <w:kern w:val="0"/>
          <w:sz w:val="24"/>
          <w:szCs w:val="24"/>
          <w:highlight w:val="none"/>
          <w:lang w:bidi="ar"/>
        </w:rPr>
        <w:t>《财政部关于在政府采购活动中查询及使用信用记录有关问题的通知》（财库〔</w:t>
      </w:r>
      <w:r>
        <w:rPr>
          <w:rFonts w:ascii="宋体" w:hAnsi="宋体" w:cs="宋体"/>
          <w:kern w:val="0"/>
          <w:sz w:val="24"/>
          <w:szCs w:val="24"/>
          <w:highlight w:val="none"/>
          <w:lang w:bidi="ar"/>
        </w:rPr>
        <w:t>2016〕125号）要求，</w:t>
      </w:r>
      <w:r>
        <w:rPr>
          <w:rFonts w:hint="eastAsia" w:ascii="宋体" w:hAnsi="宋体" w:cs="宋体"/>
          <w:sz w:val="24"/>
          <w:szCs w:val="24"/>
          <w:highlight w:val="none"/>
        </w:rPr>
        <w:t>在“信用中国”网站（</w:t>
      </w:r>
      <w:r>
        <w:rPr>
          <w:rFonts w:ascii="宋体" w:hAnsi="宋体" w:cs="宋体"/>
          <w:sz w:val="24"/>
          <w:szCs w:val="24"/>
          <w:highlight w:val="none"/>
        </w:rPr>
        <w:t>www.creditchina.gov.cn）</w:t>
      </w:r>
      <w:r>
        <w:rPr>
          <w:rFonts w:hint="eastAsia" w:ascii="宋体" w:hAnsi="宋体" w:cs="宋体"/>
          <w:sz w:val="24"/>
          <w:szCs w:val="24"/>
          <w:highlight w:val="none"/>
        </w:rPr>
        <w:t>列入失信被执行人、重大税收违法失信主体名单、严重失信主体名单，</w:t>
      </w:r>
      <w:r>
        <w:rPr>
          <w:rFonts w:ascii="宋体" w:hAnsi="宋体" w:cs="宋体"/>
          <w:sz w:val="24"/>
          <w:szCs w:val="24"/>
          <w:highlight w:val="none"/>
        </w:rPr>
        <w:t>在“中国政府采购网”网站（www.ccgp.gov.cn）被列入政府采购严重违法失信行为记录名单。</w:t>
      </w:r>
    </w:p>
    <w:p w14:paraId="733356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ascii="宋体" w:hAnsi="宋体" w:cs="宋体"/>
          <w:sz w:val="24"/>
          <w:szCs w:val="24"/>
          <w:highlight w:val="none"/>
        </w:rPr>
        <w:t xml:space="preserve"> </w:t>
      </w:r>
      <w:r>
        <w:rPr>
          <w:rFonts w:hint="eastAsia" w:ascii="宋体" w:hAnsi="宋体" w:cs="宋体"/>
          <w:sz w:val="24"/>
          <w:szCs w:val="24"/>
          <w:highlight w:val="none"/>
        </w:rPr>
        <w:t>查询及记录方式：采购人将查询网页打印、签字并存档备查。</w:t>
      </w:r>
      <w:bookmarkEnd w:id="50"/>
      <w:r>
        <w:rPr>
          <w:rFonts w:hint="eastAsia" w:ascii="宋体" w:hAnsi="宋体" w:cs="宋体"/>
          <w:sz w:val="24"/>
          <w:szCs w:val="24"/>
          <w:highlight w:val="none"/>
        </w:rPr>
        <w:t>供应商不良信用记录以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310D6571">
      <w:pPr>
        <w:spacing w:line="360" w:lineRule="auto"/>
        <w:ind w:firstLine="482" w:firstLineChars="200"/>
        <w:rPr>
          <w:rFonts w:ascii="宋体" w:hAnsi="宋体"/>
          <w:b/>
          <w:sz w:val="24"/>
          <w:szCs w:val="24"/>
          <w:highlight w:val="none"/>
        </w:rPr>
      </w:pPr>
      <w:bookmarkStart w:id="51" w:name="OLE_LINK18"/>
      <w:r>
        <w:rPr>
          <w:rFonts w:ascii="宋体" w:hAnsi="宋体"/>
          <w:b/>
          <w:sz w:val="24"/>
          <w:szCs w:val="24"/>
          <w:highlight w:val="none"/>
        </w:rPr>
        <w:t>2</w:t>
      </w:r>
      <w:r>
        <w:rPr>
          <w:rFonts w:hint="eastAsia" w:ascii="宋体" w:hAnsi="宋体"/>
          <w:b/>
          <w:sz w:val="24"/>
          <w:szCs w:val="24"/>
          <w:highlight w:val="none"/>
        </w:rPr>
        <w:t>0、评标</w:t>
      </w:r>
      <w:bookmarkEnd w:id="51"/>
    </w:p>
    <w:p w14:paraId="0EB736E5">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.1 </w:t>
      </w:r>
      <w:r>
        <w:rPr>
          <w:rFonts w:hint="eastAsia" w:ascii="宋体" w:hAnsi="宋体"/>
          <w:bCs/>
          <w:sz w:val="24"/>
          <w:szCs w:val="24"/>
          <w:highlight w:val="none"/>
        </w:rPr>
        <w:t>具体评标事务由采购人依法组建的评标委员会负责。</w:t>
      </w:r>
    </w:p>
    <w:p w14:paraId="7F74FF4B">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.2 </w:t>
      </w:r>
      <w:r>
        <w:rPr>
          <w:rFonts w:hint="eastAsia" w:ascii="宋体" w:hAnsi="宋体"/>
          <w:bCs/>
          <w:sz w:val="24"/>
          <w:szCs w:val="24"/>
          <w:highlight w:val="none"/>
        </w:rPr>
        <w:t>评标委员会对通过资格性审查的供应商的投标文件进行符合性审查，以确定其是否满足招标文件的实质性要求。</w:t>
      </w:r>
      <w:r>
        <w:rPr>
          <w:rFonts w:hint="eastAsia" w:ascii="宋体" w:hAnsi="宋体"/>
          <w:b/>
          <w:sz w:val="24"/>
          <w:szCs w:val="24"/>
          <w:highlight w:val="none"/>
          <w:lang w:val="zh-CN"/>
        </w:rPr>
        <w:t>实质性要求是指本招标文件“第</w:t>
      </w:r>
      <w:r>
        <w:rPr>
          <w:rFonts w:hint="eastAsia" w:ascii="宋体" w:hAnsi="宋体"/>
          <w:b/>
          <w:sz w:val="24"/>
          <w:szCs w:val="24"/>
          <w:highlight w:val="none"/>
        </w:rPr>
        <w:t>四</w:t>
      </w:r>
      <w:r>
        <w:rPr>
          <w:rFonts w:hint="eastAsia" w:ascii="宋体" w:hAnsi="宋体"/>
          <w:b/>
          <w:sz w:val="24"/>
          <w:szCs w:val="24"/>
          <w:highlight w:val="none"/>
          <w:lang w:val="zh-CN"/>
        </w:rPr>
        <w:t>章</w:t>
      </w:r>
      <w:r>
        <w:rPr>
          <w:rFonts w:ascii="宋体" w:hAnsi="宋体"/>
          <w:b/>
          <w:sz w:val="24"/>
          <w:szCs w:val="24"/>
          <w:highlight w:val="none"/>
          <w:lang w:val="zh-CN"/>
        </w:rPr>
        <w:t xml:space="preserve"> </w:t>
      </w:r>
      <w:r>
        <w:rPr>
          <w:rFonts w:hint="eastAsia" w:ascii="宋体" w:hAnsi="宋体"/>
          <w:b/>
          <w:sz w:val="24"/>
          <w:szCs w:val="24"/>
          <w:highlight w:val="none"/>
          <w:lang w:val="zh-CN"/>
        </w:rPr>
        <w:t>项目技术要求和有关说明”</w:t>
      </w:r>
      <w:r>
        <w:rPr>
          <w:rFonts w:hint="eastAsia" w:ascii="宋体" w:hAnsi="宋体"/>
          <w:b/>
          <w:sz w:val="24"/>
          <w:szCs w:val="24"/>
          <w:highlight w:val="none"/>
        </w:rPr>
        <w:t>部分</w:t>
      </w:r>
      <w:r>
        <w:rPr>
          <w:rFonts w:hint="eastAsia" w:ascii="宋体" w:hAnsi="宋体"/>
          <w:b/>
          <w:sz w:val="24"/>
          <w:szCs w:val="24"/>
          <w:highlight w:val="none"/>
          <w:lang w:val="zh-CN"/>
        </w:rPr>
        <w:t>及其他“必须”或“应（应当）”等文字说明的相关要求。</w:t>
      </w:r>
    </w:p>
    <w:p w14:paraId="78F86DA9">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.3</w:t>
      </w:r>
      <w:r>
        <w:rPr>
          <w:rFonts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w:t>
      </w:r>
      <w:r>
        <w:rPr>
          <w:rFonts w:hint="eastAsia" w:ascii="宋体" w:hAnsi="宋体"/>
          <w:bCs/>
          <w:sz w:val="24"/>
          <w:szCs w:val="24"/>
          <w:highlight w:val="none"/>
        </w:rPr>
        <w:t>，</w:t>
      </w:r>
      <w:r>
        <w:rPr>
          <w:rFonts w:hint="eastAsia" w:ascii="宋体" w:hAnsi="宋体" w:cs="宋体"/>
          <w:sz w:val="24"/>
          <w:szCs w:val="24"/>
          <w:highlight w:val="none"/>
        </w:rPr>
        <w:t>评标委员会应当以书面形式要求供应商作出必要的澄清、说明或者补正</w:t>
      </w:r>
      <w:r>
        <w:rPr>
          <w:rFonts w:hint="eastAsia" w:ascii="宋体" w:hAnsi="宋体"/>
          <w:bCs/>
          <w:sz w:val="24"/>
          <w:szCs w:val="24"/>
          <w:highlight w:val="none"/>
        </w:rPr>
        <w:t>。</w:t>
      </w:r>
      <w:bookmarkStart w:id="52" w:name="OLE_LINK26"/>
      <w:r>
        <w:rPr>
          <w:rFonts w:hint="eastAsia" w:ascii="宋体" w:hAnsi="宋体" w:cs="宋体"/>
          <w:sz w:val="24"/>
          <w:szCs w:val="24"/>
          <w:highlight w:val="none"/>
        </w:rPr>
        <w:t>供应商的澄清、说明或者补正应当采用书面形式，并加盖公章，或者由法定代表人或其授权的代表签字</w:t>
      </w:r>
      <w:bookmarkEnd w:id="52"/>
      <w:r>
        <w:rPr>
          <w:rFonts w:hint="eastAsia" w:ascii="宋体" w:hAnsi="宋体" w:cs="宋体"/>
          <w:sz w:val="24"/>
          <w:szCs w:val="24"/>
          <w:highlight w:val="none"/>
        </w:rPr>
        <w:t>。供应商的澄清、说明或者补正不得超出投标文件的范围或者改变投标文件的实质性内容。若</w:t>
      </w:r>
      <w:r>
        <w:rPr>
          <w:rFonts w:hint="eastAsia" w:ascii="宋体" w:hAnsi="宋体"/>
          <w:bCs/>
          <w:sz w:val="24"/>
          <w:szCs w:val="24"/>
          <w:highlight w:val="none"/>
        </w:rPr>
        <w:t>对不同文字文本投标文件的解释发生异议的，以中文文本为准；正本与副本不一致的，以正本为准。</w:t>
      </w:r>
    </w:p>
    <w:p w14:paraId="0E39AA96">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.4 </w:t>
      </w:r>
      <w:r>
        <w:rPr>
          <w:rFonts w:hint="eastAsia" w:ascii="宋体" w:hAnsi="宋体"/>
          <w:b/>
          <w:sz w:val="24"/>
          <w:szCs w:val="24"/>
          <w:highlight w:val="none"/>
        </w:rPr>
        <w:t>比较与评价</w:t>
      </w:r>
      <w:r>
        <w:rPr>
          <w:rFonts w:hint="eastAsia" w:ascii="宋体" w:hAnsi="宋体"/>
          <w:bCs/>
          <w:sz w:val="24"/>
          <w:szCs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449C3B7D">
      <w:pPr>
        <w:tabs>
          <w:tab w:val="left" w:pos="945"/>
        </w:tabs>
        <w:spacing w:line="360" w:lineRule="auto"/>
        <w:ind w:firstLine="523" w:firstLineChars="218"/>
        <w:rPr>
          <w:rFonts w:ascii="宋体" w:hAnsi="宋体"/>
          <w:bCs/>
          <w:sz w:val="24"/>
          <w:szCs w:val="24"/>
          <w:highlight w:val="none"/>
        </w:rPr>
      </w:pPr>
      <w:bookmarkStart w:id="53" w:name="OLE_LINK12"/>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 </w:t>
      </w:r>
      <w:bookmarkEnd w:id="53"/>
      <w:r>
        <w:rPr>
          <w:rFonts w:hint="eastAsia" w:ascii="宋体" w:hAnsi="宋体"/>
          <w:b/>
          <w:sz w:val="24"/>
          <w:szCs w:val="24"/>
          <w:highlight w:val="none"/>
        </w:rPr>
        <w:t>评标方法和标准</w:t>
      </w:r>
      <w:r>
        <w:rPr>
          <w:rFonts w:hint="eastAsia" w:ascii="宋体" w:hAnsi="宋体"/>
          <w:bCs/>
          <w:sz w:val="24"/>
          <w:szCs w:val="24"/>
          <w:highlight w:val="none"/>
        </w:rPr>
        <w:t>。</w:t>
      </w:r>
    </w:p>
    <w:p w14:paraId="2FB0E668">
      <w:pPr>
        <w:spacing w:line="360" w:lineRule="auto"/>
        <w:ind w:firstLine="480" w:firstLineChars="200"/>
        <w:rPr>
          <w:rFonts w:ascii="宋体" w:hAnsi="宋体" w:cs="宋体"/>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.5.1 </w:t>
      </w:r>
      <w:r>
        <w:rPr>
          <w:rFonts w:hint="eastAsia" w:ascii="宋体" w:hAnsi="宋体"/>
          <w:bCs/>
          <w:sz w:val="24"/>
          <w:szCs w:val="24"/>
          <w:highlight w:val="none"/>
        </w:rPr>
        <w:t>本次招标采用综合评分法。评标委员会在</w:t>
      </w:r>
      <w:r>
        <w:rPr>
          <w:rFonts w:hint="eastAsia" w:ascii="宋体" w:hAnsi="宋体" w:cs="宋体"/>
          <w:sz w:val="24"/>
          <w:szCs w:val="24"/>
          <w:highlight w:val="none"/>
        </w:rPr>
        <w:t>投标文件满足招标文件全部实质性要求</w:t>
      </w:r>
      <w:r>
        <w:rPr>
          <w:rFonts w:hint="eastAsia" w:ascii="宋体" w:hAnsi="宋体"/>
          <w:bCs/>
          <w:sz w:val="24"/>
          <w:szCs w:val="24"/>
          <w:highlight w:val="none"/>
        </w:rPr>
        <w:t>的前提下</w:t>
      </w:r>
      <w:r>
        <w:rPr>
          <w:rFonts w:hint="eastAsia" w:ascii="宋体" w:hAnsi="宋体"/>
          <w:bCs/>
          <w:sz w:val="24"/>
          <w:szCs w:val="24"/>
          <w:highlight w:val="none"/>
          <w:lang w:val="zh-CN"/>
        </w:rPr>
        <w:t>，按照招标文件确定的评分标准分别评定供应商的分值，各评委所评定分值的平均值为各供应商的最终得分，并按由高到低顺序排列，推荐三名中标候选人。</w:t>
      </w:r>
    </w:p>
    <w:p w14:paraId="09CD0093">
      <w:pPr>
        <w:tabs>
          <w:tab w:val="left" w:pos="945"/>
        </w:tabs>
        <w:spacing w:line="360" w:lineRule="auto"/>
        <w:ind w:left="1" w:firstLine="480" w:firstLineChars="200"/>
        <w:rPr>
          <w:rFonts w:ascii="宋体" w:hAnsi="宋体"/>
          <w:bCs/>
          <w:sz w:val="24"/>
          <w:szCs w:val="24"/>
          <w:highlight w:val="none"/>
        </w:rPr>
      </w:pPr>
      <w:r>
        <w:rPr>
          <w:rFonts w:hint="eastAsia" w:ascii="宋体" w:hAnsi="宋体" w:cs="宋体"/>
          <w:sz w:val="24"/>
          <w:szCs w:val="24"/>
          <w:highlight w:val="none"/>
          <w:lang w:val="zh-CN"/>
        </w:rPr>
        <w:t>若得分相同，按投标报价由低到高顺序排列；若得分且投标报价均相同的，则进行随机抽签，</w:t>
      </w:r>
      <w:r>
        <w:rPr>
          <w:rFonts w:hint="eastAsia" w:ascii="宋体" w:hAnsi="宋体"/>
          <w:bCs/>
          <w:sz w:val="24"/>
          <w:szCs w:val="24"/>
          <w:highlight w:val="none"/>
        </w:rPr>
        <w:t>按抽取号码值从大到小的顺序排列。随机抽签活动，按下列程序公开进行：</w:t>
      </w:r>
    </w:p>
    <w:p w14:paraId="3764D8C7">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根据</w:t>
      </w:r>
      <w:r>
        <w:rPr>
          <w:rFonts w:hint="eastAsia" w:ascii="宋体" w:hAnsi="宋体" w:cs="宋体"/>
          <w:sz w:val="24"/>
          <w:szCs w:val="24"/>
          <w:highlight w:val="none"/>
          <w:lang w:val="zh-CN"/>
        </w:rPr>
        <w:t>投标报价</w:t>
      </w:r>
      <w:r>
        <w:rPr>
          <w:rFonts w:hint="eastAsia" w:ascii="宋体" w:hAnsi="宋体"/>
          <w:bCs/>
          <w:sz w:val="24"/>
          <w:szCs w:val="24"/>
          <w:highlight w:val="none"/>
        </w:rPr>
        <w:t>相同的供应商数量，向抽取箱内放入三倍数量以上的号码球；</w:t>
      </w:r>
    </w:p>
    <w:p w14:paraId="68669394">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按照供应商现场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14:paraId="2E07763B">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如抽签确定的号码值出现相同的情况，则有相同号码值的供应商代表进行第二轮抽取，从大到小排序。以此类推，直至确定相同号码值供应商的排序。</w:t>
      </w:r>
    </w:p>
    <w:p w14:paraId="20E5795A">
      <w:pPr>
        <w:spacing w:line="360" w:lineRule="auto"/>
        <w:ind w:firstLine="482" w:firstLineChars="200"/>
        <w:rPr>
          <w:rFonts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45C827D8">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注：除了算术修正</w:t>
      </w:r>
      <w:bookmarkStart w:id="54" w:name="OLE_LINK201"/>
      <w:r>
        <w:rPr>
          <w:rFonts w:hint="eastAsia" w:ascii="宋体" w:hAnsi="宋体" w:cs="宋体"/>
          <w:sz w:val="24"/>
          <w:szCs w:val="24"/>
          <w:highlight w:val="none"/>
        </w:rPr>
        <w:t>（</w:t>
      </w:r>
      <w:bookmarkStart w:id="55" w:name="OLE_LINK202"/>
      <w:r>
        <w:rPr>
          <w:rFonts w:ascii="宋体" w:hAnsi="宋体" w:cs="宋体"/>
          <w:sz w:val="24"/>
          <w:szCs w:val="24"/>
          <w:highlight w:val="none"/>
        </w:rPr>
        <w:t>2</w:t>
      </w:r>
      <w:r>
        <w:rPr>
          <w:rFonts w:hint="eastAsia" w:ascii="宋体" w:hAnsi="宋体" w:cs="宋体"/>
          <w:sz w:val="24"/>
          <w:szCs w:val="24"/>
          <w:highlight w:val="none"/>
        </w:rPr>
        <w:t>0</w:t>
      </w:r>
      <w:r>
        <w:rPr>
          <w:rFonts w:ascii="宋体" w:hAnsi="宋体" w:cs="宋体"/>
          <w:sz w:val="24"/>
          <w:szCs w:val="24"/>
          <w:highlight w:val="none"/>
        </w:rPr>
        <w:t>.5.2</w:t>
      </w:r>
      <w:bookmarkEnd w:id="55"/>
      <w:r>
        <w:rPr>
          <w:rFonts w:hint="eastAsia" w:ascii="宋体" w:hAnsi="宋体" w:cs="宋体"/>
          <w:sz w:val="24"/>
          <w:szCs w:val="24"/>
          <w:highlight w:val="none"/>
        </w:rPr>
        <w:t>）</w:t>
      </w:r>
      <w:bookmarkEnd w:id="54"/>
      <w:r>
        <w:rPr>
          <w:rFonts w:hint="eastAsia" w:ascii="宋体" w:hAnsi="宋体" w:cs="宋体"/>
          <w:sz w:val="24"/>
          <w:szCs w:val="24"/>
          <w:highlight w:val="none"/>
        </w:rPr>
        <w:t>外，不对供应商的投标价格进行任何调整。</w:t>
      </w:r>
    </w:p>
    <w:p w14:paraId="07B1C9E8">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.5.2 </w:t>
      </w:r>
      <w:bookmarkStart w:id="56" w:name="OLE_LINK245"/>
      <w:r>
        <w:rPr>
          <w:rFonts w:hint="eastAsia" w:ascii="宋体" w:hAnsi="宋体"/>
          <w:bCs/>
          <w:sz w:val="24"/>
          <w:szCs w:val="24"/>
          <w:highlight w:val="none"/>
        </w:rPr>
        <w:t>投标文件报价出现前后不一致的，除招标文件另有规定外，按照下列规定修正：</w:t>
      </w:r>
    </w:p>
    <w:p w14:paraId="3F0C67AA">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1 \* GB3 \* MERGEFORMAT </w:instrText>
      </w:r>
      <w:r>
        <w:rPr>
          <w:rFonts w:hint="eastAsia" w:ascii="宋体" w:hAnsi="宋体"/>
          <w:bCs/>
          <w:sz w:val="24"/>
          <w:szCs w:val="24"/>
          <w:highlight w:val="none"/>
        </w:rPr>
        <w:fldChar w:fldCharType="separate"/>
      </w:r>
      <w:r>
        <w:rPr>
          <w:highlight w:val="none"/>
        </w:rPr>
        <w:t>①</w:t>
      </w:r>
      <w:r>
        <w:rPr>
          <w:rFonts w:hint="eastAsia" w:ascii="宋体" w:hAnsi="宋体"/>
          <w:bCs/>
          <w:sz w:val="24"/>
          <w:szCs w:val="24"/>
          <w:highlight w:val="none"/>
        </w:rPr>
        <w:fldChar w:fldCharType="end"/>
      </w:r>
      <w:r>
        <w:rPr>
          <w:rFonts w:hint="eastAsia" w:ascii="宋体" w:hAnsi="宋体"/>
          <w:bCs/>
          <w:sz w:val="24"/>
          <w:szCs w:val="24"/>
          <w:highlight w:val="none"/>
        </w:rPr>
        <w:t>投标文件中开标一览表内容与投标文件中相应内容不一致的，以开标一览表为准；</w:t>
      </w:r>
    </w:p>
    <w:p w14:paraId="05337979">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大写金额和小写金额不一致的，以大写金额为准；</w:t>
      </w:r>
    </w:p>
    <w:p w14:paraId="4DE84C53">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单价金额小数点或者百分比有明显错位的，以开标一览表的总价为准，并修改单价；</w:t>
      </w:r>
    </w:p>
    <w:p w14:paraId="46383770">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4 \* GB3 \* MERGEFORMAT </w:instrText>
      </w:r>
      <w:r>
        <w:rPr>
          <w:rFonts w:hint="eastAsia" w:ascii="宋体" w:hAnsi="宋体"/>
          <w:bCs/>
          <w:sz w:val="24"/>
          <w:szCs w:val="24"/>
          <w:highlight w:val="none"/>
        </w:rPr>
        <w:fldChar w:fldCharType="separate"/>
      </w:r>
      <w:r>
        <w:rPr>
          <w:highlight w:val="none"/>
        </w:rPr>
        <w:t>④</w:t>
      </w:r>
      <w:r>
        <w:rPr>
          <w:rFonts w:hint="eastAsia" w:ascii="宋体" w:hAnsi="宋体"/>
          <w:bCs/>
          <w:sz w:val="24"/>
          <w:szCs w:val="24"/>
          <w:highlight w:val="none"/>
        </w:rPr>
        <w:fldChar w:fldCharType="end"/>
      </w:r>
      <w:r>
        <w:rPr>
          <w:rFonts w:hint="eastAsia" w:ascii="宋体" w:hAnsi="宋体"/>
          <w:bCs/>
          <w:sz w:val="24"/>
          <w:szCs w:val="24"/>
          <w:highlight w:val="none"/>
        </w:rPr>
        <w:t>总价金额与按单价汇总金额不一致的，以单价金额计算结果为准。</w:t>
      </w:r>
    </w:p>
    <w:p w14:paraId="1CB90B46">
      <w:pPr>
        <w:tabs>
          <w:tab w:val="left" w:pos="945"/>
        </w:tabs>
        <w:spacing w:line="360" w:lineRule="auto"/>
        <w:ind w:firstLine="420" w:firstLineChars="175"/>
        <w:rPr>
          <w:rFonts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56"/>
      <w:bookmarkStart w:id="57" w:name="OLE_LINK135"/>
    </w:p>
    <w:bookmarkEnd w:id="57"/>
    <w:p w14:paraId="6B8410F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.6 </w:t>
      </w:r>
      <w:r>
        <w:rPr>
          <w:rFonts w:hint="eastAsia" w:ascii="宋体" w:hAnsi="宋体" w:cs="宋体"/>
          <w:sz w:val="24"/>
          <w:szCs w:val="24"/>
          <w:highlight w:val="none"/>
        </w:rPr>
        <w:t>评标委员会根据全体评标成员签字的原始评标记录和评标结果编写评标报告。</w:t>
      </w:r>
    </w:p>
    <w:p w14:paraId="5EE82E34">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.7 </w:t>
      </w:r>
      <w:r>
        <w:rPr>
          <w:rFonts w:hint="eastAsia" w:ascii="宋体" w:hAnsi="宋体"/>
          <w:bCs/>
          <w:sz w:val="24"/>
          <w:szCs w:val="24"/>
          <w:highlight w:val="none"/>
        </w:rPr>
        <w:t>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44EB9212">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1、定标</w:t>
      </w:r>
    </w:p>
    <w:p w14:paraId="6C23285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.1 </w:t>
      </w:r>
      <w:r>
        <w:rPr>
          <w:rFonts w:hint="eastAsia" w:ascii="宋体" w:hAnsi="宋体"/>
          <w:bCs/>
          <w:sz w:val="24"/>
          <w:szCs w:val="24"/>
          <w:highlight w:val="none"/>
          <w:lang w:val="zh-CN"/>
        </w:rPr>
        <w:t>评审结束后，采购人依照法律规定在收到评审报告后</w:t>
      </w:r>
      <w:r>
        <w:rPr>
          <w:rFonts w:ascii="宋体" w:hAnsi="宋体"/>
          <w:bCs/>
          <w:sz w:val="24"/>
          <w:szCs w:val="24"/>
          <w:highlight w:val="none"/>
          <w:lang w:val="zh-CN"/>
        </w:rPr>
        <w:t>5个工作日内，在评审报告推荐的中标候选人中按顺序确定中标供应商。</w:t>
      </w:r>
    </w:p>
    <w:p w14:paraId="3EACEE0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.2 </w:t>
      </w:r>
      <w:r>
        <w:rPr>
          <w:rFonts w:hint="eastAsia" w:ascii="宋体" w:hAnsi="宋体"/>
          <w:bCs/>
          <w:sz w:val="24"/>
          <w:szCs w:val="24"/>
          <w:highlight w:val="none"/>
          <w:lang w:val="zh-CN"/>
        </w:rPr>
        <w:t>采购人或代理机构向中标供应商发出中标通知书。</w:t>
      </w:r>
    </w:p>
    <w:p w14:paraId="28EC6114">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2</w:t>
      </w:r>
      <w:r>
        <w:rPr>
          <w:rFonts w:ascii="宋体" w:hAnsi="宋体"/>
          <w:b/>
          <w:sz w:val="24"/>
          <w:szCs w:val="24"/>
          <w:highlight w:val="none"/>
        </w:rPr>
        <w:t>、投标截止后</w:t>
      </w:r>
      <w:r>
        <w:rPr>
          <w:rFonts w:hint="eastAsia" w:ascii="宋体" w:hAnsi="宋体"/>
          <w:b/>
          <w:sz w:val="24"/>
          <w:szCs w:val="24"/>
          <w:highlight w:val="none"/>
        </w:rPr>
        <w:t>供应商不足</w:t>
      </w:r>
      <w:r>
        <w:rPr>
          <w:rFonts w:ascii="宋体" w:hAnsi="宋体"/>
          <w:b/>
          <w:sz w:val="24"/>
          <w:szCs w:val="24"/>
          <w:highlight w:val="none"/>
        </w:rPr>
        <w:t>3家或者通过资格审查或符合性审查的</w:t>
      </w:r>
      <w:r>
        <w:rPr>
          <w:rFonts w:hint="eastAsia" w:ascii="宋体" w:hAnsi="宋体"/>
          <w:b/>
          <w:sz w:val="24"/>
          <w:szCs w:val="24"/>
          <w:highlight w:val="none"/>
        </w:rPr>
        <w:t>供应商不足</w:t>
      </w:r>
      <w:r>
        <w:rPr>
          <w:rFonts w:ascii="宋体" w:hAnsi="宋体"/>
          <w:b/>
          <w:sz w:val="24"/>
          <w:szCs w:val="24"/>
          <w:highlight w:val="none"/>
        </w:rPr>
        <w:t>3家的，除采购任务取消情形外，按照以下方式处理：</w:t>
      </w:r>
    </w:p>
    <w:p w14:paraId="314E2FC7">
      <w:pPr>
        <w:numPr>
          <w:ilvl w:val="0"/>
          <w:numId w:val="9"/>
        </w:numPr>
        <w:spacing w:line="360" w:lineRule="auto"/>
        <w:rPr>
          <w:rFonts w:ascii="宋体" w:hAnsi="宋体"/>
          <w:bCs/>
          <w:sz w:val="24"/>
          <w:szCs w:val="24"/>
          <w:highlight w:val="none"/>
        </w:rPr>
      </w:pPr>
      <w:r>
        <w:rPr>
          <w:rFonts w:hint="eastAsia" w:ascii="宋体" w:hAnsi="宋体"/>
          <w:bCs/>
          <w:sz w:val="24"/>
          <w:szCs w:val="24"/>
          <w:highlight w:val="none"/>
        </w:rPr>
        <w:t>招标文件存在不合理条款或者招标程序不符合规定的，采购人、代理机构改正后依法重新招标；</w:t>
      </w:r>
    </w:p>
    <w:p w14:paraId="48F91ACC">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3A7D6C1B">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3</w:t>
      </w:r>
      <w:r>
        <w:rPr>
          <w:rFonts w:ascii="宋体" w:hAnsi="宋体"/>
          <w:b/>
          <w:sz w:val="24"/>
          <w:szCs w:val="24"/>
          <w:highlight w:val="none"/>
        </w:rPr>
        <w:t>、废标的确认</w:t>
      </w:r>
    </w:p>
    <w:p w14:paraId="44DC3ADD">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有下列情形之一的予以废标，同时由采购人或</w:t>
      </w:r>
      <w:r>
        <w:rPr>
          <w:rFonts w:hint="eastAsia" w:ascii="宋体" w:hAnsi="宋体"/>
          <w:bCs/>
          <w:sz w:val="24"/>
          <w:szCs w:val="24"/>
          <w:highlight w:val="none"/>
          <w:lang w:val="zh-CN"/>
        </w:rPr>
        <w:t>代理机构</w:t>
      </w:r>
      <w:r>
        <w:rPr>
          <w:rFonts w:hint="eastAsia" w:ascii="宋体" w:hAnsi="宋体"/>
          <w:bCs/>
          <w:sz w:val="24"/>
          <w:szCs w:val="24"/>
          <w:highlight w:val="none"/>
        </w:rPr>
        <w:t>将废标理由通知所有供应商：</w:t>
      </w:r>
    </w:p>
    <w:p w14:paraId="435CCF5A">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符合专业条件的供应商或者对招标文件作出实质性响应的供应商不足</w:t>
      </w:r>
      <w:r>
        <w:rPr>
          <w:rFonts w:ascii="宋体" w:hAnsi="宋体"/>
          <w:bCs/>
          <w:sz w:val="24"/>
          <w:szCs w:val="24"/>
          <w:highlight w:val="none"/>
        </w:rPr>
        <w:t>3</w:t>
      </w:r>
      <w:r>
        <w:rPr>
          <w:rFonts w:hint="eastAsia" w:ascii="宋体" w:hAnsi="宋体"/>
          <w:bCs/>
          <w:sz w:val="24"/>
          <w:szCs w:val="24"/>
          <w:highlight w:val="none"/>
          <w:lang w:val="zh-CN"/>
        </w:rPr>
        <w:t>家，且未采用其他采购方式的；</w:t>
      </w:r>
    </w:p>
    <w:p w14:paraId="042C3AF7">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1F8BB5FD">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供应商的报价均超过采购预算，采购人不能支付；</w:t>
      </w:r>
    </w:p>
    <w:p w14:paraId="03AD595C">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因重大变故，采购任务取消。</w:t>
      </w:r>
    </w:p>
    <w:p w14:paraId="1A48240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六、投标保证金</w:t>
      </w:r>
    </w:p>
    <w:p w14:paraId="2637E4C9">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4.1</w:t>
      </w:r>
      <w:r>
        <w:rPr>
          <w:rFonts w:ascii="宋体" w:hAnsi="宋体"/>
          <w:bCs/>
          <w:sz w:val="24"/>
          <w:szCs w:val="24"/>
          <w:highlight w:val="none"/>
        </w:rPr>
        <w:t>投标保证金：</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400C7966">
      <w:pPr>
        <w:pStyle w:val="14"/>
        <w:spacing w:line="360" w:lineRule="auto"/>
        <w:ind w:firstLine="480"/>
        <w:rPr>
          <w:rFonts w:ascii="宋体" w:hAnsi="宋体"/>
          <w:bCs/>
          <w:sz w:val="24"/>
          <w:szCs w:val="24"/>
          <w:highlight w:val="none"/>
        </w:rPr>
      </w:pPr>
      <w:r>
        <w:rPr>
          <w:rFonts w:hint="eastAsia" w:ascii="宋体" w:hAnsi="宋体"/>
          <w:bCs/>
          <w:sz w:val="24"/>
          <w:szCs w:val="24"/>
          <w:highlight w:val="none"/>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2486DCB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24.3供应商</w:t>
      </w:r>
      <w:r>
        <w:rPr>
          <w:rFonts w:hint="eastAsia" w:ascii="宋体" w:hAnsi="宋体"/>
          <w:bCs/>
          <w:sz w:val="24"/>
          <w:szCs w:val="24"/>
          <w:highlight w:val="none"/>
          <w:lang w:val="zh-CN"/>
        </w:rPr>
        <w:t>有下列情形之一的，其交纳的投标保证金不予退还：</w:t>
      </w:r>
    </w:p>
    <w:p w14:paraId="5083164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6DA61F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28989CB3">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供应商不与采购人签订合同的；</w:t>
      </w:r>
    </w:p>
    <w:p w14:paraId="7AA1A302">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与采购人、其他供应商或者采购代理机构恶意串通的；</w:t>
      </w:r>
    </w:p>
    <w:p w14:paraId="298F1ACB">
      <w:pPr>
        <w:pStyle w:val="14"/>
        <w:ind w:firstLine="480" w:firstLineChars="200"/>
        <w:rPr>
          <w:highlight w:val="none"/>
          <w:lang w:val="zh-CN"/>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6F80723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七、签订合同</w:t>
      </w:r>
    </w:p>
    <w:p w14:paraId="3988052B">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、签订合同</w:t>
      </w:r>
    </w:p>
    <w:p w14:paraId="0B4CFE1C">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4BBCA95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w:t>
      </w:r>
      <w:r>
        <w:rPr>
          <w:rFonts w:ascii="宋体" w:hAnsi="宋体"/>
          <w:bCs/>
          <w:sz w:val="24"/>
          <w:szCs w:val="24"/>
          <w:highlight w:val="none"/>
          <w:lang w:val="zh-CN"/>
        </w:rPr>
        <w:t>30日内，按照招标文件确定的事项与采购人签订采购合同</w:t>
      </w:r>
      <w:r>
        <w:rPr>
          <w:rFonts w:hint="eastAsia" w:ascii="宋体" w:hAnsi="宋体"/>
          <w:bCs/>
          <w:sz w:val="24"/>
          <w:szCs w:val="24"/>
          <w:highlight w:val="none"/>
          <w:lang w:val="zh-CN"/>
        </w:rPr>
        <w:t>。</w:t>
      </w:r>
    </w:p>
    <w:p w14:paraId="65689C7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中标供应商如逾期不办理相关手续、签订合同，监管部门将依据有关规定进行处理。</w:t>
      </w:r>
    </w:p>
    <w:p w14:paraId="0CC14F1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如遇特殊情况，采购人及监管部门可延期签订合同。</w:t>
      </w:r>
    </w:p>
    <w:p w14:paraId="33BB87E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681CED49">
      <w:pPr>
        <w:spacing w:line="360" w:lineRule="auto"/>
        <w:ind w:firstLine="480" w:firstLineChars="200"/>
        <w:rPr>
          <w:rFonts w:ascii="宋体" w:hAnsi="宋体"/>
          <w:b/>
          <w:bCs/>
          <w:color w:val="FF0000"/>
          <w:sz w:val="24"/>
          <w:szCs w:val="24"/>
          <w:highlight w:val="none"/>
          <w:lang w:val="zh-CN"/>
        </w:rPr>
      </w:pPr>
      <w:r>
        <w:rPr>
          <w:rFonts w:ascii="宋体" w:hAnsi="宋体"/>
          <w:bCs/>
          <w:sz w:val="24"/>
          <w:szCs w:val="24"/>
          <w:highlight w:val="none"/>
          <w:lang w:val="zh-CN"/>
        </w:rPr>
        <w:t>2</w:t>
      </w:r>
      <w:r>
        <w:rPr>
          <w:rFonts w:hint="eastAsia" w:ascii="宋体" w:hAnsi="宋体"/>
          <w:bCs/>
          <w:sz w:val="24"/>
          <w:szCs w:val="24"/>
          <w:highlight w:val="none"/>
        </w:rPr>
        <w:t>5</w:t>
      </w:r>
      <w:r>
        <w:rPr>
          <w:rFonts w:ascii="宋体" w:hAnsi="宋体"/>
          <w:bCs/>
          <w:sz w:val="24"/>
          <w:szCs w:val="24"/>
          <w:highlight w:val="none"/>
          <w:lang w:val="zh-CN"/>
        </w:rPr>
        <w:t xml:space="preserve">.4 </w:t>
      </w:r>
      <w:r>
        <w:rPr>
          <w:rFonts w:hint="eastAsia" w:ascii="宋体" w:hAnsi="宋体"/>
          <w:b/>
          <w:bCs/>
          <w:sz w:val="24"/>
          <w:szCs w:val="24"/>
          <w:highlight w:val="none"/>
          <w:lang w:val="zh-CN"/>
        </w:rPr>
        <w:t>签订合同前，中标供应商须按要求交纳中标合同总金额</w:t>
      </w:r>
      <w:r>
        <w:rPr>
          <w:rFonts w:hint="eastAsia" w:ascii="宋体" w:hAnsi="宋体"/>
          <w:b/>
          <w:bCs/>
          <w:sz w:val="24"/>
          <w:szCs w:val="24"/>
          <w:highlight w:val="none"/>
        </w:rPr>
        <w:t>10</w:t>
      </w:r>
      <w:r>
        <w:rPr>
          <w:rFonts w:ascii="宋体" w:hAnsi="宋体"/>
          <w:b/>
          <w:bCs/>
          <w:sz w:val="24"/>
          <w:szCs w:val="24"/>
          <w:highlight w:val="none"/>
          <w:lang w:val="zh-CN"/>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3943"/>
        <w:gridCol w:w="750"/>
        <w:gridCol w:w="2409"/>
      </w:tblGrid>
      <w:tr w14:paraId="448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4C17D9C0">
            <w:pPr>
              <w:contextualSpacing/>
              <w:jc w:val="center"/>
              <w:rPr>
                <w:rFonts w:ascii="宋体" w:hAnsi="宋体"/>
                <w:bCs/>
                <w:sz w:val="24"/>
                <w:szCs w:val="24"/>
                <w:highlight w:val="none"/>
                <w:lang w:val="zh-CN"/>
              </w:rPr>
            </w:pPr>
            <w:bookmarkStart w:id="58" w:name="OLE_LINK136"/>
            <w:r>
              <w:rPr>
                <w:rFonts w:hint="eastAsia" w:ascii="宋体" w:hAnsi="宋体"/>
                <w:sz w:val="24"/>
                <w:szCs w:val="24"/>
                <w:highlight w:val="none"/>
              </w:rPr>
              <w:t>交纳履约保证金账户名称</w:t>
            </w:r>
          </w:p>
        </w:tc>
        <w:tc>
          <w:tcPr>
            <w:tcW w:w="3943" w:type="dxa"/>
            <w:vAlign w:val="center"/>
          </w:tcPr>
          <w:p w14:paraId="6787DF8C">
            <w:pPr>
              <w:spacing w:line="460" w:lineRule="exact"/>
              <w:contextualSpacing/>
              <w:jc w:val="center"/>
              <w:rPr>
                <w:rFonts w:ascii="宋体" w:hAnsi="宋体"/>
                <w:sz w:val="24"/>
                <w:szCs w:val="24"/>
                <w:highlight w:val="none"/>
                <w:lang w:val="zh-CN"/>
              </w:rPr>
            </w:pPr>
            <w:r>
              <w:rPr>
                <w:rFonts w:hint="eastAsia" w:ascii="宋体" w:hAnsi="宋体"/>
                <w:sz w:val="24"/>
                <w:szCs w:val="24"/>
                <w:highlight w:val="none"/>
                <w:lang w:val="zh-CN"/>
              </w:rPr>
              <w:t>宜兴市宜蓝环境科技有限公司</w:t>
            </w:r>
          </w:p>
        </w:tc>
        <w:tc>
          <w:tcPr>
            <w:tcW w:w="750" w:type="dxa"/>
            <w:vMerge w:val="restart"/>
            <w:vAlign w:val="center"/>
          </w:tcPr>
          <w:p w14:paraId="7605C4E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交纳</w:t>
            </w:r>
          </w:p>
          <w:p w14:paraId="0AB096E6">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形式</w:t>
            </w:r>
          </w:p>
        </w:tc>
        <w:tc>
          <w:tcPr>
            <w:tcW w:w="2409" w:type="dxa"/>
            <w:vMerge w:val="restart"/>
            <w:vAlign w:val="center"/>
          </w:tcPr>
          <w:p w14:paraId="03B921D3">
            <w:pPr>
              <w:contextualSpacing/>
              <w:jc w:val="center"/>
              <w:rPr>
                <w:rFonts w:ascii="宋体" w:hAnsi="宋体"/>
                <w:bCs/>
                <w:sz w:val="24"/>
                <w:szCs w:val="24"/>
                <w:highlight w:val="none"/>
                <w:lang w:val="zh-CN"/>
              </w:rPr>
            </w:pPr>
            <w:bookmarkStart w:id="59" w:name="OLE_LINK2"/>
            <w:bookmarkStart w:id="60" w:name="OLE_LINK1"/>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bookmarkEnd w:id="59"/>
            <w:bookmarkEnd w:id="60"/>
          </w:p>
        </w:tc>
      </w:tr>
      <w:tr w14:paraId="34B9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1FE36593">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开户银行</w:t>
            </w:r>
          </w:p>
        </w:tc>
        <w:tc>
          <w:tcPr>
            <w:tcW w:w="3943" w:type="dxa"/>
            <w:shd w:val="clear" w:color="auto" w:fill="auto"/>
            <w:vAlign w:val="center"/>
          </w:tcPr>
          <w:p w14:paraId="1A59D8BD">
            <w:pPr>
              <w:spacing w:line="460" w:lineRule="exact"/>
              <w:contextualSpacing/>
              <w:jc w:val="center"/>
              <w:rPr>
                <w:rFonts w:hint="eastAsia" w:ascii="宋体" w:hAnsi="宋体"/>
                <w:sz w:val="24"/>
                <w:szCs w:val="24"/>
                <w:highlight w:val="none"/>
                <w:lang w:val="zh-CN" w:eastAsia="zh-CN"/>
              </w:rPr>
            </w:pPr>
            <w:r>
              <w:rPr>
                <w:rFonts w:hint="eastAsia" w:ascii="宋体" w:hAnsi="宋体"/>
                <w:sz w:val="24"/>
                <w:szCs w:val="24"/>
                <w:highlight w:val="none"/>
                <w:lang w:val="zh-CN"/>
              </w:rPr>
              <w:t>交通银行股份有限公司宜兴支行</w:t>
            </w:r>
          </w:p>
        </w:tc>
        <w:tc>
          <w:tcPr>
            <w:tcW w:w="750" w:type="dxa"/>
            <w:vMerge w:val="continue"/>
            <w:vAlign w:val="center"/>
          </w:tcPr>
          <w:p w14:paraId="57D1FBF0">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1D7D410A">
            <w:pPr>
              <w:spacing w:line="460" w:lineRule="exact"/>
              <w:contextualSpacing/>
              <w:jc w:val="center"/>
              <w:rPr>
                <w:rFonts w:ascii="宋体" w:hAnsi="宋体"/>
                <w:bCs/>
                <w:sz w:val="24"/>
                <w:szCs w:val="24"/>
                <w:highlight w:val="none"/>
                <w:lang w:val="zh-CN"/>
              </w:rPr>
            </w:pPr>
          </w:p>
        </w:tc>
      </w:tr>
      <w:tr w14:paraId="3E3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68" w:type="dxa"/>
            <w:vAlign w:val="center"/>
          </w:tcPr>
          <w:p w14:paraId="3ED5330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账号</w:t>
            </w:r>
          </w:p>
        </w:tc>
        <w:tc>
          <w:tcPr>
            <w:tcW w:w="3943" w:type="dxa"/>
            <w:shd w:val="clear" w:color="auto" w:fill="auto"/>
            <w:vAlign w:val="center"/>
          </w:tcPr>
          <w:p w14:paraId="45A7D688">
            <w:pPr>
              <w:spacing w:line="460" w:lineRule="exact"/>
              <w:contextualSpacing/>
              <w:jc w:val="center"/>
              <w:rPr>
                <w:rFonts w:hint="eastAsia" w:ascii="宋体" w:hAnsi="宋体"/>
                <w:sz w:val="24"/>
                <w:szCs w:val="24"/>
                <w:highlight w:val="none"/>
                <w:lang w:val="zh-CN" w:eastAsia="zh-CN"/>
              </w:rPr>
            </w:pPr>
            <w:r>
              <w:rPr>
                <w:rFonts w:hint="eastAsia" w:ascii="宋体" w:hAnsi="宋体"/>
                <w:sz w:val="24"/>
                <w:szCs w:val="24"/>
                <w:highlight w:val="none"/>
                <w:lang w:val="zh-CN"/>
              </w:rPr>
              <w:t>394000690015003011511</w:t>
            </w:r>
          </w:p>
        </w:tc>
        <w:tc>
          <w:tcPr>
            <w:tcW w:w="750" w:type="dxa"/>
            <w:vMerge w:val="continue"/>
            <w:vAlign w:val="center"/>
          </w:tcPr>
          <w:p w14:paraId="5D4890B7">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06C8F811">
            <w:pPr>
              <w:spacing w:line="460" w:lineRule="exact"/>
              <w:contextualSpacing/>
              <w:jc w:val="center"/>
              <w:rPr>
                <w:rFonts w:ascii="宋体" w:hAnsi="宋体"/>
                <w:bCs/>
                <w:sz w:val="24"/>
                <w:szCs w:val="24"/>
                <w:highlight w:val="none"/>
                <w:lang w:val="zh-CN"/>
              </w:rPr>
            </w:pPr>
          </w:p>
        </w:tc>
      </w:tr>
      <w:bookmarkEnd w:id="58"/>
    </w:tbl>
    <w:p w14:paraId="00990350">
      <w:pPr>
        <w:spacing w:line="460" w:lineRule="exact"/>
        <w:ind w:firstLine="480" w:firstLineChars="200"/>
        <w:contextualSpacing/>
        <w:rPr>
          <w:rFonts w:ascii="宋体" w:hAnsi="宋体"/>
          <w:b/>
          <w:bCs/>
          <w:color w:val="FF0000"/>
          <w:sz w:val="24"/>
          <w:szCs w:val="24"/>
          <w:highlight w:val="none"/>
          <w:lang w:val="zh-CN"/>
        </w:rPr>
      </w:pPr>
      <w:r>
        <w:rPr>
          <w:rFonts w:hint="eastAsia" w:ascii="宋体" w:hAnsi="宋体"/>
          <w:bCs/>
          <w:sz w:val="24"/>
          <w:szCs w:val="24"/>
          <w:highlight w:val="none"/>
        </w:rPr>
        <w:t>注：履约保证金于合同履约结束之日起三十个工作日内无息退还。若中标</w:t>
      </w:r>
      <w:r>
        <w:rPr>
          <w:rFonts w:hint="eastAsia" w:ascii="宋体" w:hAnsi="宋体"/>
          <w:bCs/>
          <w:sz w:val="24"/>
          <w:szCs w:val="24"/>
          <w:highlight w:val="none"/>
          <w:lang w:val="zh-CN"/>
        </w:rPr>
        <w:t>供应商</w:t>
      </w:r>
      <w:r>
        <w:rPr>
          <w:rFonts w:hint="eastAsia" w:ascii="宋体" w:hAnsi="宋体"/>
          <w:bCs/>
          <w:sz w:val="24"/>
          <w:szCs w:val="24"/>
          <w:highlight w:val="none"/>
        </w:rPr>
        <w:t>缴纳履约保证金的形式为开具银行保函，需确保保函有效期覆盖合同期。若合同在执行过程中保函即将过期，中标</w:t>
      </w:r>
      <w:r>
        <w:rPr>
          <w:rFonts w:hint="eastAsia" w:ascii="宋体" w:hAnsi="宋体"/>
          <w:bCs/>
          <w:sz w:val="24"/>
          <w:szCs w:val="24"/>
          <w:highlight w:val="none"/>
          <w:lang w:val="zh-CN"/>
        </w:rPr>
        <w:t>供应商</w:t>
      </w:r>
      <w:r>
        <w:rPr>
          <w:rFonts w:hint="eastAsia" w:ascii="宋体" w:hAnsi="宋体"/>
          <w:bCs/>
          <w:sz w:val="24"/>
          <w:szCs w:val="24"/>
          <w:highlight w:val="none"/>
        </w:rPr>
        <w:t>需提前一个月重新开具银行保函交至采购人，否则采购人将停付进度款。</w:t>
      </w:r>
    </w:p>
    <w:p w14:paraId="73E81CF9">
      <w:pPr>
        <w:spacing w:line="360" w:lineRule="auto"/>
        <w:ind w:firstLine="480" w:firstLineChars="200"/>
        <w:rPr>
          <w:rFonts w:ascii="宋体" w:hAnsi="宋体"/>
          <w:bCs/>
          <w:sz w:val="24"/>
          <w:szCs w:val="24"/>
          <w:highlight w:val="none"/>
          <w:lang w:val="zh-CN"/>
        </w:rPr>
      </w:pPr>
      <w:bookmarkStart w:id="61" w:name="_Toc23122"/>
      <w:r>
        <w:rPr>
          <w:rFonts w:hint="eastAsia" w:ascii="宋体" w:hAnsi="宋体"/>
          <w:bCs/>
          <w:sz w:val="24"/>
          <w:szCs w:val="24"/>
          <w:highlight w:val="none"/>
        </w:rPr>
        <w:t xml:space="preserve">25.5 </w:t>
      </w:r>
      <w:r>
        <w:rPr>
          <w:rFonts w:hint="eastAsia" w:ascii="宋体" w:hAnsi="宋体"/>
          <w:bCs/>
          <w:sz w:val="24"/>
          <w:szCs w:val="24"/>
          <w:highlight w:val="none"/>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63ED4A6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中标候选人放弃中标资格的，参照前款进行处理。</w:t>
      </w:r>
    </w:p>
    <w:p w14:paraId="03D565EF">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25.6</w:t>
      </w:r>
      <w:r>
        <w:rPr>
          <w:rFonts w:hint="eastAsia" w:ascii="宋体" w:hAnsi="宋体"/>
          <w:bCs/>
          <w:sz w:val="24"/>
          <w:szCs w:val="24"/>
          <w:highlight w:val="none"/>
          <w:lang w:val="zh-CN"/>
        </w:rPr>
        <w:t xml:space="preserve"> 采购合同履行中，采购人需追加与合同标的相同</w:t>
      </w:r>
      <w:r>
        <w:rPr>
          <w:rFonts w:hint="eastAsia" w:ascii="宋体" w:hAnsi="宋体"/>
          <w:bCs/>
          <w:sz w:val="24"/>
          <w:szCs w:val="24"/>
          <w:highlight w:val="none"/>
        </w:rPr>
        <w:t>服务</w:t>
      </w:r>
      <w:r>
        <w:rPr>
          <w:rFonts w:hint="eastAsia" w:ascii="宋体" w:hAnsi="宋体"/>
          <w:bCs/>
          <w:sz w:val="24"/>
          <w:szCs w:val="24"/>
          <w:highlight w:val="none"/>
          <w:lang w:val="zh-CN"/>
        </w:rPr>
        <w:t>的，在不改变合同其他条款的前提下，可以与中标供应商协商签订补充合同，但所有补充合同的采购金额不得超过原合同采购金额的百分之十。</w:t>
      </w:r>
    </w:p>
    <w:p w14:paraId="5742584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八、投标行为及投标产品</w:t>
      </w:r>
    </w:p>
    <w:p w14:paraId="67A5BF7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26、投标行为及投标产品：</w:t>
      </w:r>
    </w:p>
    <w:p w14:paraId="78EDCFA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供应商的投标行为必须遵守各项法律、法规、规章及相关制度的规定。</w:t>
      </w:r>
    </w:p>
    <w:p w14:paraId="10D1E08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投标</w:t>
      </w:r>
      <w:r>
        <w:rPr>
          <w:rFonts w:hint="eastAsia" w:ascii="宋体" w:hAnsi="宋体"/>
          <w:bCs/>
          <w:sz w:val="24"/>
          <w:szCs w:val="24"/>
          <w:highlight w:val="none"/>
        </w:rPr>
        <w:t>服务及</w:t>
      </w:r>
      <w:r>
        <w:rPr>
          <w:rFonts w:hint="eastAsia" w:ascii="宋体" w:hAnsi="宋体"/>
          <w:bCs/>
          <w:sz w:val="24"/>
          <w:szCs w:val="24"/>
          <w:highlight w:val="none"/>
          <w:lang w:val="zh-CN"/>
        </w:rPr>
        <w:t>产品、产品安装（施工）及服务质量等应符合国家、行业等相关标准及要求。</w:t>
      </w:r>
    </w:p>
    <w:p w14:paraId="10EA077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6CF45CB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供应商提供的产品应是全新、未使用过的原装合格正品。供应商中标后，在供货期内如遇产品平滑（自然）升级，中标供应商应提供平滑升级商品不补差价（招标文件中有特殊要求的除外）。</w:t>
      </w:r>
    </w:p>
    <w:p w14:paraId="3649A096">
      <w:pPr>
        <w:numPr>
          <w:ilvl w:val="0"/>
          <w:numId w:val="11"/>
        </w:numPr>
        <w:spacing w:line="360" w:lineRule="auto"/>
        <w:rPr>
          <w:rFonts w:ascii="宋体" w:hAnsi="宋体"/>
          <w:bCs/>
          <w:sz w:val="24"/>
          <w:szCs w:val="24"/>
          <w:highlight w:val="none"/>
        </w:rPr>
      </w:pPr>
      <w:r>
        <w:rPr>
          <w:rFonts w:hint="eastAsia" w:ascii="宋体" w:hAnsi="宋体"/>
          <w:bCs/>
          <w:sz w:val="24"/>
          <w:szCs w:val="24"/>
          <w:highlight w:val="none"/>
          <w:lang w:val="zh-CN"/>
        </w:rPr>
        <w:t>招标文件中要求供应商出具的证书等相关材料，均应在有效期限内，即有效期限应覆盖投标文件评审当日。</w:t>
      </w:r>
    </w:p>
    <w:p w14:paraId="2709BCA2">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九、验收</w:t>
      </w:r>
    </w:p>
    <w:p w14:paraId="5D98E0A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27、</w:t>
      </w:r>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1FCBD90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十、质疑处理</w:t>
      </w:r>
    </w:p>
    <w:p w14:paraId="57CA257E">
      <w:pPr>
        <w:spacing w:line="360" w:lineRule="auto"/>
        <w:ind w:firstLine="480" w:firstLineChars="200"/>
        <w:rPr>
          <w:rFonts w:ascii="宋体" w:hAnsi="宋体"/>
          <w:bCs/>
          <w:sz w:val="24"/>
          <w:szCs w:val="24"/>
          <w:highlight w:val="none"/>
        </w:rPr>
      </w:pPr>
      <w:bookmarkStart w:id="62" w:name="OLE_LINK100"/>
      <w:r>
        <w:rPr>
          <w:rFonts w:hint="eastAsia" w:ascii="宋体" w:hAnsi="宋体"/>
          <w:bCs/>
          <w:sz w:val="24"/>
          <w:szCs w:val="24"/>
          <w:highlight w:val="none"/>
        </w:rPr>
        <w:t>28、询问</w:t>
      </w:r>
    </w:p>
    <w:p w14:paraId="0266E61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28.1 </w:t>
      </w:r>
      <w:r>
        <w:rPr>
          <w:rFonts w:hint="eastAsia" w:ascii="宋体" w:hAnsi="宋体"/>
          <w:bCs/>
          <w:sz w:val="24"/>
          <w:szCs w:val="24"/>
          <w:highlight w:val="none"/>
          <w:lang w:val="zh-CN"/>
        </w:rPr>
        <w:t>供应商对采购活动事项有疑问的，可以向采购人提出询问，采购人将在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个工作日内作出答复，但答复的内容不得涉及商业秘密；供应商也可以向采购人委托的代理机构提出询问，代理机构就采购人委托授权范围内的事项作出答复。</w:t>
      </w:r>
    </w:p>
    <w:p w14:paraId="00F0A4C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29、质疑</w:t>
      </w:r>
    </w:p>
    <w:p w14:paraId="78E8B0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29.1 </w:t>
      </w:r>
      <w:r>
        <w:rPr>
          <w:rFonts w:hint="eastAsia" w:ascii="宋体" w:hAnsi="宋体"/>
          <w:bCs/>
          <w:sz w:val="24"/>
          <w:szCs w:val="24"/>
          <w:highlight w:val="none"/>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lang w:val="zh-CN"/>
        </w:rPr>
        <w:t>政府采购供应商质疑函范本</w:t>
      </w:r>
      <w:r>
        <w:rPr>
          <w:rFonts w:hint="eastAsia" w:ascii="宋体" w:hAnsi="宋体"/>
          <w:bCs/>
          <w:sz w:val="24"/>
          <w:szCs w:val="24"/>
          <w:highlight w:val="none"/>
          <w:lang w:val="zh-CN"/>
        </w:rPr>
        <w:fldChar w:fldCharType="end"/>
      </w:r>
      <w:r>
        <w:rPr>
          <w:rFonts w:hint="eastAsia" w:ascii="宋体" w:hAnsi="宋体"/>
          <w:bCs/>
          <w:sz w:val="24"/>
          <w:szCs w:val="24"/>
          <w:highlight w:val="none"/>
          <w:lang w:val="zh-CN"/>
        </w:rPr>
        <w:t>》）。</w:t>
      </w:r>
    </w:p>
    <w:p w14:paraId="2C68D7F6">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 xml:space="preserve">29.2 </w:t>
      </w:r>
      <w:bookmarkStart w:id="63" w:name="OLE_LINK44"/>
      <w:r>
        <w:rPr>
          <w:rFonts w:hint="eastAsia" w:ascii="宋体" w:hAnsi="宋体"/>
          <w:b/>
          <w:sz w:val="24"/>
          <w:szCs w:val="24"/>
          <w:highlight w:val="none"/>
          <w:lang w:val="zh-CN"/>
        </w:rPr>
        <w:t>质疑答复责任主体：</w:t>
      </w:r>
    </w:p>
    <w:p w14:paraId="1ACC8A4A">
      <w:pPr>
        <w:numPr>
          <w:ilvl w:val="0"/>
          <w:numId w:val="12"/>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采购文件、采购过程和中标结果</w:t>
      </w:r>
      <w:r>
        <w:rPr>
          <w:rFonts w:hint="eastAsia" w:ascii="宋体" w:hAnsi="宋体"/>
          <w:bCs/>
          <w:sz w:val="24"/>
          <w:szCs w:val="24"/>
          <w:highlight w:val="none"/>
          <w:lang w:val="zh-CN"/>
        </w:rPr>
        <w:t>使自己的权益受到损害的，可以在知道或者应当知道其权益受到损害之日起七个工作日内，以书面形式向采购人提出质疑。</w:t>
      </w:r>
    </w:p>
    <w:p w14:paraId="22C5DF7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63"/>
    </w:p>
    <w:p w14:paraId="5E1182B7">
      <w:pPr>
        <w:spacing w:line="360" w:lineRule="auto"/>
        <w:ind w:firstLine="240" w:firstLineChars="100"/>
        <w:rPr>
          <w:rFonts w:ascii="宋体" w:hAnsi="宋体"/>
          <w:bCs/>
          <w:sz w:val="24"/>
          <w:szCs w:val="24"/>
          <w:highlight w:val="none"/>
          <w:lang w:val="zh-CN"/>
        </w:rPr>
      </w:pPr>
      <w:r>
        <w:rPr>
          <w:rFonts w:hint="eastAsia" w:ascii="宋体" w:hAnsi="宋体"/>
          <w:bCs/>
          <w:sz w:val="24"/>
          <w:szCs w:val="24"/>
          <w:highlight w:val="none"/>
          <w:lang w:val="zh-CN"/>
        </w:rPr>
        <w:t xml:space="preserve"> </w:t>
      </w:r>
      <w:r>
        <w:rPr>
          <w:rFonts w:hint="eastAsia" w:ascii="宋体" w:hAnsi="宋体"/>
          <w:bCs/>
          <w:sz w:val="24"/>
          <w:szCs w:val="24"/>
          <w:highlight w:val="none"/>
        </w:rPr>
        <w:t xml:space="preserve">20.3 </w:t>
      </w:r>
      <w:bookmarkStart w:id="64"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4"/>
    </w:p>
    <w:p w14:paraId="367798C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29.4 </w:t>
      </w:r>
      <w:r>
        <w:rPr>
          <w:rFonts w:hint="eastAsia" w:ascii="宋体" w:hAnsi="宋体"/>
          <w:bCs/>
          <w:sz w:val="24"/>
          <w:szCs w:val="24"/>
          <w:highlight w:val="none"/>
          <w:lang w:val="zh-CN"/>
        </w:rPr>
        <w:t>对符合法定质疑条件的质疑，被质疑人在受理后的七个工作日内进行书面答复。</w:t>
      </w:r>
    </w:p>
    <w:p w14:paraId="7FBC663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20.5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恶意质疑或提交虚假质疑一经查实，被质疑人有权依据政府采购法的有关规定，报请采购监管部门对该质疑人进行相应的行政处罚。</w:t>
      </w:r>
      <w:bookmarkStart w:id="65" w:name="OLE_LINK142"/>
    </w:p>
    <w:p w14:paraId="4DB068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30、投诉</w:t>
      </w:r>
    </w:p>
    <w:p w14:paraId="27902503">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30.1</w:t>
      </w:r>
      <w:r>
        <w:rPr>
          <w:rFonts w:hint="eastAsia" w:ascii="宋体" w:hAnsi="宋体"/>
          <w:bCs/>
          <w:sz w:val="24"/>
          <w:szCs w:val="24"/>
          <w:highlight w:val="none"/>
          <w:lang w:val="zh-CN"/>
        </w:rPr>
        <w:t>质疑供应商对采购人的答复不满意或者采购人未在规定的时间内作出答复的，</w:t>
      </w:r>
      <w:bookmarkEnd w:id="62"/>
      <w:bookmarkEnd w:id="65"/>
      <w:r>
        <w:rPr>
          <w:rFonts w:hint="eastAsia" w:ascii="宋体" w:hAnsi="宋体"/>
          <w:bCs/>
          <w:sz w:val="24"/>
          <w:szCs w:val="24"/>
          <w:highlight w:val="none"/>
          <w:lang w:val="zh-CN"/>
        </w:rPr>
        <w:t>可以在答复期满后十五个工作日内向本招标文件第一章投标邀请函中的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4FAAC5DD">
      <w:pPr>
        <w:pStyle w:val="14"/>
        <w:spacing w:line="360" w:lineRule="auto"/>
        <w:rPr>
          <w:rFonts w:ascii="宋体" w:hAnsi="宋体"/>
          <w:sz w:val="24"/>
          <w:szCs w:val="24"/>
          <w:highlight w:val="none"/>
        </w:rPr>
      </w:pPr>
    </w:p>
    <w:p w14:paraId="49DEA067">
      <w:pPr>
        <w:pStyle w:val="14"/>
        <w:rPr>
          <w:highlight w:val="none"/>
        </w:rPr>
      </w:pPr>
    </w:p>
    <w:p w14:paraId="2A36BD67">
      <w:pPr>
        <w:pStyle w:val="14"/>
        <w:rPr>
          <w:highlight w:val="none"/>
        </w:rPr>
      </w:pPr>
    </w:p>
    <w:p w14:paraId="7BE73EF9">
      <w:pPr>
        <w:pStyle w:val="14"/>
        <w:rPr>
          <w:highlight w:val="none"/>
        </w:rPr>
      </w:pPr>
    </w:p>
    <w:p w14:paraId="7FFCDF4B">
      <w:pPr>
        <w:pStyle w:val="14"/>
        <w:rPr>
          <w:highlight w:val="none"/>
        </w:rPr>
      </w:pPr>
    </w:p>
    <w:p w14:paraId="178B9492">
      <w:pPr>
        <w:pStyle w:val="14"/>
        <w:rPr>
          <w:highlight w:val="none"/>
        </w:rPr>
      </w:pPr>
    </w:p>
    <w:p w14:paraId="06C56AC5">
      <w:pPr>
        <w:pStyle w:val="14"/>
        <w:rPr>
          <w:highlight w:val="none"/>
        </w:rPr>
      </w:pPr>
    </w:p>
    <w:p w14:paraId="1B8FFE2D">
      <w:pPr>
        <w:pStyle w:val="14"/>
        <w:rPr>
          <w:highlight w:val="none"/>
        </w:rPr>
      </w:pPr>
    </w:p>
    <w:p w14:paraId="62E2D537">
      <w:pPr>
        <w:pStyle w:val="14"/>
        <w:rPr>
          <w:highlight w:val="none"/>
        </w:rPr>
      </w:pPr>
    </w:p>
    <w:p w14:paraId="2013062D">
      <w:pPr>
        <w:pStyle w:val="14"/>
        <w:rPr>
          <w:highlight w:val="none"/>
        </w:rPr>
      </w:pPr>
    </w:p>
    <w:p w14:paraId="6ED25142">
      <w:pPr>
        <w:pStyle w:val="14"/>
        <w:rPr>
          <w:highlight w:val="none"/>
        </w:rPr>
      </w:pPr>
    </w:p>
    <w:p w14:paraId="5E66B1FC">
      <w:pPr>
        <w:pStyle w:val="14"/>
        <w:rPr>
          <w:highlight w:val="none"/>
        </w:rPr>
      </w:pPr>
    </w:p>
    <w:p w14:paraId="2AE5B493">
      <w:pPr>
        <w:pStyle w:val="14"/>
        <w:rPr>
          <w:highlight w:val="none"/>
        </w:rPr>
      </w:pPr>
    </w:p>
    <w:p w14:paraId="089B66B0">
      <w:pPr>
        <w:pStyle w:val="14"/>
        <w:rPr>
          <w:highlight w:val="none"/>
        </w:rPr>
      </w:pPr>
    </w:p>
    <w:p w14:paraId="79D3EF5D">
      <w:pPr>
        <w:pStyle w:val="14"/>
        <w:rPr>
          <w:highlight w:val="none"/>
        </w:rPr>
      </w:pPr>
    </w:p>
    <w:p w14:paraId="35A35234">
      <w:pPr>
        <w:pStyle w:val="14"/>
        <w:rPr>
          <w:highlight w:val="none"/>
        </w:rPr>
      </w:pPr>
    </w:p>
    <w:p w14:paraId="3033920F">
      <w:pPr>
        <w:pStyle w:val="14"/>
        <w:rPr>
          <w:highlight w:val="none"/>
        </w:rPr>
      </w:pPr>
    </w:p>
    <w:p w14:paraId="1C2A17E1">
      <w:pPr>
        <w:pStyle w:val="14"/>
        <w:rPr>
          <w:highlight w:val="none"/>
        </w:rPr>
      </w:pPr>
    </w:p>
    <w:p w14:paraId="3A38D1F2">
      <w:pPr>
        <w:pStyle w:val="14"/>
        <w:rPr>
          <w:highlight w:val="none"/>
        </w:rPr>
      </w:pPr>
    </w:p>
    <w:p w14:paraId="26B54975">
      <w:pPr>
        <w:pStyle w:val="14"/>
        <w:rPr>
          <w:highlight w:val="none"/>
        </w:rPr>
      </w:pPr>
    </w:p>
    <w:p w14:paraId="660E4667">
      <w:pPr>
        <w:pStyle w:val="14"/>
        <w:rPr>
          <w:highlight w:val="none"/>
        </w:rPr>
      </w:pPr>
    </w:p>
    <w:p w14:paraId="11138BA6">
      <w:pPr>
        <w:pStyle w:val="14"/>
        <w:rPr>
          <w:highlight w:val="none"/>
        </w:rPr>
      </w:pPr>
    </w:p>
    <w:p w14:paraId="6D422EDE">
      <w:pPr>
        <w:pStyle w:val="14"/>
        <w:rPr>
          <w:highlight w:val="none"/>
        </w:rPr>
      </w:pPr>
    </w:p>
    <w:p w14:paraId="3E2DA4CE">
      <w:pPr>
        <w:pStyle w:val="14"/>
        <w:rPr>
          <w:highlight w:val="none"/>
        </w:rPr>
      </w:pPr>
    </w:p>
    <w:p w14:paraId="5154E1E1">
      <w:pPr>
        <w:pStyle w:val="14"/>
        <w:rPr>
          <w:highlight w:val="none"/>
        </w:rPr>
      </w:pPr>
    </w:p>
    <w:p w14:paraId="050A7179">
      <w:pPr>
        <w:pStyle w:val="14"/>
        <w:rPr>
          <w:highlight w:val="none"/>
        </w:rPr>
      </w:pPr>
    </w:p>
    <w:p w14:paraId="26A74A6C">
      <w:pPr>
        <w:pStyle w:val="14"/>
        <w:rPr>
          <w:highlight w:val="none"/>
        </w:rPr>
      </w:pPr>
    </w:p>
    <w:p w14:paraId="4F7FC2AE">
      <w:pPr>
        <w:pStyle w:val="14"/>
        <w:rPr>
          <w:highlight w:val="none"/>
        </w:rPr>
      </w:pPr>
    </w:p>
    <w:p w14:paraId="61FB97B9">
      <w:pPr>
        <w:pStyle w:val="14"/>
        <w:rPr>
          <w:highlight w:val="none"/>
        </w:rPr>
      </w:pPr>
    </w:p>
    <w:p w14:paraId="7826F481">
      <w:pPr>
        <w:pStyle w:val="14"/>
        <w:rPr>
          <w:highlight w:val="none"/>
        </w:rPr>
      </w:pPr>
    </w:p>
    <w:p w14:paraId="06627E5B">
      <w:pPr>
        <w:pStyle w:val="14"/>
        <w:rPr>
          <w:highlight w:val="none"/>
        </w:rPr>
      </w:pPr>
    </w:p>
    <w:p w14:paraId="1CE52C43">
      <w:pPr>
        <w:pStyle w:val="14"/>
        <w:rPr>
          <w:highlight w:val="none"/>
        </w:rPr>
      </w:pPr>
    </w:p>
    <w:p w14:paraId="1B86B5D0">
      <w:pPr>
        <w:pStyle w:val="14"/>
        <w:rPr>
          <w:highlight w:val="none"/>
        </w:rPr>
      </w:pPr>
    </w:p>
    <w:p w14:paraId="1BC1971F">
      <w:pPr>
        <w:pStyle w:val="14"/>
        <w:rPr>
          <w:highlight w:val="none"/>
        </w:rPr>
      </w:pPr>
    </w:p>
    <w:p w14:paraId="46497C2B">
      <w:pPr>
        <w:pStyle w:val="14"/>
        <w:rPr>
          <w:highlight w:val="none"/>
        </w:rPr>
      </w:pPr>
    </w:p>
    <w:p w14:paraId="4BC70916">
      <w:pPr>
        <w:pStyle w:val="14"/>
        <w:rPr>
          <w:highlight w:val="none"/>
        </w:rPr>
      </w:pPr>
    </w:p>
    <w:p w14:paraId="1BC8EAD3">
      <w:pPr>
        <w:pStyle w:val="14"/>
        <w:rPr>
          <w:highlight w:val="none"/>
        </w:rPr>
      </w:pPr>
    </w:p>
    <w:p w14:paraId="5B03AC1D">
      <w:pPr>
        <w:pStyle w:val="14"/>
        <w:rPr>
          <w:highlight w:val="none"/>
        </w:rPr>
      </w:pPr>
    </w:p>
    <w:p w14:paraId="32B7344C">
      <w:pPr>
        <w:pStyle w:val="14"/>
        <w:rPr>
          <w:highlight w:val="none"/>
        </w:rPr>
      </w:pPr>
    </w:p>
    <w:p w14:paraId="59A21308">
      <w:pPr>
        <w:pStyle w:val="14"/>
        <w:rPr>
          <w:highlight w:val="none"/>
        </w:rPr>
      </w:pPr>
    </w:p>
    <w:p w14:paraId="2CF9F028">
      <w:pPr>
        <w:pStyle w:val="14"/>
        <w:rPr>
          <w:highlight w:val="none"/>
        </w:rPr>
      </w:pPr>
    </w:p>
    <w:p w14:paraId="735CD81E">
      <w:pPr>
        <w:pStyle w:val="14"/>
        <w:rPr>
          <w:highlight w:val="none"/>
        </w:rPr>
      </w:pPr>
    </w:p>
    <w:p w14:paraId="76689C7D">
      <w:pPr>
        <w:pStyle w:val="14"/>
        <w:rPr>
          <w:highlight w:val="none"/>
        </w:rPr>
      </w:pPr>
    </w:p>
    <w:p w14:paraId="229A8CB5">
      <w:pPr>
        <w:pStyle w:val="33"/>
        <w:ind w:firstLine="200"/>
        <w:rPr>
          <w:highlight w:val="none"/>
        </w:rPr>
      </w:pPr>
    </w:p>
    <w:p w14:paraId="3948176F">
      <w:pPr>
        <w:pStyle w:val="33"/>
        <w:ind w:firstLine="200"/>
        <w:rPr>
          <w:highlight w:val="none"/>
        </w:rPr>
      </w:pPr>
    </w:p>
    <w:p w14:paraId="70881AD7">
      <w:pPr>
        <w:pStyle w:val="33"/>
        <w:ind w:firstLine="200"/>
        <w:rPr>
          <w:highlight w:val="none"/>
        </w:rPr>
      </w:pPr>
    </w:p>
    <w:p w14:paraId="373187EE">
      <w:pPr>
        <w:pStyle w:val="33"/>
        <w:ind w:firstLine="200"/>
        <w:rPr>
          <w:highlight w:val="none"/>
        </w:rPr>
      </w:pPr>
    </w:p>
    <w:p w14:paraId="0C888F23">
      <w:pPr>
        <w:pStyle w:val="33"/>
        <w:ind w:firstLine="200"/>
        <w:rPr>
          <w:highlight w:val="none"/>
        </w:rPr>
      </w:pPr>
    </w:p>
    <w:p w14:paraId="3B6AAD24">
      <w:pPr>
        <w:pStyle w:val="33"/>
        <w:ind w:firstLine="200"/>
        <w:rPr>
          <w:highlight w:val="none"/>
        </w:rPr>
      </w:pPr>
    </w:p>
    <w:p w14:paraId="58E88F69">
      <w:pPr>
        <w:pStyle w:val="33"/>
        <w:ind w:firstLine="200"/>
        <w:rPr>
          <w:highlight w:val="none"/>
        </w:rPr>
      </w:pPr>
    </w:p>
    <w:p w14:paraId="31F928BB">
      <w:pPr>
        <w:pStyle w:val="33"/>
        <w:ind w:firstLine="200"/>
        <w:rPr>
          <w:highlight w:val="none"/>
        </w:rPr>
      </w:pPr>
    </w:p>
    <w:p w14:paraId="55FFFB39">
      <w:pPr>
        <w:pStyle w:val="33"/>
        <w:ind w:firstLine="200"/>
        <w:rPr>
          <w:highlight w:val="none"/>
        </w:rPr>
      </w:pPr>
    </w:p>
    <w:p w14:paraId="6717EC17">
      <w:pPr>
        <w:pStyle w:val="33"/>
        <w:ind w:firstLine="200"/>
        <w:rPr>
          <w:highlight w:val="none"/>
        </w:rPr>
      </w:pPr>
    </w:p>
    <w:p w14:paraId="7657857D">
      <w:pPr>
        <w:pStyle w:val="33"/>
        <w:ind w:firstLine="200"/>
        <w:rPr>
          <w:highlight w:val="none"/>
        </w:rPr>
      </w:pPr>
    </w:p>
    <w:p w14:paraId="3657BEA1">
      <w:pPr>
        <w:spacing w:line="360" w:lineRule="auto"/>
        <w:jc w:val="center"/>
        <w:outlineLvl w:val="0"/>
        <w:rPr>
          <w:rFonts w:ascii="宋体" w:hAnsi="宋体"/>
          <w:b/>
          <w:sz w:val="24"/>
          <w:szCs w:val="24"/>
          <w:highlight w:val="none"/>
        </w:rPr>
      </w:pPr>
      <w:bookmarkStart w:id="66" w:name="_Toc109652602"/>
      <w:bookmarkStart w:id="67" w:name="_Toc167975512"/>
      <w:bookmarkStart w:id="68" w:name="_Toc109652650"/>
      <w:bookmarkStart w:id="69" w:name="_Toc109650246"/>
      <w:r>
        <w:rPr>
          <w:rFonts w:hint="eastAsia" w:ascii="宋体" w:hAnsi="宋体"/>
          <w:b/>
          <w:sz w:val="24"/>
          <w:szCs w:val="24"/>
          <w:highlight w:val="none"/>
        </w:rPr>
        <w:t>第三章</w:t>
      </w:r>
      <w:r>
        <w:rPr>
          <w:rFonts w:ascii="宋体" w:hAnsi="宋体"/>
          <w:b/>
          <w:sz w:val="24"/>
          <w:szCs w:val="24"/>
          <w:highlight w:val="none"/>
        </w:rPr>
        <w:t xml:space="preserve"> </w:t>
      </w:r>
      <w:r>
        <w:rPr>
          <w:rFonts w:hint="eastAsia" w:ascii="宋体" w:hAnsi="宋体"/>
          <w:b/>
          <w:sz w:val="24"/>
          <w:szCs w:val="24"/>
          <w:highlight w:val="none"/>
        </w:rPr>
        <w:t>评标方法和标准</w:t>
      </w:r>
      <w:bookmarkEnd w:id="66"/>
      <w:bookmarkEnd w:id="67"/>
      <w:bookmarkEnd w:id="68"/>
      <w:bookmarkEnd w:id="69"/>
    </w:p>
    <w:bookmarkEnd w:id="61"/>
    <w:p w14:paraId="6E6A8142">
      <w:pPr>
        <w:spacing w:line="360" w:lineRule="auto"/>
        <w:jc w:val="left"/>
        <w:rPr>
          <w:rFonts w:ascii="宋体" w:hAnsi="宋体"/>
          <w:sz w:val="24"/>
          <w:szCs w:val="24"/>
          <w:highlight w:val="none"/>
        </w:rPr>
      </w:pPr>
      <w:bookmarkStart w:id="70" w:name="_Toc109652653"/>
      <w:bookmarkStart w:id="71" w:name="_Toc23355"/>
      <w:bookmarkStart w:id="72" w:name="_Toc167975513"/>
      <w:bookmarkStart w:id="73" w:name="_Toc109650249"/>
      <w:bookmarkStart w:id="74" w:name="_Toc109652605"/>
      <w:r>
        <w:rPr>
          <w:rFonts w:hint="eastAsia" w:ascii="宋体" w:hAnsi="宋体"/>
          <w:sz w:val="24"/>
          <w:szCs w:val="24"/>
          <w:highlight w:val="none"/>
        </w:rPr>
        <w:t>一、评分项目（总分100分）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6834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5DD6AA3D">
            <w:pPr>
              <w:spacing w:line="360" w:lineRule="auto"/>
              <w:jc w:val="center"/>
              <w:rPr>
                <w:rFonts w:ascii="宋体" w:hAnsi="宋体"/>
                <w:sz w:val="24"/>
                <w:szCs w:val="24"/>
                <w:highlight w:val="none"/>
              </w:rPr>
            </w:pPr>
            <w:r>
              <w:rPr>
                <w:rFonts w:hint="eastAsia" w:ascii="宋体" w:hAnsi="宋体"/>
                <w:sz w:val="24"/>
                <w:szCs w:val="24"/>
                <w:highlight w:val="none"/>
              </w:rPr>
              <w:t>技术部分</w:t>
            </w:r>
          </w:p>
        </w:tc>
        <w:tc>
          <w:tcPr>
            <w:tcW w:w="5755" w:type="dxa"/>
            <w:vAlign w:val="center"/>
          </w:tcPr>
          <w:p w14:paraId="223EBD0E">
            <w:pPr>
              <w:spacing w:line="360" w:lineRule="auto"/>
              <w:jc w:val="center"/>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0分</w:t>
            </w:r>
          </w:p>
        </w:tc>
      </w:tr>
      <w:tr w14:paraId="5397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4E90E261">
            <w:pPr>
              <w:spacing w:line="360" w:lineRule="auto"/>
              <w:jc w:val="center"/>
              <w:rPr>
                <w:rFonts w:ascii="宋体" w:hAnsi="宋体"/>
                <w:sz w:val="24"/>
                <w:szCs w:val="24"/>
                <w:highlight w:val="none"/>
              </w:rPr>
            </w:pPr>
            <w:r>
              <w:rPr>
                <w:rFonts w:ascii="宋体" w:hAnsi="宋体"/>
                <w:sz w:val="24"/>
                <w:szCs w:val="24"/>
                <w:highlight w:val="none"/>
              </w:rPr>
              <w:t>商务部分</w:t>
            </w:r>
          </w:p>
        </w:tc>
        <w:tc>
          <w:tcPr>
            <w:tcW w:w="5755" w:type="dxa"/>
            <w:vAlign w:val="center"/>
          </w:tcPr>
          <w:p w14:paraId="4D5B9FFD">
            <w:pPr>
              <w:spacing w:line="360" w:lineRule="auto"/>
              <w:jc w:val="center"/>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分</w:t>
            </w:r>
          </w:p>
        </w:tc>
      </w:tr>
      <w:tr w14:paraId="387D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37AFB8EF">
            <w:pPr>
              <w:spacing w:line="360" w:lineRule="auto"/>
              <w:jc w:val="center"/>
              <w:rPr>
                <w:rFonts w:ascii="宋体" w:hAnsi="宋体"/>
                <w:sz w:val="24"/>
                <w:szCs w:val="24"/>
                <w:highlight w:val="none"/>
              </w:rPr>
            </w:pPr>
            <w:r>
              <w:rPr>
                <w:rFonts w:hint="eastAsia" w:ascii="宋体" w:hAnsi="宋体"/>
                <w:sz w:val="24"/>
                <w:szCs w:val="24"/>
                <w:highlight w:val="none"/>
              </w:rPr>
              <w:t>价格部分</w:t>
            </w:r>
          </w:p>
        </w:tc>
        <w:tc>
          <w:tcPr>
            <w:tcW w:w="5755" w:type="dxa"/>
            <w:vAlign w:val="center"/>
          </w:tcPr>
          <w:p w14:paraId="211A83D6">
            <w:pPr>
              <w:spacing w:line="360" w:lineRule="auto"/>
              <w:jc w:val="center"/>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分</w:t>
            </w:r>
          </w:p>
        </w:tc>
      </w:tr>
    </w:tbl>
    <w:p w14:paraId="10F8CB83">
      <w:pPr>
        <w:spacing w:line="360" w:lineRule="auto"/>
        <w:jc w:val="left"/>
        <w:rPr>
          <w:rFonts w:ascii="宋体" w:hAnsi="宋体"/>
          <w:sz w:val="24"/>
          <w:szCs w:val="24"/>
          <w:highlight w:val="none"/>
        </w:rPr>
      </w:pPr>
      <w:r>
        <w:rPr>
          <w:rFonts w:hint="eastAsia" w:ascii="宋体" w:hAnsi="宋体"/>
          <w:sz w:val="24"/>
          <w:szCs w:val="24"/>
          <w:highlight w:val="none"/>
        </w:rPr>
        <w:t>二、评审内容：</w:t>
      </w:r>
    </w:p>
    <w:tbl>
      <w:tblPr>
        <w:tblStyle w:val="35"/>
        <w:tblpPr w:leftFromText="180" w:rightFromText="180" w:vertAnchor="text" w:tblpXSpec="center" w:tblpY="1"/>
        <w:tblOverlap w:val="never"/>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794"/>
        <w:gridCol w:w="1535"/>
        <w:gridCol w:w="890"/>
        <w:gridCol w:w="5494"/>
      </w:tblGrid>
      <w:tr w14:paraId="00A6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0" w:type="pct"/>
            <w:tcMar>
              <w:top w:w="0" w:type="dxa"/>
              <w:left w:w="0" w:type="dxa"/>
              <w:bottom w:w="0" w:type="dxa"/>
              <w:right w:w="0" w:type="dxa"/>
            </w:tcMar>
            <w:vAlign w:val="center"/>
          </w:tcPr>
          <w:p w14:paraId="1FFEBFAE">
            <w:pPr>
              <w:snapToGrid w:val="0"/>
              <w:spacing w:line="400" w:lineRule="exact"/>
              <w:jc w:val="center"/>
              <w:textAlignment w:val="baseline"/>
              <w:rPr>
                <w:rFonts w:ascii="宋体" w:hAnsi="宋体" w:cs="宋体"/>
                <w:sz w:val="24"/>
                <w:szCs w:val="24"/>
                <w:highlight w:val="none"/>
              </w:rPr>
            </w:pPr>
            <w:bookmarkStart w:id="75" w:name="OLE_LINK3"/>
            <w:bookmarkStart w:id="76" w:name="OLE_LINK8"/>
            <w:r>
              <w:rPr>
                <w:rFonts w:hint="eastAsia" w:ascii="宋体" w:hAnsi="宋体" w:cs="宋体"/>
                <w:sz w:val="24"/>
                <w:szCs w:val="24"/>
                <w:highlight w:val="none"/>
              </w:rPr>
              <w:t>评审内容</w:t>
            </w:r>
          </w:p>
        </w:tc>
        <w:tc>
          <w:tcPr>
            <w:tcW w:w="396" w:type="pct"/>
            <w:vAlign w:val="center"/>
          </w:tcPr>
          <w:p w14:paraId="6F108A58">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序号</w:t>
            </w:r>
          </w:p>
        </w:tc>
        <w:tc>
          <w:tcPr>
            <w:tcW w:w="766" w:type="pct"/>
            <w:vAlign w:val="center"/>
          </w:tcPr>
          <w:p w14:paraId="6B1413CD">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评审项目</w:t>
            </w:r>
          </w:p>
        </w:tc>
        <w:tc>
          <w:tcPr>
            <w:tcW w:w="444" w:type="pct"/>
            <w:vAlign w:val="center"/>
          </w:tcPr>
          <w:p w14:paraId="08B299B4">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分值</w:t>
            </w:r>
          </w:p>
        </w:tc>
        <w:tc>
          <w:tcPr>
            <w:tcW w:w="2741" w:type="pct"/>
            <w:vAlign w:val="center"/>
          </w:tcPr>
          <w:p w14:paraId="77785299">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评审细则</w:t>
            </w:r>
          </w:p>
        </w:tc>
      </w:tr>
      <w:tr w14:paraId="3185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50" w:type="pct"/>
            <w:vMerge w:val="restart"/>
            <w:vAlign w:val="center"/>
          </w:tcPr>
          <w:p w14:paraId="36049385">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技术评审因素</w:t>
            </w:r>
          </w:p>
          <w:p w14:paraId="7B92825F">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0分）</w:t>
            </w:r>
          </w:p>
        </w:tc>
        <w:tc>
          <w:tcPr>
            <w:tcW w:w="794" w:type="dxa"/>
            <w:vAlign w:val="center"/>
          </w:tcPr>
          <w:p w14:paraId="3E5B4751">
            <w:pPr>
              <w:widowControl/>
              <w:jc w:val="center"/>
              <w:rPr>
                <w:rFonts w:ascii="宋体" w:hAnsi="宋体" w:cs="宋体"/>
                <w:sz w:val="24"/>
                <w:szCs w:val="24"/>
                <w:highlight w:val="none"/>
              </w:rPr>
            </w:pPr>
            <w:r>
              <w:rPr>
                <w:rFonts w:hint="eastAsia" w:ascii="宋体" w:hAnsi="宋体" w:cs="宋体"/>
                <w:sz w:val="24"/>
                <w:szCs w:val="24"/>
                <w:lang w:bidi="ar"/>
              </w:rPr>
              <w:t>1</w:t>
            </w:r>
          </w:p>
        </w:tc>
        <w:tc>
          <w:tcPr>
            <w:tcW w:w="1535" w:type="dxa"/>
            <w:vAlign w:val="center"/>
          </w:tcPr>
          <w:p w14:paraId="2A422208">
            <w:pPr>
              <w:widowControl/>
              <w:rPr>
                <w:rFonts w:ascii="宋体" w:hAnsi="宋体" w:cs="宋体"/>
                <w:color w:val="000000"/>
                <w:sz w:val="24"/>
                <w:szCs w:val="24"/>
                <w:highlight w:val="none"/>
              </w:rPr>
            </w:pPr>
            <w:r>
              <w:rPr>
                <w:rFonts w:hint="eastAsia" w:ascii="宋体" w:hAnsi="宋体" w:cs="宋体"/>
                <w:sz w:val="24"/>
                <w:szCs w:val="24"/>
                <w:lang w:bidi="ar"/>
              </w:rPr>
              <w:t>对项目的理解和总体思路</w:t>
            </w:r>
          </w:p>
        </w:tc>
        <w:tc>
          <w:tcPr>
            <w:tcW w:w="890" w:type="dxa"/>
            <w:vAlign w:val="center"/>
          </w:tcPr>
          <w:p w14:paraId="284D1997">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4EE3D08A">
            <w:pPr>
              <w:widowControl/>
              <w:rPr>
                <w:rFonts w:hint="eastAsia" w:ascii="宋体" w:hAnsi="宋体" w:cs="宋体"/>
                <w:sz w:val="24"/>
                <w:szCs w:val="24"/>
                <w:lang w:bidi="ar"/>
              </w:rPr>
            </w:pPr>
            <w:r>
              <w:rPr>
                <w:rFonts w:hint="eastAsia" w:ascii="宋体" w:hAnsi="宋体" w:cs="宋体"/>
                <w:sz w:val="24"/>
                <w:szCs w:val="24"/>
                <w:lang w:bidi="ar"/>
              </w:rPr>
              <w:t>对项目背景认识充分，对项目的任务、目标和预期成果理解准确，基本情况掌握全面，总体思路清晰得1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6272B3E5">
            <w:pPr>
              <w:widowControl/>
              <w:rPr>
                <w:rFonts w:hint="eastAsia" w:ascii="宋体" w:hAnsi="宋体" w:cs="宋体"/>
                <w:sz w:val="24"/>
                <w:szCs w:val="24"/>
                <w:lang w:bidi="ar"/>
              </w:rPr>
            </w:pPr>
            <w:r>
              <w:rPr>
                <w:rFonts w:hint="eastAsia" w:ascii="宋体" w:hAnsi="宋体" w:cs="宋体"/>
                <w:sz w:val="24"/>
                <w:szCs w:val="24"/>
                <w:lang w:bidi="ar"/>
              </w:rPr>
              <w:t>对项目背景有一定认识，对项目的任务、目标和预期成果理解较准确，基本情况掌握较全面，思路较清晰得10分；</w:t>
            </w:r>
          </w:p>
          <w:p w14:paraId="525A0EA5">
            <w:pPr>
              <w:widowControl/>
              <w:rPr>
                <w:rFonts w:hint="eastAsia" w:ascii="宋体" w:hAnsi="宋体" w:cs="宋体"/>
                <w:sz w:val="24"/>
                <w:szCs w:val="24"/>
                <w:lang w:bidi="ar"/>
              </w:rPr>
            </w:pPr>
            <w:r>
              <w:rPr>
                <w:rFonts w:hint="eastAsia" w:ascii="宋体" w:hAnsi="宋体" w:cs="宋体"/>
                <w:sz w:val="24"/>
                <w:szCs w:val="24"/>
                <w:lang w:bidi="ar"/>
              </w:rPr>
              <w:t>对项目背景认识不够充分，对项目的任务、目标和预期成果理解不够准确，基本情况掌握不够全面，基本满足采购要求得5分；</w:t>
            </w:r>
          </w:p>
          <w:p w14:paraId="724426A5">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11C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2DD76A96">
            <w:pPr>
              <w:snapToGrid w:val="0"/>
              <w:spacing w:line="400" w:lineRule="exact"/>
              <w:jc w:val="center"/>
              <w:textAlignment w:val="baseline"/>
              <w:rPr>
                <w:rFonts w:ascii="宋体" w:hAnsi="宋体" w:cs="宋体"/>
                <w:sz w:val="24"/>
                <w:szCs w:val="24"/>
                <w:highlight w:val="none"/>
              </w:rPr>
            </w:pPr>
          </w:p>
        </w:tc>
        <w:tc>
          <w:tcPr>
            <w:tcW w:w="794" w:type="dxa"/>
            <w:vAlign w:val="center"/>
          </w:tcPr>
          <w:p w14:paraId="22FF7078">
            <w:pPr>
              <w:widowControl/>
              <w:jc w:val="center"/>
              <w:rPr>
                <w:rFonts w:ascii="宋体" w:hAnsi="宋体" w:cs="宋体"/>
                <w:sz w:val="24"/>
                <w:szCs w:val="24"/>
                <w:highlight w:val="none"/>
              </w:rPr>
            </w:pPr>
            <w:r>
              <w:rPr>
                <w:rFonts w:hint="eastAsia" w:ascii="宋体" w:hAnsi="宋体" w:cs="宋体"/>
                <w:sz w:val="24"/>
                <w:szCs w:val="24"/>
                <w:lang w:bidi="ar"/>
              </w:rPr>
              <w:t>2</w:t>
            </w:r>
          </w:p>
        </w:tc>
        <w:tc>
          <w:tcPr>
            <w:tcW w:w="1535" w:type="dxa"/>
            <w:vAlign w:val="center"/>
          </w:tcPr>
          <w:p w14:paraId="3C5A9ADA">
            <w:pPr>
              <w:widowControl/>
              <w:rPr>
                <w:rFonts w:ascii="宋体" w:hAnsi="宋体" w:cs="宋体"/>
                <w:color w:val="000000"/>
                <w:sz w:val="24"/>
                <w:szCs w:val="24"/>
                <w:highlight w:val="none"/>
              </w:rPr>
            </w:pPr>
            <w:r>
              <w:rPr>
                <w:rFonts w:hint="eastAsia" w:ascii="宋体" w:hAnsi="宋体" w:cs="宋体"/>
                <w:sz w:val="24"/>
                <w:szCs w:val="24"/>
                <w:lang w:bidi="ar"/>
              </w:rPr>
              <w:t>项目编制方案</w:t>
            </w:r>
          </w:p>
        </w:tc>
        <w:tc>
          <w:tcPr>
            <w:tcW w:w="890" w:type="dxa"/>
            <w:vAlign w:val="center"/>
          </w:tcPr>
          <w:p w14:paraId="333C06C2">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6903638F">
            <w:pPr>
              <w:widowControl/>
              <w:rPr>
                <w:rFonts w:hint="eastAsia" w:ascii="宋体" w:hAnsi="宋体" w:cs="宋体"/>
                <w:sz w:val="24"/>
                <w:szCs w:val="24"/>
                <w:lang w:bidi="ar"/>
              </w:rPr>
            </w:pPr>
            <w:r>
              <w:rPr>
                <w:rFonts w:hint="eastAsia" w:ascii="宋体" w:hAnsi="宋体" w:cs="宋体"/>
                <w:sz w:val="24"/>
                <w:szCs w:val="24"/>
                <w:lang w:bidi="ar"/>
              </w:rPr>
              <w:t>技术路线科学、可行，规划研究内容全面，制定的规划目标和任务针对性和可操作性强，提出的规划对策措施合理、可靠得1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36A9DFCE">
            <w:pPr>
              <w:widowControl/>
              <w:rPr>
                <w:rFonts w:hint="eastAsia" w:ascii="宋体" w:hAnsi="宋体" w:cs="宋体"/>
                <w:sz w:val="24"/>
                <w:szCs w:val="24"/>
                <w:lang w:bidi="ar"/>
              </w:rPr>
            </w:pPr>
            <w:r>
              <w:rPr>
                <w:rFonts w:hint="eastAsia" w:ascii="宋体" w:hAnsi="宋体" w:cs="宋体"/>
                <w:sz w:val="24"/>
                <w:szCs w:val="24"/>
                <w:lang w:bidi="ar"/>
              </w:rPr>
              <w:t>技术路线基本可行，规划研究内容较全面，制定的规划目标和任务针对性和可操作性较强，提出的规划对策措施基本合理、可靠得10分；</w:t>
            </w:r>
          </w:p>
          <w:p w14:paraId="1963ADF1">
            <w:pPr>
              <w:widowControl/>
              <w:rPr>
                <w:rFonts w:hint="eastAsia" w:ascii="宋体" w:hAnsi="宋体" w:cs="宋体"/>
                <w:sz w:val="24"/>
                <w:szCs w:val="24"/>
                <w:lang w:bidi="ar"/>
              </w:rPr>
            </w:pPr>
            <w:r>
              <w:rPr>
                <w:rFonts w:hint="eastAsia" w:ascii="宋体" w:hAnsi="宋体" w:cs="宋体"/>
                <w:sz w:val="24"/>
                <w:szCs w:val="24"/>
                <w:lang w:bidi="ar"/>
              </w:rPr>
              <w:t>技术路线逻辑性一般，规划研究内容不够全面，制定的规划目标和任务、提出的规划对策措施针对性和可操作性一般得5分；</w:t>
            </w:r>
          </w:p>
          <w:p w14:paraId="34CDFDF4">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46E0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5FD6A7DA">
            <w:pPr>
              <w:snapToGrid w:val="0"/>
              <w:spacing w:line="400" w:lineRule="exact"/>
              <w:jc w:val="center"/>
              <w:textAlignment w:val="baseline"/>
              <w:rPr>
                <w:rFonts w:ascii="宋体" w:hAnsi="宋体" w:cs="宋体"/>
                <w:sz w:val="24"/>
                <w:szCs w:val="24"/>
                <w:highlight w:val="none"/>
              </w:rPr>
            </w:pPr>
          </w:p>
        </w:tc>
        <w:tc>
          <w:tcPr>
            <w:tcW w:w="794" w:type="dxa"/>
            <w:vAlign w:val="center"/>
          </w:tcPr>
          <w:p w14:paraId="0AF4AC61">
            <w:pPr>
              <w:widowControl/>
              <w:jc w:val="center"/>
              <w:rPr>
                <w:rFonts w:ascii="宋体" w:hAnsi="宋体" w:cs="宋体"/>
                <w:sz w:val="24"/>
                <w:szCs w:val="24"/>
                <w:highlight w:val="none"/>
              </w:rPr>
            </w:pPr>
            <w:r>
              <w:rPr>
                <w:rFonts w:hint="eastAsia" w:ascii="宋体" w:hAnsi="宋体" w:cs="宋体"/>
                <w:sz w:val="24"/>
                <w:szCs w:val="24"/>
                <w:lang w:bidi="ar"/>
              </w:rPr>
              <w:t>3</w:t>
            </w:r>
          </w:p>
        </w:tc>
        <w:tc>
          <w:tcPr>
            <w:tcW w:w="1535" w:type="dxa"/>
            <w:vAlign w:val="center"/>
          </w:tcPr>
          <w:p w14:paraId="3A31FD5E">
            <w:pPr>
              <w:widowControl/>
              <w:rPr>
                <w:rFonts w:ascii="宋体" w:hAnsi="宋体" w:cs="宋体"/>
                <w:color w:val="000000"/>
                <w:sz w:val="24"/>
                <w:szCs w:val="24"/>
                <w:highlight w:val="none"/>
              </w:rPr>
            </w:pPr>
            <w:r>
              <w:rPr>
                <w:rFonts w:hint="eastAsia" w:ascii="宋体" w:hAnsi="宋体" w:cs="宋体"/>
                <w:sz w:val="24"/>
                <w:szCs w:val="24"/>
                <w:lang w:bidi="ar"/>
              </w:rPr>
              <w:t>进度计划及保证措施</w:t>
            </w:r>
          </w:p>
        </w:tc>
        <w:tc>
          <w:tcPr>
            <w:tcW w:w="890" w:type="dxa"/>
            <w:vAlign w:val="center"/>
          </w:tcPr>
          <w:p w14:paraId="5190BC0D">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0E82B4DC">
            <w:pPr>
              <w:widowControl/>
              <w:rPr>
                <w:rFonts w:hint="eastAsia" w:ascii="宋体" w:hAnsi="宋体" w:cs="宋体"/>
                <w:sz w:val="24"/>
                <w:szCs w:val="24"/>
                <w:lang w:bidi="ar"/>
              </w:rPr>
            </w:pPr>
            <w:r>
              <w:rPr>
                <w:rFonts w:hint="eastAsia" w:ascii="宋体" w:hAnsi="宋体" w:cs="宋体"/>
                <w:sz w:val="24"/>
                <w:szCs w:val="24"/>
                <w:lang w:bidi="ar"/>
              </w:rPr>
              <w:t>计划安排等合理周密，措施具体可靠，可实施性强，与招标人协调配合措施完善的得1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67EFC21A">
            <w:pPr>
              <w:widowControl/>
              <w:rPr>
                <w:rFonts w:hint="eastAsia" w:ascii="宋体" w:hAnsi="宋体" w:cs="宋体"/>
                <w:sz w:val="24"/>
                <w:szCs w:val="24"/>
                <w:lang w:bidi="ar"/>
              </w:rPr>
            </w:pPr>
            <w:r>
              <w:rPr>
                <w:rFonts w:hint="eastAsia" w:ascii="宋体" w:hAnsi="宋体" w:cs="宋体"/>
                <w:sz w:val="24"/>
                <w:szCs w:val="24"/>
                <w:lang w:bidi="ar"/>
              </w:rPr>
              <w:t>计划安排等较合理，措施较具体、可行，与采购人协调配合措施较完善的得10分；</w:t>
            </w:r>
          </w:p>
          <w:p w14:paraId="43E67B34">
            <w:pPr>
              <w:widowControl/>
              <w:rPr>
                <w:rFonts w:hint="eastAsia" w:ascii="宋体" w:hAnsi="宋体" w:cs="宋体"/>
                <w:sz w:val="24"/>
                <w:szCs w:val="24"/>
                <w:lang w:bidi="ar"/>
              </w:rPr>
            </w:pPr>
            <w:r>
              <w:rPr>
                <w:rFonts w:hint="eastAsia" w:ascii="宋体" w:hAnsi="宋体" w:cs="宋体"/>
                <w:sz w:val="24"/>
                <w:szCs w:val="24"/>
                <w:lang w:bidi="ar"/>
              </w:rPr>
              <w:t>未作说明或计划安排欠合理的得5分；</w:t>
            </w:r>
          </w:p>
          <w:p w14:paraId="4F5E4E86">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0EB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50" w:type="pct"/>
            <w:vMerge w:val="continue"/>
            <w:vAlign w:val="center"/>
          </w:tcPr>
          <w:p w14:paraId="70FFA85C">
            <w:pPr>
              <w:snapToGrid w:val="0"/>
              <w:spacing w:line="400" w:lineRule="exact"/>
              <w:jc w:val="center"/>
              <w:textAlignment w:val="baseline"/>
              <w:rPr>
                <w:rFonts w:ascii="宋体" w:hAnsi="宋体" w:cs="宋体"/>
                <w:sz w:val="24"/>
                <w:szCs w:val="24"/>
                <w:highlight w:val="none"/>
              </w:rPr>
            </w:pPr>
          </w:p>
        </w:tc>
        <w:tc>
          <w:tcPr>
            <w:tcW w:w="794" w:type="dxa"/>
            <w:vAlign w:val="center"/>
          </w:tcPr>
          <w:p w14:paraId="736906C1">
            <w:pPr>
              <w:widowControl/>
              <w:jc w:val="center"/>
              <w:rPr>
                <w:rFonts w:ascii="宋体" w:hAnsi="宋体" w:cs="宋体"/>
                <w:sz w:val="24"/>
                <w:szCs w:val="24"/>
                <w:highlight w:val="none"/>
              </w:rPr>
            </w:pPr>
            <w:r>
              <w:rPr>
                <w:rFonts w:hint="eastAsia" w:ascii="宋体" w:hAnsi="宋体" w:cs="宋体"/>
                <w:sz w:val="24"/>
                <w:szCs w:val="24"/>
                <w:lang w:bidi="ar"/>
              </w:rPr>
              <w:t>4</w:t>
            </w:r>
          </w:p>
        </w:tc>
        <w:tc>
          <w:tcPr>
            <w:tcW w:w="1535" w:type="dxa"/>
            <w:vAlign w:val="center"/>
          </w:tcPr>
          <w:p w14:paraId="591C3F04">
            <w:pPr>
              <w:widowControl/>
              <w:rPr>
                <w:rFonts w:ascii="宋体" w:hAnsi="宋体" w:cs="宋体"/>
                <w:color w:val="000000"/>
                <w:sz w:val="24"/>
                <w:szCs w:val="24"/>
                <w:highlight w:val="none"/>
              </w:rPr>
            </w:pPr>
            <w:r>
              <w:rPr>
                <w:rFonts w:hint="eastAsia" w:ascii="宋体" w:hAnsi="宋体" w:cs="宋体"/>
                <w:sz w:val="24"/>
                <w:szCs w:val="24"/>
                <w:lang w:bidi="ar"/>
              </w:rPr>
              <w:t>组织机构</w:t>
            </w:r>
          </w:p>
        </w:tc>
        <w:tc>
          <w:tcPr>
            <w:tcW w:w="890" w:type="dxa"/>
            <w:vAlign w:val="center"/>
          </w:tcPr>
          <w:p w14:paraId="67B636FE">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0691960E">
            <w:pPr>
              <w:widowControl/>
              <w:rPr>
                <w:rFonts w:hint="eastAsia" w:ascii="宋体" w:hAnsi="宋体" w:cs="宋体"/>
                <w:sz w:val="24"/>
                <w:szCs w:val="24"/>
                <w:lang w:bidi="ar"/>
              </w:rPr>
            </w:pPr>
            <w:r>
              <w:rPr>
                <w:rFonts w:hint="eastAsia" w:ascii="宋体" w:hAnsi="宋体" w:cs="宋体"/>
                <w:sz w:val="24"/>
                <w:szCs w:val="24"/>
                <w:lang w:bidi="ar"/>
              </w:rPr>
              <w:t>项目组织机构人员配置合理，职责分工明确的得1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57290CB8">
            <w:pPr>
              <w:widowControl/>
              <w:rPr>
                <w:rFonts w:hint="eastAsia" w:ascii="宋体" w:hAnsi="宋体" w:cs="宋体"/>
                <w:sz w:val="24"/>
                <w:szCs w:val="24"/>
                <w:lang w:bidi="ar"/>
              </w:rPr>
            </w:pPr>
            <w:r>
              <w:rPr>
                <w:rFonts w:hint="eastAsia" w:ascii="宋体" w:hAnsi="宋体" w:cs="宋体"/>
                <w:sz w:val="24"/>
                <w:szCs w:val="24"/>
                <w:lang w:bidi="ar"/>
              </w:rPr>
              <w:t>人员配置较合理，职责分工较合理的得10分；</w:t>
            </w:r>
          </w:p>
          <w:p w14:paraId="59966748">
            <w:pPr>
              <w:widowControl/>
              <w:rPr>
                <w:rFonts w:hint="eastAsia" w:ascii="宋体" w:hAnsi="宋体" w:cs="宋体"/>
                <w:sz w:val="24"/>
                <w:szCs w:val="24"/>
                <w:lang w:bidi="ar"/>
              </w:rPr>
            </w:pPr>
            <w:r>
              <w:rPr>
                <w:rFonts w:hint="eastAsia" w:ascii="宋体" w:hAnsi="宋体" w:cs="宋体"/>
                <w:sz w:val="24"/>
                <w:szCs w:val="24"/>
                <w:lang w:bidi="ar"/>
              </w:rPr>
              <w:t>未作说明或组织机构欠合理的得5分；</w:t>
            </w:r>
          </w:p>
          <w:p w14:paraId="0DB0161B">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694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50" w:type="pct"/>
            <w:vMerge w:val="continue"/>
            <w:vAlign w:val="center"/>
          </w:tcPr>
          <w:p w14:paraId="09E8144C">
            <w:pPr>
              <w:snapToGrid w:val="0"/>
              <w:spacing w:line="400" w:lineRule="exact"/>
              <w:jc w:val="center"/>
              <w:textAlignment w:val="baseline"/>
              <w:rPr>
                <w:rFonts w:ascii="宋体" w:hAnsi="宋体" w:cs="宋体"/>
                <w:sz w:val="24"/>
                <w:szCs w:val="24"/>
                <w:highlight w:val="none"/>
              </w:rPr>
            </w:pPr>
          </w:p>
        </w:tc>
        <w:tc>
          <w:tcPr>
            <w:tcW w:w="794" w:type="dxa"/>
            <w:vAlign w:val="center"/>
          </w:tcPr>
          <w:p w14:paraId="14FD23E1">
            <w:pPr>
              <w:widowControl/>
              <w:jc w:val="center"/>
              <w:rPr>
                <w:rFonts w:ascii="宋体" w:hAnsi="宋体" w:cs="宋体"/>
                <w:sz w:val="24"/>
                <w:szCs w:val="24"/>
                <w:highlight w:val="none"/>
              </w:rPr>
            </w:pPr>
            <w:r>
              <w:rPr>
                <w:rFonts w:hint="eastAsia" w:ascii="宋体" w:hAnsi="宋体" w:cs="宋体"/>
                <w:sz w:val="24"/>
                <w:szCs w:val="24"/>
                <w:lang w:bidi="ar"/>
              </w:rPr>
              <w:t>5</w:t>
            </w:r>
          </w:p>
        </w:tc>
        <w:tc>
          <w:tcPr>
            <w:tcW w:w="1535" w:type="dxa"/>
            <w:vAlign w:val="center"/>
          </w:tcPr>
          <w:p w14:paraId="2BDE06EB">
            <w:pPr>
              <w:widowControl/>
              <w:rPr>
                <w:rFonts w:ascii="宋体" w:hAnsi="宋体" w:cs="宋体"/>
                <w:color w:val="000000"/>
                <w:sz w:val="24"/>
                <w:szCs w:val="24"/>
                <w:highlight w:val="none"/>
              </w:rPr>
            </w:pPr>
            <w:r>
              <w:rPr>
                <w:rFonts w:hint="eastAsia" w:ascii="宋体" w:hAnsi="宋体" w:cs="宋体"/>
                <w:sz w:val="24"/>
                <w:szCs w:val="24"/>
                <w:lang w:bidi="ar"/>
              </w:rPr>
              <w:t>质量保证措施</w:t>
            </w:r>
          </w:p>
        </w:tc>
        <w:tc>
          <w:tcPr>
            <w:tcW w:w="890" w:type="dxa"/>
            <w:vAlign w:val="center"/>
          </w:tcPr>
          <w:p w14:paraId="44C1654D">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64EEA009">
            <w:pPr>
              <w:widowControl/>
              <w:rPr>
                <w:rFonts w:hint="eastAsia" w:ascii="宋体" w:hAnsi="宋体" w:cs="宋体"/>
                <w:sz w:val="24"/>
                <w:szCs w:val="24"/>
                <w:lang w:bidi="ar"/>
              </w:rPr>
            </w:pPr>
            <w:r>
              <w:rPr>
                <w:rFonts w:hint="eastAsia" w:ascii="宋体" w:hAnsi="宋体" w:cs="宋体"/>
                <w:sz w:val="24"/>
                <w:szCs w:val="24"/>
                <w:lang w:bidi="ar"/>
              </w:rPr>
              <w:t>针对项目工作内容进行全面、准确分析，根据方案的全面性、合理性、可靠性，结构完整性、表达清晰性等方面评分：内容详尽的得1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5C7F5B30">
            <w:pPr>
              <w:widowControl/>
              <w:rPr>
                <w:rFonts w:hint="eastAsia" w:ascii="宋体" w:hAnsi="宋体" w:cs="宋体"/>
                <w:sz w:val="24"/>
                <w:szCs w:val="24"/>
                <w:lang w:bidi="ar"/>
              </w:rPr>
            </w:pPr>
            <w:r>
              <w:rPr>
                <w:rFonts w:hint="eastAsia" w:ascii="宋体" w:hAnsi="宋体" w:cs="宋体"/>
                <w:sz w:val="24"/>
                <w:szCs w:val="24"/>
                <w:lang w:bidi="ar"/>
              </w:rPr>
              <w:t>内容完整的得10分；</w:t>
            </w:r>
          </w:p>
          <w:p w14:paraId="2519A8CC">
            <w:pPr>
              <w:widowControl/>
              <w:rPr>
                <w:rFonts w:hint="eastAsia" w:ascii="宋体" w:hAnsi="宋体" w:cs="宋体"/>
                <w:sz w:val="24"/>
                <w:szCs w:val="24"/>
                <w:lang w:bidi="ar"/>
              </w:rPr>
            </w:pPr>
            <w:r>
              <w:rPr>
                <w:rFonts w:hint="eastAsia" w:ascii="宋体" w:hAnsi="宋体" w:cs="宋体"/>
                <w:sz w:val="24"/>
                <w:szCs w:val="24"/>
                <w:lang w:bidi="ar"/>
              </w:rPr>
              <w:t>内容一般的得5分；</w:t>
            </w:r>
          </w:p>
          <w:p w14:paraId="557255A2">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12CE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exact"/>
          <w:jc w:val="center"/>
        </w:trPr>
        <w:tc>
          <w:tcPr>
            <w:tcW w:w="650" w:type="pct"/>
            <w:vMerge w:val="restart"/>
            <w:tcMar>
              <w:top w:w="0" w:type="dxa"/>
              <w:left w:w="0" w:type="dxa"/>
              <w:bottom w:w="0" w:type="dxa"/>
              <w:right w:w="0" w:type="dxa"/>
            </w:tcMar>
            <w:vAlign w:val="center"/>
          </w:tcPr>
          <w:p w14:paraId="59B18F6D">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商务评审</w:t>
            </w:r>
          </w:p>
          <w:p w14:paraId="0C160921">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因素</w:t>
            </w:r>
          </w:p>
          <w:p w14:paraId="6216A927">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794" w:type="dxa"/>
            <w:vAlign w:val="center"/>
          </w:tcPr>
          <w:p w14:paraId="3EA021EB">
            <w:pPr>
              <w:spacing w:line="360" w:lineRule="auto"/>
              <w:jc w:val="center"/>
              <w:rPr>
                <w:rFonts w:ascii="宋体" w:hAnsi="宋体" w:cs="宋体"/>
                <w:sz w:val="24"/>
                <w:szCs w:val="24"/>
                <w:highlight w:val="none"/>
              </w:rPr>
            </w:pPr>
            <w:r>
              <w:rPr>
                <w:rFonts w:hint="eastAsia" w:ascii="宋体" w:hAnsi="宋体" w:cs="宋体"/>
                <w:sz w:val="24"/>
                <w:szCs w:val="24"/>
                <w:lang w:val="en-US" w:eastAsia="zh-CN" w:bidi="ar"/>
              </w:rPr>
              <w:t>1</w:t>
            </w:r>
          </w:p>
        </w:tc>
        <w:tc>
          <w:tcPr>
            <w:tcW w:w="1535" w:type="dxa"/>
            <w:vAlign w:val="center"/>
          </w:tcPr>
          <w:p w14:paraId="6D3D2EAB">
            <w:pPr>
              <w:widowControl/>
              <w:spacing w:line="276" w:lineRule="auto"/>
              <w:jc w:val="center"/>
              <w:rPr>
                <w:rFonts w:ascii="宋体" w:hAnsi="宋体" w:cs="宋体"/>
                <w:bCs/>
                <w:sz w:val="24"/>
                <w:szCs w:val="24"/>
                <w:highlight w:val="none"/>
              </w:rPr>
            </w:pPr>
            <w:r>
              <w:rPr>
                <w:rFonts w:hint="eastAsia" w:ascii="宋体" w:hAnsi="宋体" w:cs="宋体"/>
                <w:bCs/>
                <w:kern w:val="0"/>
                <w:sz w:val="24"/>
                <w:szCs w:val="24"/>
                <w:lang w:val="en-US" w:eastAsia="zh-CN"/>
              </w:rPr>
              <w:t>企业实力</w:t>
            </w:r>
          </w:p>
        </w:tc>
        <w:tc>
          <w:tcPr>
            <w:tcW w:w="890" w:type="dxa"/>
            <w:vAlign w:val="center"/>
          </w:tcPr>
          <w:p w14:paraId="5659CE28">
            <w:pPr>
              <w:snapToGrid w:val="0"/>
              <w:spacing w:line="360" w:lineRule="auto"/>
              <w:jc w:val="center"/>
              <w:rPr>
                <w:rFonts w:ascii="宋体" w:hAnsi="宋体" w:cs="宋体"/>
                <w:color w:val="000000"/>
                <w:sz w:val="24"/>
                <w:szCs w:val="24"/>
                <w:highlight w:val="none"/>
              </w:rPr>
            </w:pPr>
            <w:r>
              <w:rPr>
                <w:rFonts w:hint="eastAsia" w:ascii="宋体" w:hAnsi="宋体" w:cs="宋体"/>
                <w:color w:val="000000"/>
                <w:sz w:val="24"/>
                <w:szCs w:val="24"/>
                <w:lang w:val="en-US" w:eastAsia="zh-CN"/>
              </w:rPr>
              <w:t>5分</w:t>
            </w:r>
          </w:p>
        </w:tc>
        <w:tc>
          <w:tcPr>
            <w:tcW w:w="5494" w:type="dxa"/>
            <w:vAlign w:val="center"/>
          </w:tcPr>
          <w:p w14:paraId="0705D9E7">
            <w:pPr>
              <w:spacing w:line="240" w:lineRule="auto"/>
              <w:rPr>
                <w:rFonts w:hint="default" w:cs="宋体"/>
                <w:b w:val="0"/>
                <w:bCs w:val="0"/>
                <w:kern w:val="0"/>
                <w:sz w:val="24"/>
                <w:szCs w:val="24"/>
                <w:lang w:val="en-US" w:eastAsia="zh-CN"/>
              </w:rPr>
            </w:pPr>
            <w:r>
              <w:rPr>
                <w:rFonts w:hint="eastAsia" w:cs="宋体"/>
                <w:b w:val="0"/>
                <w:bCs w:val="0"/>
                <w:kern w:val="0"/>
                <w:sz w:val="24"/>
                <w:szCs w:val="24"/>
                <w:lang w:val="en-US" w:eastAsia="zh-CN"/>
              </w:rPr>
              <w:t>1、供应商具备有效期内的质量、环境、职业健康管理体系认证证书的，每有一个得1分，最高得3分；</w:t>
            </w:r>
          </w:p>
          <w:p w14:paraId="7465BEAB">
            <w:pPr>
              <w:spacing w:line="240" w:lineRule="auto"/>
              <w:rPr>
                <w:rFonts w:hint="eastAsia" w:cs="宋体"/>
                <w:b w:val="0"/>
                <w:bCs w:val="0"/>
                <w:kern w:val="0"/>
                <w:sz w:val="24"/>
                <w:szCs w:val="24"/>
                <w:lang w:val="en-US" w:eastAsia="zh-CN"/>
              </w:rPr>
            </w:pPr>
            <w:r>
              <w:rPr>
                <w:rFonts w:hint="eastAsia" w:cs="宋体"/>
                <w:b w:val="0"/>
                <w:bCs w:val="0"/>
                <w:kern w:val="0"/>
                <w:sz w:val="24"/>
                <w:szCs w:val="24"/>
                <w:lang w:val="en-US" w:eastAsia="zh-CN"/>
              </w:rPr>
              <w:t>2、供应商具备有效期内的能源管理体系认证证书的得2分。</w:t>
            </w:r>
          </w:p>
          <w:p w14:paraId="49DC6739">
            <w:pPr>
              <w:spacing w:line="240" w:lineRule="auto"/>
              <w:rPr>
                <w:rFonts w:hint="default" w:cs="宋体"/>
                <w:b w:val="0"/>
                <w:bCs w:val="0"/>
                <w:kern w:val="0"/>
                <w:sz w:val="24"/>
                <w:szCs w:val="24"/>
                <w:lang w:val="en-US" w:eastAsia="zh-CN"/>
              </w:rPr>
            </w:pPr>
            <w:r>
              <w:rPr>
                <w:rFonts w:hint="eastAsia" w:cs="宋体"/>
                <w:b/>
                <w:bCs/>
                <w:kern w:val="0"/>
                <w:sz w:val="24"/>
                <w:szCs w:val="24"/>
                <w:lang w:val="en-US" w:eastAsia="zh-CN"/>
              </w:rPr>
              <w:t>【提供证书复印件加盖供应商公章放入投标文件中，未提供不得分。】</w:t>
            </w:r>
          </w:p>
        </w:tc>
      </w:tr>
      <w:tr w14:paraId="517E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0" w:type="pct"/>
            <w:vMerge w:val="continue"/>
            <w:vAlign w:val="center"/>
          </w:tcPr>
          <w:p w14:paraId="29C57E9A">
            <w:pPr>
              <w:widowControl/>
              <w:jc w:val="left"/>
              <w:textAlignment w:val="baseline"/>
              <w:rPr>
                <w:rFonts w:ascii="宋体" w:hAnsi="宋体" w:cs="宋体"/>
                <w:sz w:val="24"/>
                <w:szCs w:val="24"/>
                <w:highlight w:val="none"/>
              </w:rPr>
            </w:pPr>
          </w:p>
        </w:tc>
        <w:tc>
          <w:tcPr>
            <w:tcW w:w="794" w:type="dxa"/>
            <w:vAlign w:val="center"/>
          </w:tcPr>
          <w:p w14:paraId="08525176">
            <w:pPr>
              <w:spacing w:line="360" w:lineRule="auto"/>
              <w:jc w:val="center"/>
              <w:rPr>
                <w:rFonts w:ascii="宋体" w:hAnsi="宋体" w:cs="宋体"/>
                <w:sz w:val="24"/>
                <w:szCs w:val="24"/>
                <w:highlight w:val="none"/>
              </w:rPr>
            </w:pPr>
            <w:r>
              <w:rPr>
                <w:rFonts w:hint="eastAsia" w:ascii="宋体" w:hAnsi="宋体" w:cs="宋体"/>
                <w:color w:val="000000"/>
                <w:sz w:val="24"/>
                <w:szCs w:val="24"/>
                <w:lang w:val="en-US" w:eastAsia="zh-CN"/>
              </w:rPr>
              <w:t>2</w:t>
            </w:r>
          </w:p>
        </w:tc>
        <w:tc>
          <w:tcPr>
            <w:tcW w:w="1535" w:type="dxa"/>
            <w:vAlign w:val="center"/>
          </w:tcPr>
          <w:p w14:paraId="75933093">
            <w:pPr>
              <w:widowControl/>
              <w:spacing w:line="276" w:lineRule="auto"/>
              <w:jc w:val="center"/>
              <w:rPr>
                <w:rFonts w:ascii="宋体" w:hAnsi="宋体" w:cs="宋体"/>
                <w:sz w:val="24"/>
                <w:szCs w:val="24"/>
                <w:highlight w:val="none"/>
              </w:rPr>
            </w:pPr>
            <w:r>
              <w:rPr>
                <w:rFonts w:hint="eastAsia" w:ascii="宋体" w:hAnsi="宋体" w:cs="宋体"/>
                <w:bCs/>
                <w:kern w:val="0"/>
                <w:sz w:val="24"/>
                <w:szCs w:val="24"/>
              </w:rPr>
              <w:t>人员配备</w:t>
            </w:r>
          </w:p>
        </w:tc>
        <w:tc>
          <w:tcPr>
            <w:tcW w:w="890" w:type="dxa"/>
            <w:vAlign w:val="center"/>
          </w:tcPr>
          <w:p w14:paraId="636B75CF">
            <w:pPr>
              <w:snapToGrid w:val="0"/>
              <w:spacing w:line="360" w:lineRule="auto"/>
              <w:jc w:val="center"/>
              <w:rPr>
                <w:rFonts w:ascii="宋体" w:hAnsi="宋体" w:cs="宋体"/>
                <w:color w:val="000000"/>
                <w:sz w:val="24"/>
                <w:szCs w:val="24"/>
                <w:highlight w:val="none"/>
              </w:rPr>
            </w:pP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5494" w:type="dxa"/>
            <w:vAlign w:val="center"/>
          </w:tcPr>
          <w:p w14:paraId="0F04E758">
            <w:pPr>
              <w:numPr>
                <w:ilvl w:val="0"/>
                <w:numId w:val="13"/>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项目负责人（1人）：</w:t>
            </w:r>
          </w:p>
          <w:p w14:paraId="4430F9D8">
            <w:pPr>
              <w:numPr>
                <w:ilvl w:val="0"/>
                <w:numId w:val="0"/>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具备安全、环保、建设工程类专业中级工程师及以上职称证书，得1分；同时具备能源管理师资格证书的得1分，最高得2分。</w:t>
            </w:r>
          </w:p>
          <w:p w14:paraId="753954C6">
            <w:pPr>
              <w:numPr>
                <w:ilvl w:val="0"/>
                <w:numId w:val="13"/>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项目组成员（项目负责人除外）：</w:t>
            </w:r>
          </w:p>
          <w:p w14:paraId="3C9435C6">
            <w:pPr>
              <w:numPr>
                <w:ilvl w:val="0"/>
                <w:numId w:val="0"/>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具备安全、环保、建设工程类专业中级工程师及以上职称证书，有1人得1分，最高得2分。</w:t>
            </w:r>
          </w:p>
          <w:p w14:paraId="535BCC1B">
            <w:pPr>
              <w:numPr>
                <w:ilvl w:val="0"/>
                <w:numId w:val="0"/>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注：1人只计取1次得分。</w:t>
            </w:r>
          </w:p>
          <w:p w14:paraId="59AA38A8">
            <w:pPr>
              <w:spacing w:line="240" w:lineRule="auto"/>
              <w:rPr>
                <w:rFonts w:ascii="宋体" w:hAnsi="宋体" w:cs="宋体"/>
                <w:b/>
                <w:bCs/>
                <w:color w:val="FF0000"/>
                <w:kern w:val="0"/>
                <w:sz w:val="24"/>
                <w:szCs w:val="24"/>
                <w:highlight w:val="none"/>
                <w:lang w:bidi="ar"/>
              </w:rPr>
            </w:pPr>
            <w:r>
              <w:rPr>
                <w:rFonts w:hint="eastAsia" w:ascii="宋体" w:hAnsi="宋体" w:cs="宋体"/>
                <w:b/>
                <w:bCs/>
                <w:color w:val="auto"/>
                <w:kern w:val="0"/>
                <w:sz w:val="24"/>
                <w:szCs w:val="24"/>
                <w:lang w:bidi="ar"/>
              </w:rPr>
              <w:t>【提供证书复印件及供应商为其缴纳的近</w:t>
            </w:r>
            <w:r>
              <w:rPr>
                <w:rFonts w:hint="eastAsia" w:ascii="宋体" w:hAnsi="宋体" w:cs="宋体"/>
                <w:b/>
                <w:bCs/>
                <w:color w:val="auto"/>
                <w:kern w:val="0"/>
                <w:sz w:val="24"/>
                <w:szCs w:val="24"/>
                <w:lang w:val="en-US" w:eastAsia="zh-CN" w:bidi="ar"/>
              </w:rPr>
              <w:t>六</w:t>
            </w:r>
            <w:r>
              <w:rPr>
                <w:rFonts w:hint="eastAsia" w:ascii="宋体" w:hAnsi="宋体" w:cs="宋体"/>
                <w:b/>
                <w:bCs/>
                <w:color w:val="auto"/>
                <w:kern w:val="0"/>
                <w:sz w:val="24"/>
                <w:szCs w:val="24"/>
                <w:lang w:bidi="ar"/>
              </w:rPr>
              <w:t>个月（不含投标当月）中的任意</w:t>
            </w:r>
            <w:r>
              <w:rPr>
                <w:rFonts w:hint="eastAsia" w:ascii="宋体" w:hAnsi="宋体" w:cs="宋体"/>
                <w:b/>
                <w:bCs/>
                <w:color w:val="auto"/>
                <w:kern w:val="0"/>
                <w:sz w:val="24"/>
                <w:szCs w:val="24"/>
                <w:lang w:val="en-US" w:eastAsia="zh-CN" w:bidi="ar"/>
              </w:rPr>
              <w:t>连续三</w:t>
            </w:r>
            <w:r>
              <w:rPr>
                <w:rFonts w:hint="eastAsia" w:ascii="宋体" w:hAnsi="宋体" w:cs="宋体"/>
                <w:b/>
                <w:bCs/>
                <w:color w:val="auto"/>
                <w:kern w:val="0"/>
                <w:sz w:val="24"/>
                <w:szCs w:val="24"/>
                <w:lang w:bidi="ar"/>
              </w:rPr>
              <w:t>个月的社保缴费证明并加盖供应商公章放入投标文件中，未提供不得分。</w:t>
            </w:r>
            <w:r>
              <w:rPr>
                <w:rFonts w:hint="eastAsia" w:ascii="宋体" w:hAnsi="宋体" w:cs="宋体"/>
                <w:b/>
                <w:bCs/>
                <w:color w:val="auto"/>
                <w:kern w:val="0"/>
                <w:sz w:val="24"/>
                <w:szCs w:val="24"/>
                <w:lang w:eastAsia="zh-CN" w:bidi="ar"/>
              </w:rPr>
              <w:t>（</w:t>
            </w:r>
            <w:r>
              <w:rPr>
                <w:rFonts w:hint="eastAsia" w:ascii="宋体" w:hAnsi="宋体" w:cs="宋体"/>
                <w:b/>
                <w:bCs/>
                <w:color w:val="auto"/>
                <w:kern w:val="0"/>
                <w:sz w:val="24"/>
                <w:szCs w:val="24"/>
                <w:lang w:val="en-US" w:eastAsia="zh-CN" w:bidi="ar"/>
              </w:rPr>
              <w:t>若证书有有效期的，均须在有效期内</w:t>
            </w:r>
            <w:r>
              <w:rPr>
                <w:rFonts w:hint="eastAsia" w:ascii="宋体" w:hAnsi="宋体" w:cs="宋体"/>
                <w:b/>
                <w:bCs/>
                <w:color w:val="auto"/>
                <w:kern w:val="0"/>
                <w:sz w:val="24"/>
                <w:szCs w:val="24"/>
                <w:lang w:eastAsia="zh-CN" w:bidi="ar"/>
              </w:rPr>
              <w:t>）</w:t>
            </w:r>
            <w:r>
              <w:rPr>
                <w:rFonts w:hint="eastAsia" w:ascii="宋体" w:hAnsi="宋体" w:cs="宋体"/>
                <w:b/>
                <w:bCs/>
                <w:color w:val="auto"/>
                <w:kern w:val="0"/>
                <w:sz w:val="24"/>
                <w:szCs w:val="24"/>
                <w:lang w:bidi="ar"/>
              </w:rPr>
              <w:t>】</w:t>
            </w:r>
          </w:p>
        </w:tc>
      </w:tr>
      <w:tr w14:paraId="5244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50" w:type="pct"/>
            <w:vMerge w:val="continue"/>
            <w:vAlign w:val="center"/>
          </w:tcPr>
          <w:p w14:paraId="0F1E7A58">
            <w:pPr>
              <w:widowControl/>
              <w:jc w:val="left"/>
              <w:textAlignment w:val="baseline"/>
              <w:rPr>
                <w:rFonts w:ascii="宋体" w:hAnsi="宋体" w:cs="宋体"/>
                <w:sz w:val="24"/>
                <w:szCs w:val="24"/>
                <w:highlight w:val="none"/>
              </w:rPr>
            </w:pPr>
          </w:p>
        </w:tc>
        <w:tc>
          <w:tcPr>
            <w:tcW w:w="794" w:type="dxa"/>
            <w:vAlign w:val="center"/>
          </w:tcPr>
          <w:p w14:paraId="0DAAE766">
            <w:pPr>
              <w:spacing w:line="360" w:lineRule="auto"/>
              <w:jc w:val="center"/>
              <w:rPr>
                <w:rFonts w:ascii="宋体" w:hAnsi="宋体" w:cs="宋体"/>
                <w:sz w:val="24"/>
                <w:szCs w:val="24"/>
                <w:highlight w:val="none"/>
              </w:rPr>
            </w:pPr>
            <w:r>
              <w:rPr>
                <w:rFonts w:hint="eastAsia" w:ascii="宋体" w:hAnsi="宋体" w:cs="宋体"/>
                <w:color w:val="000000"/>
                <w:sz w:val="24"/>
                <w:szCs w:val="24"/>
                <w:lang w:val="en-US" w:eastAsia="zh-CN"/>
              </w:rPr>
              <w:t>3</w:t>
            </w:r>
          </w:p>
        </w:tc>
        <w:tc>
          <w:tcPr>
            <w:tcW w:w="1535" w:type="dxa"/>
            <w:vAlign w:val="center"/>
          </w:tcPr>
          <w:p w14:paraId="6D8E72CB">
            <w:pPr>
              <w:spacing w:line="276" w:lineRule="auto"/>
              <w:jc w:val="center"/>
              <w:rPr>
                <w:rFonts w:ascii="宋体" w:hAnsi="宋体" w:cs="宋体"/>
                <w:sz w:val="24"/>
                <w:szCs w:val="24"/>
                <w:highlight w:val="none"/>
              </w:rPr>
            </w:pPr>
            <w:r>
              <w:rPr>
                <w:rFonts w:hint="eastAsia" w:ascii="宋体" w:hAnsi="宋体" w:cs="宋体"/>
                <w:bCs/>
                <w:kern w:val="0"/>
                <w:sz w:val="24"/>
                <w:szCs w:val="24"/>
                <w:lang w:val="en-US" w:eastAsia="zh-CN"/>
              </w:rPr>
              <w:t>类似</w:t>
            </w:r>
            <w:r>
              <w:rPr>
                <w:rFonts w:hint="eastAsia" w:ascii="宋体" w:hAnsi="宋体" w:cs="宋体"/>
                <w:bCs/>
                <w:kern w:val="0"/>
                <w:sz w:val="24"/>
                <w:szCs w:val="24"/>
              </w:rPr>
              <w:t>业绩</w:t>
            </w:r>
          </w:p>
        </w:tc>
        <w:tc>
          <w:tcPr>
            <w:tcW w:w="890" w:type="dxa"/>
            <w:vAlign w:val="center"/>
          </w:tcPr>
          <w:p w14:paraId="2342185A">
            <w:pPr>
              <w:widowControl/>
              <w:spacing w:line="276" w:lineRule="auto"/>
              <w:jc w:val="center"/>
              <w:rPr>
                <w:rFonts w:ascii="宋体" w:hAnsi="宋体" w:cs="宋体"/>
                <w:color w:val="000000"/>
                <w:sz w:val="24"/>
                <w:szCs w:val="24"/>
                <w:highlight w:val="none"/>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5494" w:type="dxa"/>
            <w:vAlign w:val="center"/>
          </w:tcPr>
          <w:p w14:paraId="01965317">
            <w:pPr>
              <w:spacing w:line="276" w:lineRule="auto"/>
              <w:rPr>
                <w:rFonts w:hint="eastAsia" w:ascii="宋体" w:hAnsi="宋体" w:cs="宋体"/>
                <w:sz w:val="24"/>
                <w:szCs w:val="24"/>
              </w:rPr>
            </w:pPr>
            <w:r>
              <w:rPr>
                <w:rFonts w:hint="eastAsia" w:ascii="宋体" w:hAnsi="宋体" w:cs="宋体"/>
                <w:kern w:val="1"/>
                <w:sz w:val="24"/>
                <w:szCs w:val="24"/>
                <w:lang w:val="en-US" w:eastAsia="zh-CN"/>
              </w:rPr>
              <w:t>供应商</w:t>
            </w:r>
            <w:r>
              <w:rPr>
                <w:rFonts w:hint="eastAsia" w:ascii="宋体" w:hAnsi="宋体" w:cs="宋体"/>
                <w:kern w:val="1"/>
                <w:sz w:val="24"/>
                <w:szCs w:val="24"/>
              </w:rPr>
              <w:t>自202</w:t>
            </w:r>
            <w:r>
              <w:rPr>
                <w:rFonts w:hint="eastAsia" w:ascii="宋体" w:hAnsi="宋体" w:cs="宋体"/>
                <w:kern w:val="1"/>
                <w:sz w:val="24"/>
                <w:szCs w:val="24"/>
                <w:lang w:val="en-US" w:eastAsia="zh-CN"/>
              </w:rPr>
              <w:t>2</w:t>
            </w:r>
            <w:r>
              <w:rPr>
                <w:rFonts w:hint="eastAsia" w:ascii="宋体" w:hAnsi="宋体" w:cs="宋体"/>
                <w:kern w:val="1"/>
                <w:sz w:val="24"/>
                <w:szCs w:val="24"/>
              </w:rPr>
              <w:t>年</w:t>
            </w:r>
            <w:r>
              <w:rPr>
                <w:rFonts w:hint="eastAsia" w:ascii="宋体" w:hAnsi="宋体" w:cs="宋体"/>
                <w:kern w:val="1"/>
                <w:sz w:val="24"/>
                <w:szCs w:val="24"/>
                <w:lang w:val="en-US" w:eastAsia="zh-CN"/>
              </w:rPr>
              <w:t>12</w:t>
            </w:r>
            <w:r>
              <w:rPr>
                <w:rFonts w:hint="eastAsia" w:ascii="宋体" w:hAnsi="宋体" w:cs="宋体"/>
                <w:kern w:val="1"/>
                <w:sz w:val="24"/>
                <w:szCs w:val="24"/>
              </w:rPr>
              <w:t>月</w:t>
            </w:r>
            <w:r>
              <w:rPr>
                <w:rFonts w:hint="eastAsia" w:ascii="宋体" w:hAnsi="宋体" w:cs="宋体"/>
                <w:kern w:val="1"/>
                <w:sz w:val="24"/>
                <w:szCs w:val="24"/>
                <w:lang w:val="en-US" w:eastAsia="zh-CN"/>
              </w:rPr>
              <w:t>以来（以合同签订时间为准）</w:t>
            </w:r>
            <w:r>
              <w:rPr>
                <w:rFonts w:hint="eastAsia" w:ascii="宋体" w:hAnsi="宋体" w:cs="宋体"/>
                <w:sz w:val="24"/>
                <w:szCs w:val="24"/>
              </w:rPr>
              <w:t>承担过</w:t>
            </w:r>
            <w:r>
              <w:rPr>
                <w:rFonts w:hint="eastAsia" w:ascii="宋体" w:hAnsi="宋体" w:cs="宋体"/>
                <w:sz w:val="24"/>
                <w:szCs w:val="24"/>
                <w:lang w:val="en-US" w:eastAsia="zh-CN"/>
              </w:rPr>
              <w:t>节能评估</w:t>
            </w:r>
            <w:r>
              <w:rPr>
                <w:rFonts w:hint="eastAsia" w:ascii="宋体" w:hAnsi="宋体" w:cs="宋体"/>
                <w:sz w:val="24"/>
                <w:szCs w:val="24"/>
              </w:rPr>
              <w:t>类</w:t>
            </w:r>
            <w:r>
              <w:rPr>
                <w:rFonts w:hint="eastAsia" w:ascii="宋体" w:hAnsi="宋体" w:cs="宋体"/>
                <w:snapToGrid w:val="0"/>
                <w:sz w:val="24"/>
                <w:szCs w:val="24"/>
              </w:rPr>
              <w:t>业绩的，</w:t>
            </w:r>
            <w:r>
              <w:rPr>
                <w:rFonts w:hint="eastAsia" w:ascii="宋体" w:hAnsi="宋体" w:cs="宋体"/>
                <w:sz w:val="24"/>
                <w:szCs w:val="24"/>
              </w:rPr>
              <w:t>有一个得</w:t>
            </w:r>
            <w:r>
              <w:rPr>
                <w:rFonts w:hint="eastAsia" w:ascii="宋体" w:hAnsi="宋体" w:cs="宋体"/>
                <w:sz w:val="24"/>
                <w:szCs w:val="24"/>
                <w:lang w:val="en-US" w:eastAsia="zh-CN"/>
              </w:rPr>
              <w:t>3</w:t>
            </w:r>
            <w:r>
              <w:rPr>
                <w:rFonts w:hint="eastAsia" w:ascii="宋体" w:hAnsi="宋体" w:cs="宋体"/>
                <w:sz w:val="24"/>
                <w:szCs w:val="24"/>
              </w:rPr>
              <w:t>分，本项最高得</w:t>
            </w:r>
            <w:r>
              <w:rPr>
                <w:rFonts w:hint="eastAsia" w:ascii="宋体" w:hAnsi="宋体" w:cs="宋体"/>
                <w:sz w:val="24"/>
                <w:szCs w:val="24"/>
                <w:lang w:val="en-US" w:eastAsia="zh-CN"/>
              </w:rPr>
              <w:t>6</w:t>
            </w:r>
            <w:r>
              <w:rPr>
                <w:rFonts w:hint="eastAsia" w:ascii="宋体" w:hAnsi="宋体" w:cs="宋体"/>
                <w:sz w:val="24"/>
                <w:szCs w:val="24"/>
              </w:rPr>
              <w:t>分。</w:t>
            </w:r>
          </w:p>
          <w:p w14:paraId="08E2C427">
            <w:pPr>
              <w:spacing w:line="276" w:lineRule="auto"/>
              <w:rPr>
                <w:rFonts w:hint="eastAsia" w:ascii="宋体" w:hAnsi="宋体" w:eastAsia="宋体" w:cs="宋体"/>
                <w:b/>
                <w:bCs/>
                <w:color w:val="FF0000"/>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【提供合同复印件及能源评估批复文件加盖供应商公章放入投标文件中，未提供不得分。】</w:t>
            </w:r>
          </w:p>
        </w:tc>
      </w:tr>
      <w:bookmarkEnd w:id="75"/>
      <w:bookmarkEnd w:id="76"/>
    </w:tbl>
    <w:p w14:paraId="2E2E8DA7">
      <w:pPr>
        <w:pStyle w:val="14"/>
        <w:rPr>
          <w:highlight w:val="none"/>
        </w:rPr>
      </w:pPr>
    </w:p>
    <w:p w14:paraId="02D29751">
      <w:pPr>
        <w:spacing w:line="360" w:lineRule="auto"/>
        <w:rPr>
          <w:rFonts w:ascii="宋体" w:hAnsi="宋体"/>
          <w:sz w:val="24"/>
          <w:szCs w:val="24"/>
          <w:highlight w:val="none"/>
        </w:rPr>
      </w:pPr>
      <w:r>
        <w:rPr>
          <w:rFonts w:hint="eastAsia" w:ascii="宋体" w:hAnsi="宋体"/>
          <w:sz w:val="24"/>
          <w:szCs w:val="24"/>
          <w:highlight w:val="none"/>
        </w:rPr>
        <w:t>2、价格部分</w:t>
      </w:r>
    </w:p>
    <w:tbl>
      <w:tblPr>
        <w:tblStyle w:val="35"/>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19"/>
        <w:gridCol w:w="850"/>
        <w:gridCol w:w="7396"/>
      </w:tblGrid>
      <w:tr w14:paraId="4C3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16" w:type="pct"/>
            <w:vAlign w:val="center"/>
          </w:tcPr>
          <w:p w14:paraId="1E971161">
            <w:pPr>
              <w:jc w:val="center"/>
              <w:rPr>
                <w:rFonts w:ascii="宋体" w:hAnsi="宋体"/>
                <w:sz w:val="24"/>
                <w:szCs w:val="24"/>
                <w:highlight w:val="none"/>
              </w:rPr>
            </w:pPr>
            <w:r>
              <w:rPr>
                <w:rFonts w:hint="eastAsia" w:ascii="宋体" w:hAnsi="宋体"/>
                <w:sz w:val="24"/>
                <w:szCs w:val="24"/>
                <w:highlight w:val="none"/>
              </w:rPr>
              <w:t>序号</w:t>
            </w:r>
          </w:p>
        </w:tc>
        <w:tc>
          <w:tcPr>
            <w:tcW w:w="673" w:type="pct"/>
            <w:vAlign w:val="center"/>
          </w:tcPr>
          <w:p w14:paraId="03D7C937">
            <w:pPr>
              <w:jc w:val="center"/>
              <w:rPr>
                <w:rFonts w:ascii="宋体" w:hAnsi="宋体"/>
                <w:sz w:val="24"/>
                <w:szCs w:val="24"/>
                <w:highlight w:val="none"/>
              </w:rPr>
            </w:pPr>
            <w:r>
              <w:rPr>
                <w:rFonts w:hint="eastAsia" w:ascii="宋体" w:hAnsi="宋体"/>
                <w:sz w:val="24"/>
                <w:szCs w:val="24"/>
                <w:highlight w:val="none"/>
              </w:rPr>
              <w:t>评审项目</w:t>
            </w:r>
          </w:p>
        </w:tc>
        <w:tc>
          <w:tcPr>
            <w:tcW w:w="403" w:type="pct"/>
            <w:vAlign w:val="center"/>
          </w:tcPr>
          <w:p w14:paraId="57FCF7AA">
            <w:pPr>
              <w:jc w:val="center"/>
              <w:rPr>
                <w:rFonts w:ascii="宋体" w:hAnsi="宋体"/>
                <w:sz w:val="24"/>
                <w:szCs w:val="24"/>
                <w:highlight w:val="none"/>
              </w:rPr>
            </w:pPr>
            <w:r>
              <w:rPr>
                <w:rFonts w:hint="eastAsia" w:ascii="宋体" w:hAnsi="宋体"/>
                <w:sz w:val="24"/>
                <w:szCs w:val="24"/>
                <w:highlight w:val="none"/>
              </w:rPr>
              <w:t>分值</w:t>
            </w:r>
          </w:p>
        </w:tc>
        <w:tc>
          <w:tcPr>
            <w:tcW w:w="3508" w:type="pct"/>
            <w:vAlign w:val="center"/>
          </w:tcPr>
          <w:p w14:paraId="78CF999C">
            <w:pPr>
              <w:jc w:val="center"/>
              <w:rPr>
                <w:rFonts w:ascii="宋体" w:hAnsi="宋体"/>
                <w:sz w:val="24"/>
                <w:szCs w:val="24"/>
                <w:highlight w:val="none"/>
              </w:rPr>
            </w:pPr>
            <w:r>
              <w:rPr>
                <w:rFonts w:hint="eastAsia" w:ascii="宋体" w:hAnsi="宋体"/>
                <w:sz w:val="24"/>
                <w:szCs w:val="24"/>
                <w:highlight w:val="none"/>
              </w:rPr>
              <w:t>评审细则</w:t>
            </w:r>
          </w:p>
        </w:tc>
      </w:tr>
      <w:tr w14:paraId="0AA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16" w:type="pct"/>
            <w:vAlign w:val="center"/>
          </w:tcPr>
          <w:p w14:paraId="7C944526">
            <w:pPr>
              <w:jc w:val="center"/>
              <w:rPr>
                <w:rFonts w:ascii="宋体" w:hAnsi="宋体"/>
                <w:sz w:val="24"/>
                <w:szCs w:val="24"/>
                <w:highlight w:val="none"/>
              </w:rPr>
            </w:pPr>
            <w:r>
              <w:rPr>
                <w:rFonts w:hint="eastAsia" w:ascii="宋体" w:hAnsi="宋体"/>
                <w:sz w:val="24"/>
                <w:szCs w:val="24"/>
                <w:highlight w:val="none"/>
              </w:rPr>
              <w:t>1</w:t>
            </w:r>
          </w:p>
        </w:tc>
        <w:tc>
          <w:tcPr>
            <w:tcW w:w="673" w:type="pct"/>
            <w:vAlign w:val="center"/>
          </w:tcPr>
          <w:p w14:paraId="6E856B75">
            <w:pPr>
              <w:jc w:val="center"/>
              <w:rPr>
                <w:rFonts w:ascii="宋体" w:hAnsi="宋体"/>
                <w:sz w:val="24"/>
                <w:szCs w:val="24"/>
                <w:highlight w:val="none"/>
              </w:rPr>
            </w:pPr>
            <w:r>
              <w:rPr>
                <w:rFonts w:hint="eastAsia" w:ascii="宋体" w:hAnsi="宋体"/>
                <w:sz w:val="24"/>
                <w:szCs w:val="24"/>
                <w:highlight w:val="none"/>
              </w:rPr>
              <w:t>价格部分</w:t>
            </w:r>
          </w:p>
        </w:tc>
        <w:tc>
          <w:tcPr>
            <w:tcW w:w="403" w:type="pct"/>
            <w:vAlign w:val="center"/>
          </w:tcPr>
          <w:p w14:paraId="6E311237">
            <w:pPr>
              <w:jc w:val="center"/>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3508" w:type="pct"/>
            <w:vAlign w:val="center"/>
          </w:tcPr>
          <w:p w14:paraId="230B1268">
            <w:pPr>
              <w:spacing w:line="276" w:lineRule="auto"/>
              <w:rPr>
                <w:rFonts w:ascii="宋体" w:hAnsi="宋体" w:cs="宋体"/>
                <w:sz w:val="24"/>
                <w:szCs w:val="24"/>
                <w:highlight w:val="none"/>
              </w:rPr>
            </w:pPr>
            <w:r>
              <w:rPr>
                <w:rFonts w:ascii="宋体" w:hAnsi="宋体" w:cs="宋体"/>
                <w:sz w:val="24"/>
                <w:szCs w:val="24"/>
                <w:highlight w:val="none"/>
              </w:rPr>
              <w:t>采用低价优先法计算，即满足招标文件要求且投标价格最低的报价为评标基准价，其价格分为满分。其他报价人的价格分统一按照下列公式计算：投标报价得分=（评标基准价/投标报价）×</w:t>
            </w:r>
            <w:r>
              <w:rPr>
                <w:rFonts w:hint="eastAsia" w:ascii="宋体" w:hAnsi="宋体" w:cs="宋体"/>
                <w:sz w:val="24"/>
                <w:szCs w:val="24"/>
                <w:highlight w:val="none"/>
                <w:lang w:val="en-US" w:eastAsia="zh-CN"/>
              </w:rPr>
              <w:t>15</w:t>
            </w:r>
            <w:r>
              <w:rPr>
                <w:rFonts w:ascii="宋体" w:hAnsi="宋体" w:cs="宋体"/>
                <w:sz w:val="24"/>
                <w:szCs w:val="24"/>
                <w:highlight w:val="none"/>
              </w:rPr>
              <w:t>分。（以四舍五入法，保留两位小数）</w:t>
            </w:r>
          </w:p>
        </w:tc>
      </w:tr>
    </w:tbl>
    <w:p w14:paraId="60F653B8">
      <w:pPr>
        <w:spacing w:line="360" w:lineRule="auto"/>
        <w:jc w:val="left"/>
        <w:rPr>
          <w:rFonts w:ascii="宋体" w:hAnsi="宋体"/>
          <w:b/>
          <w:bCs/>
          <w:sz w:val="24"/>
          <w:szCs w:val="24"/>
          <w:highlight w:val="none"/>
        </w:rPr>
      </w:pPr>
      <w:r>
        <w:rPr>
          <w:rFonts w:hint="eastAsia" w:ascii="宋体" w:hAnsi="宋体"/>
          <w:b/>
          <w:bCs/>
          <w:sz w:val="24"/>
          <w:szCs w:val="24"/>
          <w:highlight w:val="none"/>
        </w:rPr>
        <w:t>备注：</w:t>
      </w:r>
    </w:p>
    <w:p w14:paraId="35EDB607">
      <w:pPr>
        <w:spacing w:line="360" w:lineRule="auto"/>
        <w:rPr>
          <w:rFonts w:ascii="宋体" w:hAnsi="宋体"/>
          <w:bCs/>
          <w:sz w:val="24"/>
          <w:szCs w:val="24"/>
          <w:highlight w:val="none"/>
        </w:rPr>
      </w:pPr>
      <w:r>
        <w:rPr>
          <w:rFonts w:hint="eastAsia" w:ascii="宋体" w:hAnsi="宋体"/>
          <w:bCs/>
          <w:sz w:val="24"/>
          <w:szCs w:val="24"/>
          <w:highlight w:val="none"/>
        </w:rPr>
        <w:t>1、评分过程中如出现小数点后三位，采用四舍五入法，最终保留两位小数；</w:t>
      </w:r>
    </w:p>
    <w:p w14:paraId="0291EB4D">
      <w:pPr>
        <w:spacing w:line="360" w:lineRule="auto"/>
        <w:rPr>
          <w:rFonts w:ascii="宋体" w:hAnsi="宋体"/>
          <w:bCs/>
          <w:sz w:val="24"/>
          <w:szCs w:val="24"/>
          <w:highlight w:val="none"/>
        </w:rPr>
      </w:pPr>
      <w:r>
        <w:rPr>
          <w:rFonts w:hint="eastAsia" w:ascii="宋体" w:hAnsi="宋体"/>
          <w:bCs/>
          <w:sz w:val="24"/>
          <w:szCs w:val="24"/>
          <w:highlight w:val="none"/>
        </w:rPr>
        <w:t>2、投标文件中必须提供以上相关证明材料复印件，若要求提供原件的，原件于报价时一并提交，否则不予加分。</w:t>
      </w:r>
    </w:p>
    <w:p w14:paraId="3EE84453">
      <w:pPr>
        <w:spacing w:line="360" w:lineRule="auto"/>
        <w:rPr>
          <w:rFonts w:ascii="宋体" w:hAnsi="宋体"/>
          <w:bCs/>
          <w:sz w:val="24"/>
          <w:szCs w:val="24"/>
          <w:highlight w:val="none"/>
        </w:rPr>
      </w:pPr>
      <w:r>
        <w:rPr>
          <w:rFonts w:hint="eastAsia" w:ascii="宋体" w:hAnsi="宋体"/>
          <w:bCs/>
          <w:sz w:val="24"/>
          <w:szCs w:val="24"/>
          <w:highlight w:val="none"/>
        </w:rPr>
        <w:t>3、所有提供的证明材料必须保证清晰，内容模糊无法确认的后果由供应商自负。</w:t>
      </w:r>
    </w:p>
    <w:p w14:paraId="3FFA32FC">
      <w:pPr>
        <w:spacing w:line="360" w:lineRule="auto"/>
        <w:rPr>
          <w:rFonts w:hint="eastAsia" w:ascii="宋体" w:hAnsi="宋体"/>
          <w:bCs/>
          <w:sz w:val="24"/>
          <w:szCs w:val="24"/>
          <w:highlight w:val="none"/>
        </w:rPr>
      </w:pPr>
      <w:r>
        <w:rPr>
          <w:rFonts w:hint="eastAsia" w:ascii="宋体" w:hAnsi="宋体"/>
          <w:bCs/>
          <w:sz w:val="24"/>
          <w:szCs w:val="24"/>
          <w:highlight w:val="none"/>
        </w:rPr>
        <w:t>4、所有提供的证明材料必须为真实、有效，一旦发现虚假情况等，采购人有权取消中标资格。</w:t>
      </w:r>
    </w:p>
    <w:p w14:paraId="167E73C5">
      <w:pPr>
        <w:spacing w:line="360" w:lineRule="auto"/>
        <w:jc w:val="left"/>
        <w:rPr>
          <w:rFonts w:ascii="宋体" w:hAnsi="宋体"/>
          <w:sz w:val="24"/>
          <w:szCs w:val="24"/>
        </w:rPr>
        <w:sectPr>
          <w:footerReference r:id="rId7" w:type="default"/>
          <w:pgSz w:w="11906" w:h="16838"/>
          <w:pgMar w:top="1134" w:right="1134" w:bottom="1134" w:left="1134" w:header="850" w:footer="850" w:gutter="0"/>
          <w:pgNumType w:fmt="numberInDash" w:start="1"/>
          <w:cols w:space="720" w:num="1"/>
          <w:docGrid w:linePitch="312" w:charSpace="0"/>
        </w:sectPr>
      </w:pPr>
      <w:r>
        <w:rPr>
          <w:rFonts w:hint="eastAsia" w:ascii="宋体" w:hAnsi="宋体"/>
          <w:bCs/>
          <w:sz w:val="24"/>
          <w:szCs w:val="24"/>
          <w:highlight w:val="none"/>
          <w:lang w:val="en-US" w:eastAsia="zh-CN"/>
        </w:rPr>
        <w:t>5、</w:t>
      </w:r>
      <w:r>
        <w:rPr>
          <w:rFonts w:hint="eastAsia" w:ascii="宋体" w:hAnsi="宋体"/>
          <w:sz w:val="24"/>
          <w:szCs w:val="24"/>
        </w:rPr>
        <w:t>若</w:t>
      </w:r>
      <w:r>
        <w:rPr>
          <w:rFonts w:hint="eastAsia" w:ascii="宋体" w:hAnsi="宋体"/>
          <w:sz w:val="24"/>
          <w:szCs w:val="24"/>
          <w:lang w:val="en-US" w:eastAsia="zh-CN"/>
        </w:rPr>
        <w:t>供应商</w:t>
      </w:r>
      <w:r>
        <w:rPr>
          <w:rFonts w:hint="eastAsia" w:ascii="宋体" w:hAnsi="宋体"/>
          <w:sz w:val="24"/>
          <w:szCs w:val="24"/>
        </w:rPr>
        <w:t>提供的证明材料不能体现评审要素的，其有效性由评标委员会决定。</w:t>
      </w:r>
    </w:p>
    <w:p w14:paraId="59B54B37">
      <w:pPr>
        <w:numPr>
          <w:ilvl w:val="0"/>
          <w:numId w:val="14"/>
        </w:numPr>
        <w:ind w:firstLine="480"/>
        <w:jc w:val="center"/>
        <w:outlineLvl w:val="0"/>
        <w:rPr>
          <w:rFonts w:ascii="黑体" w:hAnsi="黑体" w:eastAsia="黑体"/>
          <w:sz w:val="28"/>
          <w:highlight w:val="none"/>
        </w:rPr>
      </w:pPr>
      <w:bookmarkStart w:id="77" w:name="_Toc15552"/>
      <w:r>
        <w:rPr>
          <w:rFonts w:hint="eastAsia" w:ascii="黑体" w:hAnsi="黑体" w:eastAsia="黑体"/>
          <w:sz w:val="28"/>
          <w:highlight w:val="none"/>
        </w:rPr>
        <w:t>项目技术要求和有关说明</w:t>
      </w:r>
      <w:bookmarkEnd w:id="77"/>
    </w:p>
    <w:p w14:paraId="54CD2DB8">
      <w:pPr>
        <w:numPr>
          <w:ilvl w:val="0"/>
          <w:numId w:val="0"/>
        </w:numPr>
        <w:jc w:val="both"/>
        <w:outlineLvl w:val="0"/>
        <w:rPr>
          <w:rFonts w:ascii="黑体" w:hAnsi="黑体" w:eastAsia="黑体"/>
          <w:sz w:val="28"/>
          <w:highlight w:val="none"/>
        </w:rPr>
      </w:pPr>
    </w:p>
    <w:bookmarkEnd w:id="70"/>
    <w:bookmarkEnd w:id="71"/>
    <w:bookmarkEnd w:id="72"/>
    <w:bookmarkEnd w:id="73"/>
    <w:bookmarkEnd w:id="74"/>
    <w:p w14:paraId="02B9ADE3">
      <w:pPr>
        <w:bidi w:val="0"/>
        <w:spacing w:line="360" w:lineRule="auto"/>
        <w:ind w:firstLine="480" w:firstLineChars="200"/>
        <w:rPr>
          <w:rFonts w:hint="eastAsia" w:ascii="宋体" w:hAnsi="宋体" w:eastAsia="宋体" w:cs="宋体"/>
          <w:sz w:val="24"/>
          <w:szCs w:val="24"/>
        </w:rPr>
      </w:pPr>
      <w:bookmarkStart w:id="78" w:name="_Toc109652607"/>
      <w:bookmarkStart w:id="79" w:name="_Toc109650251"/>
      <w:bookmarkStart w:id="80" w:name="_Toc109652655"/>
      <w:r>
        <w:rPr>
          <w:rFonts w:hint="eastAsia" w:ascii="宋体" w:hAnsi="宋体" w:eastAsia="宋体" w:cs="宋体"/>
          <w:sz w:val="24"/>
          <w:szCs w:val="24"/>
        </w:rPr>
        <w:t>本项目为</w:t>
      </w:r>
      <w:r>
        <w:rPr>
          <w:rFonts w:hint="eastAsia" w:ascii="宋体" w:hAnsi="宋体" w:eastAsia="宋体" w:cs="宋体"/>
          <w:sz w:val="24"/>
          <w:szCs w:val="24"/>
          <w:lang w:eastAsia="zh-CN"/>
        </w:rPr>
        <w:t>宜兴市宜蓝环境科技有限公司</w:t>
      </w:r>
      <w:r>
        <w:rPr>
          <w:rFonts w:hint="eastAsia" w:ascii="宋体" w:hAnsi="宋体" w:eastAsia="宋体" w:cs="宋体"/>
          <w:sz w:val="24"/>
          <w:szCs w:val="24"/>
          <w:highlight w:val="none"/>
          <w:lang w:eastAsia="zh-CN"/>
        </w:rPr>
        <w:t>宜兴市喷涂绿岛项目</w:t>
      </w:r>
      <w:r>
        <w:rPr>
          <w:rFonts w:hint="eastAsia" w:ascii="宋体" w:hAnsi="宋体" w:eastAsia="宋体" w:cs="宋体"/>
          <w:sz w:val="24"/>
          <w:szCs w:val="24"/>
          <w:highlight w:val="none"/>
          <w:lang w:val="en-US" w:eastAsia="zh-CN"/>
        </w:rPr>
        <w:t>节能评估服务</w:t>
      </w:r>
      <w:r>
        <w:rPr>
          <w:rFonts w:hint="eastAsia" w:ascii="宋体" w:hAnsi="宋体" w:eastAsia="宋体" w:cs="宋体"/>
          <w:sz w:val="24"/>
          <w:szCs w:val="24"/>
          <w:highlight w:val="none"/>
        </w:rPr>
        <w:t>，</w:t>
      </w:r>
      <w:r>
        <w:rPr>
          <w:rFonts w:hint="eastAsia" w:ascii="宋体" w:hAnsi="宋体" w:eastAsia="宋体" w:cs="宋体"/>
          <w:sz w:val="24"/>
          <w:szCs w:val="24"/>
        </w:rPr>
        <w:t>具体要求如下：</w:t>
      </w:r>
    </w:p>
    <w:p w14:paraId="52E434DC">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一、项目概况</w:t>
      </w:r>
    </w:p>
    <w:p w14:paraId="7F9F25F8">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rPr>
        <w:t>《中华人民共和国能源法》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《中华人民共和国节约能源法》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《中华人民共和国可再生能源法》</w:t>
      </w:r>
      <w:r>
        <w:rPr>
          <w:rFonts w:hint="eastAsia" w:ascii="宋体" w:hAnsi="宋体" w:eastAsia="宋体" w:cs="宋体"/>
          <w:sz w:val="24"/>
          <w:szCs w:val="24"/>
          <w:lang w:eastAsia="zh-CN"/>
        </w:rPr>
        <w:t>、</w:t>
      </w:r>
      <w:r>
        <w:rPr>
          <w:rFonts w:hint="eastAsia" w:ascii="宋体" w:hAnsi="宋体" w:eastAsia="宋体" w:cs="宋体"/>
          <w:sz w:val="24"/>
          <w:szCs w:val="24"/>
        </w:rPr>
        <w:t>《可再生能源中长期发展规划》</w:t>
      </w:r>
      <w:r>
        <w:rPr>
          <w:rFonts w:hint="eastAsia" w:ascii="宋体" w:hAnsi="宋体" w:eastAsia="宋体" w:cs="宋体"/>
          <w:sz w:val="24"/>
          <w:szCs w:val="24"/>
          <w:lang w:eastAsia="zh-CN"/>
        </w:rPr>
        <w:t>、</w:t>
      </w:r>
      <w:r>
        <w:rPr>
          <w:rFonts w:hint="eastAsia" w:ascii="宋体" w:hAnsi="宋体" w:eastAsia="宋体" w:cs="宋体"/>
          <w:sz w:val="24"/>
          <w:szCs w:val="24"/>
        </w:rPr>
        <w:t>《中国节能技术政策大纲》</w:t>
      </w:r>
      <w:r>
        <w:rPr>
          <w:rFonts w:hint="eastAsia" w:ascii="宋体" w:hAnsi="宋体" w:eastAsia="宋体" w:cs="宋体"/>
          <w:sz w:val="24"/>
          <w:szCs w:val="24"/>
          <w:lang w:val="en-US" w:eastAsia="zh-CN"/>
        </w:rPr>
        <w:t>等法律法规及政策依据，对本项目实施节能评估服务。</w:t>
      </w:r>
    </w:p>
    <w:p w14:paraId="1513CFC4">
      <w:pPr>
        <w:pStyle w:val="1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cs="宋体"/>
          <w:b/>
          <w:bCs/>
          <w:kern w:val="2"/>
          <w:sz w:val="24"/>
          <w:szCs w:val="24"/>
          <w:lang w:val="en-US" w:eastAsia="zh-CN" w:bidi="ar-SA"/>
        </w:rPr>
        <w:t>一、</w:t>
      </w:r>
      <w:r>
        <w:rPr>
          <w:rFonts w:hint="eastAsia" w:ascii="宋体" w:hAnsi="宋体" w:eastAsia="宋体" w:cs="宋体"/>
          <w:b/>
          <w:bCs/>
          <w:kern w:val="2"/>
          <w:sz w:val="24"/>
          <w:szCs w:val="24"/>
          <w:lang w:val="en-US" w:eastAsia="zh-CN" w:bidi="ar-SA"/>
        </w:rPr>
        <w:t>本项目主要设备清单能耗表：</w:t>
      </w:r>
      <w:bookmarkStart w:id="81" w:name="OLE_LINK48"/>
    </w:p>
    <w:p w14:paraId="7993EF2E">
      <w:pPr>
        <w:spacing w:before="240" w:after="240"/>
        <w:ind w:firstLine="560"/>
      </w:pPr>
      <w:r>
        <w:rPr>
          <w:rFonts w:hint="eastAsia"/>
        </w:rPr>
        <w:t>主要生产设备天然气消耗量、用电量（全室送风）情况见下表。</w:t>
      </w:r>
    </w:p>
    <w:p w14:paraId="511029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sz w:val="24"/>
          <w:szCs w:val="24"/>
        </w:rPr>
      </w:pPr>
      <w:r>
        <w:rPr>
          <w:rFonts w:hint="eastAsia"/>
          <w:b/>
          <w:bCs/>
          <w:sz w:val="24"/>
          <w:szCs w:val="24"/>
        </w:rPr>
        <w:t>表7</w:t>
      </w:r>
      <w:r>
        <w:rPr>
          <w:b/>
          <w:bCs/>
          <w:sz w:val="24"/>
          <w:szCs w:val="24"/>
        </w:rPr>
        <w:t xml:space="preserve">.4-1  </w:t>
      </w:r>
      <w:r>
        <w:rPr>
          <w:rFonts w:hint="eastAsia"/>
          <w:b/>
          <w:bCs/>
          <w:sz w:val="24"/>
          <w:szCs w:val="24"/>
        </w:rPr>
        <w:t>本项目能源及燃料用量情况</w:t>
      </w:r>
    </w:p>
    <w:tbl>
      <w:tblPr>
        <w:tblStyle w:val="35"/>
        <w:tblW w:w="4642" w:type="pct"/>
        <w:jc w:val="center"/>
        <w:tblLayout w:type="autofit"/>
        <w:tblCellMar>
          <w:top w:w="0" w:type="dxa"/>
          <w:left w:w="108" w:type="dxa"/>
          <w:bottom w:w="0" w:type="dxa"/>
          <w:right w:w="108" w:type="dxa"/>
        </w:tblCellMar>
      </w:tblPr>
      <w:tblGrid>
        <w:gridCol w:w="1625"/>
        <w:gridCol w:w="2919"/>
        <w:gridCol w:w="2128"/>
        <w:gridCol w:w="2476"/>
      </w:tblGrid>
      <w:tr w14:paraId="6C7EF634">
        <w:tblPrEx>
          <w:tblCellMar>
            <w:top w:w="0" w:type="dxa"/>
            <w:left w:w="108" w:type="dxa"/>
            <w:bottom w:w="0" w:type="dxa"/>
            <w:right w:w="108" w:type="dxa"/>
          </w:tblCellMar>
        </w:tblPrEx>
        <w:trPr>
          <w:trHeight w:val="600" w:hRule="atLeast"/>
          <w:tblHeader/>
          <w:jc w:val="center"/>
        </w:trPr>
        <w:tc>
          <w:tcPr>
            <w:tcW w:w="888" w:type="pct"/>
            <w:tcBorders>
              <w:top w:val="single" w:color="auto" w:sz="4" w:space="0"/>
              <w:left w:val="single" w:color="auto" w:sz="4" w:space="0"/>
              <w:bottom w:val="single" w:color="auto" w:sz="4" w:space="0"/>
              <w:right w:val="single" w:color="auto" w:sz="4" w:space="0"/>
            </w:tcBorders>
            <w:vAlign w:val="center"/>
          </w:tcPr>
          <w:p w14:paraId="09597E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1595" w:type="pct"/>
            <w:tcBorders>
              <w:top w:val="single" w:color="auto" w:sz="4" w:space="0"/>
              <w:left w:val="nil"/>
              <w:bottom w:val="single" w:color="auto" w:sz="4" w:space="0"/>
              <w:right w:val="single" w:color="auto" w:sz="4" w:space="0"/>
            </w:tcBorders>
            <w:vAlign w:val="center"/>
          </w:tcPr>
          <w:p w14:paraId="5F6F1B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名称</w:t>
            </w:r>
          </w:p>
        </w:tc>
        <w:tc>
          <w:tcPr>
            <w:tcW w:w="1163" w:type="pct"/>
            <w:tcBorders>
              <w:top w:val="single" w:color="auto" w:sz="4" w:space="0"/>
              <w:left w:val="nil"/>
              <w:bottom w:val="single" w:color="auto" w:sz="4" w:space="0"/>
              <w:right w:val="single" w:color="auto" w:sz="4" w:space="0"/>
            </w:tcBorders>
            <w:vAlign w:val="center"/>
          </w:tcPr>
          <w:p w14:paraId="7118F7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天然气消耗量（Nm</w:t>
            </w:r>
            <w:r>
              <w:rPr>
                <w:rFonts w:hint="eastAsia" w:asciiTheme="minorEastAsia" w:hAnsiTheme="minorEastAsia" w:eastAsiaTheme="minorEastAsia" w:cstheme="minorEastAsia"/>
                <w:b/>
                <w:bCs/>
                <w:kern w:val="0"/>
                <w:sz w:val="24"/>
                <w:szCs w:val="24"/>
                <w:vertAlign w:val="superscript"/>
              </w:rPr>
              <w:t>3</w:t>
            </w:r>
            <w:r>
              <w:rPr>
                <w:rFonts w:hint="eastAsia" w:asciiTheme="minorEastAsia" w:hAnsiTheme="minorEastAsia" w:eastAsiaTheme="minorEastAsia" w:cstheme="minorEastAsia"/>
                <w:b/>
                <w:bCs/>
                <w:kern w:val="0"/>
                <w:sz w:val="24"/>
                <w:szCs w:val="24"/>
              </w:rPr>
              <w:t>/h）</w:t>
            </w:r>
          </w:p>
        </w:tc>
        <w:tc>
          <w:tcPr>
            <w:tcW w:w="1353" w:type="pct"/>
            <w:tcBorders>
              <w:top w:val="single" w:color="auto" w:sz="4" w:space="0"/>
              <w:left w:val="nil"/>
              <w:bottom w:val="single" w:color="auto" w:sz="4" w:space="0"/>
              <w:right w:val="single" w:color="auto" w:sz="4" w:space="0"/>
            </w:tcBorders>
            <w:vAlign w:val="center"/>
          </w:tcPr>
          <w:p w14:paraId="5A5C3F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装机功率（kW）</w:t>
            </w:r>
          </w:p>
        </w:tc>
      </w:tr>
      <w:tr w14:paraId="7D4FA603">
        <w:tblPrEx>
          <w:tblCellMar>
            <w:top w:w="0" w:type="dxa"/>
            <w:left w:w="108" w:type="dxa"/>
            <w:bottom w:w="0" w:type="dxa"/>
            <w:right w:w="108" w:type="dxa"/>
          </w:tblCellMar>
        </w:tblPrEx>
        <w:trPr>
          <w:trHeight w:val="877" w:hRule="atLeast"/>
          <w:jc w:val="center"/>
        </w:trPr>
        <w:tc>
          <w:tcPr>
            <w:tcW w:w="888" w:type="pct"/>
            <w:tcBorders>
              <w:top w:val="nil"/>
              <w:left w:val="single" w:color="auto" w:sz="4" w:space="0"/>
              <w:bottom w:val="single" w:color="auto" w:sz="4" w:space="0"/>
              <w:right w:val="single" w:color="auto" w:sz="4" w:space="0"/>
            </w:tcBorders>
            <w:vAlign w:val="center"/>
          </w:tcPr>
          <w:p w14:paraId="015D562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95" w:type="pct"/>
            <w:tcBorders>
              <w:top w:val="nil"/>
              <w:left w:val="nil"/>
              <w:bottom w:val="single" w:color="auto" w:sz="4" w:space="0"/>
              <w:right w:val="single" w:color="auto" w:sz="4" w:space="0"/>
            </w:tcBorders>
            <w:vAlign w:val="center"/>
          </w:tcPr>
          <w:p w14:paraId="590F667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中小件喷砂房</w:t>
            </w:r>
          </w:p>
        </w:tc>
        <w:tc>
          <w:tcPr>
            <w:tcW w:w="1163" w:type="pct"/>
            <w:tcBorders>
              <w:top w:val="nil"/>
              <w:left w:val="nil"/>
              <w:bottom w:val="single" w:color="auto" w:sz="4" w:space="0"/>
              <w:right w:val="single" w:color="auto" w:sz="4" w:space="0"/>
            </w:tcBorders>
            <w:vAlign w:val="center"/>
          </w:tcPr>
          <w:p w14:paraId="4B6830C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46969F99">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w:t>
            </w:r>
          </w:p>
        </w:tc>
      </w:tr>
      <w:tr w14:paraId="4656BC92">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343A821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95" w:type="pct"/>
            <w:tcBorders>
              <w:top w:val="nil"/>
              <w:left w:val="nil"/>
              <w:bottom w:val="single" w:color="auto" w:sz="4" w:space="0"/>
              <w:right w:val="single" w:color="auto" w:sz="4" w:space="0"/>
            </w:tcBorders>
            <w:vAlign w:val="center"/>
          </w:tcPr>
          <w:p w14:paraId="4CBD5D0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超大件喷砂房</w:t>
            </w:r>
          </w:p>
        </w:tc>
        <w:tc>
          <w:tcPr>
            <w:tcW w:w="1163" w:type="pct"/>
            <w:tcBorders>
              <w:top w:val="nil"/>
              <w:left w:val="nil"/>
              <w:bottom w:val="single" w:color="auto" w:sz="4" w:space="0"/>
              <w:right w:val="single" w:color="auto" w:sz="4" w:space="0"/>
            </w:tcBorders>
            <w:vAlign w:val="center"/>
          </w:tcPr>
          <w:p w14:paraId="75A2C7B1">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101613B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w:t>
            </w:r>
          </w:p>
        </w:tc>
      </w:tr>
      <w:tr w14:paraId="340B09CD">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33CACD7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595" w:type="pct"/>
            <w:tcBorders>
              <w:top w:val="nil"/>
              <w:left w:val="nil"/>
              <w:bottom w:val="single" w:color="auto" w:sz="4" w:space="0"/>
              <w:right w:val="single" w:color="auto" w:sz="4" w:space="0"/>
            </w:tcBorders>
            <w:vAlign w:val="center"/>
          </w:tcPr>
          <w:p w14:paraId="5AFAB4D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中小件打磨房</w:t>
            </w:r>
          </w:p>
        </w:tc>
        <w:tc>
          <w:tcPr>
            <w:tcW w:w="1163" w:type="pct"/>
            <w:tcBorders>
              <w:top w:val="nil"/>
              <w:left w:val="nil"/>
              <w:bottom w:val="single" w:color="auto" w:sz="4" w:space="0"/>
              <w:right w:val="single" w:color="auto" w:sz="4" w:space="0"/>
            </w:tcBorders>
            <w:vAlign w:val="center"/>
          </w:tcPr>
          <w:p w14:paraId="5175219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41E5ED9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w:t>
            </w:r>
          </w:p>
        </w:tc>
      </w:tr>
      <w:tr w14:paraId="29090FDD">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65A3EE6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595" w:type="pct"/>
            <w:tcBorders>
              <w:top w:val="nil"/>
              <w:left w:val="nil"/>
              <w:bottom w:val="single" w:color="auto" w:sz="4" w:space="0"/>
              <w:right w:val="single" w:color="auto" w:sz="4" w:space="0"/>
            </w:tcBorders>
            <w:vAlign w:val="center"/>
          </w:tcPr>
          <w:p w14:paraId="2E1D812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超大件打磨房</w:t>
            </w:r>
          </w:p>
        </w:tc>
        <w:tc>
          <w:tcPr>
            <w:tcW w:w="1163" w:type="pct"/>
            <w:tcBorders>
              <w:top w:val="nil"/>
              <w:left w:val="nil"/>
              <w:bottom w:val="single" w:color="auto" w:sz="4" w:space="0"/>
              <w:right w:val="single" w:color="auto" w:sz="4" w:space="0"/>
            </w:tcBorders>
            <w:vAlign w:val="center"/>
          </w:tcPr>
          <w:p w14:paraId="2FEE762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3FD8D03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w:t>
            </w:r>
          </w:p>
        </w:tc>
      </w:tr>
      <w:tr w14:paraId="3C2197BB">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7975DDCB">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595" w:type="pct"/>
            <w:tcBorders>
              <w:top w:val="nil"/>
              <w:left w:val="nil"/>
              <w:bottom w:val="single" w:color="auto" w:sz="4" w:space="0"/>
              <w:right w:val="single" w:color="auto" w:sz="4" w:space="0"/>
            </w:tcBorders>
            <w:vAlign w:val="center"/>
          </w:tcPr>
          <w:p w14:paraId="6C5602B4">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小件喷烤漆房</w:t>
            </w:r>
          </w:p>
        </w:tc>
        <w:tc>
          <w:tcPr>
            <w:tcW w:w="1163" w:type="pct"/>
            <w:tcBorders>
              <w:top w:val="nil"/>
              <w:left w:val="nil"/>
              <w:bottom w:val="single" w:color="auto" w:sz="4" w:space="0"/>
              <w:right w:val="single" w:color="auto" w:sz="4" w:space="0"/>
            </w:tcBorders>
            <w:vAlign w:val="center"/>
          </w:tcPr>
          <w:p w14:paraId="50210DB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1353" w:type="pct"/>
            <w:tcBorders>
              <w:top w:val="nil"/>
              <w:left w:val="nil"/>
              <w:bottom w:val="single" w:color="auto" w:sz="4" w:space="0"/>
              <w:right w:val="single" w:color="auto" w:sz="4" w:space="0"/>
            </w:tcBorders>
            <w:vAlign w:val="center"/>
          </w:tcPr>
          <w:p w14:paraId="40D0A9A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w:t>
            </w:r>
          </w:p>
        </w:tc>
      </w:tr>
      <w:tr w14:paraId="681B6272">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4BEE2D26">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595" w:type="pct"/>
            <w:tcBorders>
              <w:top w:val="nil"/>
              <w:left w:val="nil"/>
              <w:bottom w:val="single" w:color="auto" w:sz="4" w:space="0"/>
              <w:right w:val="single" w:color="auto" w:sz="4" w:space="0"/>
            </w:tcBorders>
            <w:vAlign w:val="center"/>
          </w:tcPr>
          <w:p w14:paraId="311F69A4">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小件喷烤漆房</w:t>
            </w:r>
          </w:p>
        </w:tc>
        <w:tc>
          <w:tcPr>
            <w:tcW w:w="1163" w:type="pct"/>
            <w:tcBorders>
              <w:top w:val="nil"/>
              <w:left w:val="nil"/>
              <w:bottom w:val="single" w:color="auto" w:sz="4" w:space="0"/>
              <w:right w:val="single" w:color="auto" w:sz="4" w:space="0"/>
            </w:tcBorders>
            <w:vAlign w:val="center"/>
          </w:tcPr>
          <w:p w14:paraId="4375C1A3">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1353" w:type="pct"/>
            <w:tcBorders>
              <w:top w:val="nil"/>
              <w:left w:val="nil"/>
              <w:bottom w:val="single" w:color="auto" w:sz="4" w:space="0"/>
              <w:right w:val="single" w:color="auto" w:sz="4" w:space="0"/>
            </w:tcBorders>
            <w:vAlign w:val="center"/>
          </w:tcPr>
          <w:p w14:paraId="66C8D192">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w:t>
            </w:r>
          </w:p>
        </w:tc>
      </w:tr>
      <w:tr w14:paraId="2904FCC5">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0367563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595" w:type="pct"/>
            <w:tcBorders>
              <w:top w:val="nil"/>
              <w:left w:val="nil"/>
              <w:bottom w:val="single" w:color="auto" w:sz="4" w:space="0"/>
              <w:right w:val="single" w:color="auto" w:sz="4" w:space="0"/>
            </w:tcBorders>
            <w:vAlign w:val="center"/>
          </w:tcPr>
          <w:p w14:paraId="26EFE66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大件喷烤漆房</w:t>
            </w:r>
          </w:p>
        </w:tc>
        <w:tc>
          <w:tcPr>
            <w:tcW w:w="1163" w:type="pct"/>
            <w:tcBorders>
              <w:top w:val="nil"/>
              <w:left w:val="nil"/>
              <w:bottom w:val="single" w:color="auto" w:sz="4" w:space="0"/>
              <w:right w:val="single" w:color="auto" w:sz="4" w:space="0"/>
            </w:tcBorders>
            <w:vAlign w:val="center"/>
          </w:tcPr>
          <w:p w14:paraId="43D7C963">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1353" w:type="pct"/>
            <w:tcBorders>
              <w:top w:val="nil"/>
              <w:left w:val="nil"/>
              <w:bottom w:val="single" w:color="auto" w:sz="4" w:space="0"/>
              <w:right w:val="single" w:color="auto" w:sz="4" w:space="0"/>
            </w:tcBorders>
            <w:vAlign w:val="center"/>
          </w:tcPr>
          <w:p w14:paraId="355D4EA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w:t>
            </w:r>
          </w:p>
        </w:tc>
      </w:tr>
      <w:tr w14:paraId="29AAFA69">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18B99523">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595" w:type="pct"/>
            <w:tcBorders>
              <w:top w:val="nil"/>
              <w:left w:val="nil"/>
              <w:bottom w:val="single" w:color="auto" w:sz="4" w:space="0"/>
              <w:right w:val="single" w:color="auto" w:sz="4" w:space="0"/>
            </w:tcBorders>
            <w:vAlign w:val="center"/>
          </w:tcPr>
          <w:p w14:paraId="381499F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超大件喷烤漆房</w:t>
            </w:r>
          </w:p>
        </w:tc>
        <w:tc>
          <w:tcPr>
            <w:tcW w:w="1163" w:type="pct"/>
            <w:tcBorders>
              <w:top w:val="nil"/>
              <w:left w:val="nil"/>
              <w:bottom w:val="single" w:color="auto" w:sz="4" w:space="0"/>
              <w:right w:val="single" w:color="auto" w:sz="4" w:space="0"/>
            </w:tcBorders>
            <w:vAlign w:val="center"/>
          </w:tcPr>
          <w:p w14:paraId="155A231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w:t>
            </w:r>
          </w:p>
        </w:tc>
        <w:tc>
          <w:tcPr>
            <w:tcW w:w="1353" w:type="pct"/>
            <w:tcBorders>
              <w:top w:val="nil"/>
              <w:left w:val="nil"/>
              <w:bottom w:val="single" w:color="auto" w:sz="4" w:space="0"/>
              <w:right w:val="single" w:color="auto" w:sz="4" w:space="0"/>
            </w:tcBorders>
            <w:vAlign w:val="center"/>
          </w:tcPr>
          <w:p w14:paraId="3BB3A73B">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170</w:t>
            </w:r>
          </w:p>
        </w:tc>
      </w:tr>
      <w:tr w14:paraId="41B26A5A">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16A20A7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595" w:type="pct"/>
            <w:tcBorders>
              <w:top w:val="nil"/>
              <w:left w:val="nil"/>
              <w:bottom w:val="single" w:color="auto" w:sz="4" w:space="0"/>
              <w:right w:val="single" w:color="auto" w:sz="4" w:space="0"/>
            </w:tcBorders>
            <w:vAlign w:val="center"/>
          </w:tcPr>
          <w:p w14:paraId="36763BD1">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除尘器系统</w:t>
            </w:r>
          </w:p>
        </w:tc>
        <w:tc>
          <w:tcPr>
            <w:tcW w:w="1163" w:type="pct"/>
            <w:tcBorders>
              <w:top w:val="nil"/>
              <w:left w:val="nil"/>
              <w:bottom w:val="single" w:color="auto" w:sz="4" w:space="0"/>
              <w:right w:val="single" w:color="auto" w:sz="4" w:space="0"/>
            </w:tcBorders>
            <w:noWrap/>
            <w:vAlign w:val="center"/>
          </w:tcPr>
          <w:p w14:paraId="3B09F69B">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noWrap/>
            <w:vAlign w:val="center"/>
          </w:tcPr>
          <w:p w14:paraId="46FBF064">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185</w:t>
            </w:r>
          </w:p>
        </w:tc>
      </w:tr>
      <w:tr w14:paraId="3D12256A">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7D8E35CE">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1595" w:type="pct"/>
            <w:tcBorders>
              <w:top w:val="nil"/>
              <w:left w:val="nil"/>
              <w:bottom w:val="single" w:color="auto" w:sz="4" w:space="0"/>
              <w:right w:val="single" w:color="auto" w:sz="4" w:space="0"/>
            </w:tcBorders>
            <w:vAlign w:val="center"/>
          </w:tcPr>
          <w:p w14:paraId="0DDB76C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1#2#沸石装轮+RTO</w:t>
            </w:r>
          </w:p>
        </w:tc>
        <w:tc>
          <w:tcPr>
            <w:tcW w:w="1163" w:type="pct"/>
            <w:tcBorders>
              <w:top w:val="nil"/>
              <w:left w:val="nil"/>
              <w:bottom w:val="single" w:color="auto" w:sz="4" w:space="0"/>
              <w:right w:val="single" w:color="auto" w:sz="4" w:space="0"/>
            </w:tcBorders>
            <w:noWrap/>
            <w:vAlign w:val="center"/>
          </w:tcPr>
          <w:p w14:paraId="128FD67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75Nm</w:t>
            </w:r>
            <w:r>
              <w:rPr>
                <w:rFonts w:hint="eastAsia" w:asciiTheme="minorEastAsia" w:hAnsiTheme="minorEastAsia" w:eastAsiaTheme="minorEastAsia" w:cstheme="minorEastAsia"/>
                <w:kern w:val="0"/>
                <w:sz w:val="24"/>
                <w:szCs w:val="24"/>
                <w:vertAlign w:val="superscript"/>
              </w:rPr>
              <w:t>3</w:t>
            </w:r>
            <w:r>
              <w:rPr>
                <w:rFonts w:hint="eastAsia" w:asciiTheme="minorEastAsia" w:hAnsiTheme="minorEastAsia" w:eastAsiaTheme="minorEastAsia" w:cstheme="minorEastAsia"/>
                <w:kern w:val="0"/>
                <w:sz w:val="24"/>
                <w:szCs w:val="24"/>
              </w:rPr>
              <w:t>/h</w:t>
            </w:r>
          </w:p>
        </w:tc>
        <w:tc>
          <w:tcPr>
            <w:tcW w:w="1353" w:type="pct"/>
            <w:tcBorders>
              <w:top w:val="nil"/>
              <w:left w:val="nil"/>
              <w:bottom w:val="single" w:color="auto" w:sz="4" w:space="0"/>
              <w:right w:val="single" w:color="auto" w:sz="4" w:space="0"/>
            </w:tcBorders>
            <w:vAlign w:val="center"/>
          </w:tcPr>
          <w:p w14:paraId="21C74D7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700</w:t>
            </w:r>
          </w:p>
        </w:tc>
      </w:tr>
      <w:tr w14:paraId="5026A013">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375D1909">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1595" w:type="pct"/>
            <w:tcBorders>
              <w:top w:val="nil"/>
              <w:left w:val="nil"/>
              <w:bottom w:val="single" w:color="auto" w:sz="4" w:space="0"/>
              <w:right w:val="single" w:color="auto" w:sz="4" w:space="0"/>
            </w:tcBorders>
            <w:vAlign w:val="center"/>
          </w:tcPr>
          <w:p w14:paraId="783A0562">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空压机站</w:t>
            </w:r>
          </w:p>
        </w:tc>
        <w:tc>
          <w:tcPr>
            <w:tcW w:w="1163" w:type="pct"/>
            <w:tcBorders>
              <w:top w:val="nil"/>
              <w:left w:val="nil"/>
              <w:bottom w:val="single" w:color="auto" w:sz="4" w:space="0"/>
              <w:right w:val="single" w:color="auto" w:sz="4" w:space="0"/>
            </w:tcBorders>
            <w:noWrap/>
            <w:vAlign w:val="center"/>
          </w:tcPr>
          <w:p w14:paraId="5767308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0</w:t>
            </w:r>
          </w:p>
        </w:tc>
        <w:tc>
          <w:tcPr>
            <w:tcW w:w="1353" w:type="pct"/>
            <w:tcBorders>
              <w:top w:val="nil"/>
              <w:left w:val="nil"/>
              <w:bottom w:val="single" w:color="auto" w:sz="4" w:space="0"/>
              <w:right w:val="single" w:color="auto" w:sz="4" w:space="0"/>
            </w:tcBorders>
            <w:vAlign w:val="center"/>
          </w:tcPr>
          <w:p w14:paraId="3C456DB9">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230</w:t>
            </w:r>
          </w:p>
        </w:tc>
      </w:tr>
    </w:tbl>
    <w:p w14:paraId="68BBC05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p>
    <w:p w14:paraId="6D3706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82" w:name="_Toc204349209"/>
      <w:bookmarkStart w:id="83" w:name="_Toc214264008"/>
      <w:bookmarkStart w:id="84" w:name="_Toc139990377"/>
      <w:bookmarkStart w:id="85" w:name="OLE_LINK124"/>
      <w:bookmarkStart w:id="86" w:name="OLE_LINK125"/>
      <w:bookmarkStart w:id="87" w:name="_Ref137399553"/>
      <w:bookmarkStart w:id="88" w:name="_Ref195518237"/>
      <w:bookmarkStart w:id="89" w:name="_Ref195518268"/>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设备技术参数</w:t>
      </w:r>
      <w:bookmarkEnd w:id="82"/>
      <w:bookmarkEnd w:id="83"/>
      <w:bookmarkEnd w:id="84"/>
    </w:p>
    <w:bookmarkEnd w:id="85"/>
    <w:bookmarkEnd w:id="86"/>
    <w:p w14:paraId="63533A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90" w:name="_Toc85533615"/>
      <w:r>
        <w:rPr>
          <w:rFonts w:hint="eastAsia" w:ascii="宋体" w:hAnsi="宋体" w:eastAsia="宋体" w:cs="宋体"/>
          <w:b/>
          <w:bCs/>
          <w:sz w:val="24"/>
          <w:szCs w:val="24"/>
          <w:lang w:val="en-US" w:eastAsia="zh-CN"/>
        </w:rPr>
        <w:t>中小件喷砂室主要技术参数（数量：1台套）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2"/>
        <w:gridCol w:w="3061"/>
        <w:gridCol w:w="3871"/>
        <w:gridCol w:w="1880"/>
      </w:tblGrid>
      <w:tr w14:paraId="2151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0498D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3061" w:type="dxa"/>
            <w:vAlign w:val="center"/>
          </w:tcPr>
          <w:p w14:paraId="30A9448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871" w:type="dxa"/>
            <w:vAlign w:val="center"/>
          </w:tcPr>
          <w:p w14:paraId="1B3852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880" w:type="dxa"/>
            <w:vAlign w:val="center"/>
          </w:tcPr>
          <w:p w14:paraId="7F06FD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2639A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3C7004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61" w:type="dxa"/>
            <w:vAlign w:val="center"/>
          </w:tcPr>
          <w:p w14:paraId="610805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871" w:type="dxa"/>
            <w:vAlign w:val="center"/>
          </w:tcPr>
          <w:p w14:paraId="480788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供碳钢工件表面喷砂用</w:t>
            </w:r>
          </w:p>
        </w:tc>
        <w:tc>
          <w:tcPr>
            <w:tcW w:w="1880" w:type="dxa"/>
            <w:vAlign w:val="center"/>
          </w:tcPr>
          <w:p w14:paraId="355342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丸料：钢丸</w:t>
            </w:r>
          </w:p>
        </w:tc>
      </w:tr>
      <w:tr w14:paraId="06791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1C8C2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61" w:type="dxa"/>
            <w:vAlign w:val="center"/>
          </w:tcPr>
          <w:p w14:paraId="225B82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871" w:type="dxa"/>
            <w:vAlign w:val="center"/>
          </w:tcPr>
          <w:p w14:paraId="20EDE5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18000×7350×8000mm</w:t>
            </w:r>
          </w:p>
        </w:tc>
        <w:tc>
          <w:tcPr>
            <w:tcW w:w="1880" w:type="dxa"/>
            <w:vAlign w:val="center"/>
          </w:tcPr>
          <w:p w14:paraId="384BF6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7F0DD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530FEE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61" w:type="dxa"/>
            <w:vAlign w:val="center"/>
          </w:tcPr>
          <w:p w14:paraId="60980C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照明系统</w:t>
            </w:r>
          </w:p>
        </w:tc>
        <w:tc>
          <w:tcPr>
            <w:tcW w:w="3871" w:type="dxa"/>
            <w:vAlign w:val="center"/>
          </w:tcPr>
          <w:p w14:paraId="11D73F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照明度≥500Lux</w:t>
            </w:r>
          </w:p>
        </w:tc>
        <w:tc>
          <w:tcPr>
            <w:tcW w:w="1880" w:type="dxa"/>
            <w:vAlign w:val="center"/>
          </w:tcPr>
          <w:p w14:paraId="451E60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9246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68AEE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6B82C3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照明灯类型</w:t>
            </w:r>
          </w:p>
        </w:tc>
        <w:tc>
          <w:tcPr>
            <w:tcW w:w="3871" w:type="dxa"/>
            <w:vAlign w:val="center"/>
          </w:tcPr>
          <w:p w14:paraId="70E904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LED灯</w:t>
            </w:r>
          </w:p>
        </w:tc>
        <w:tc>
          <w:tcPr>
            <w:tcW w:w="1880" w:type="dxa"/>
            <w:vAlign w:val="center"/>
          </w:tcPr>
          <w:p w14:paraId="2DA286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3C90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C65E8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416E2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照明灯数量</w:t>
            </w:r>
          </w:p>
        </w:tc>
        <w:tc>
          <w:tcPr>
            <w:tcW w:w="3871" w:type="dxa"/>
            <w:vAlign w:val="center"/>
          </w:tcPr>
          <w:p w14:paraId="06B30A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30盏</w:t>
            </w:r>
          </w:p>
        </w:tc>
        <w:tc>
          <w:tcPr>
            <w:tcW w:w="1880" w:type="dxa"/>
            <w:vAlign w:val="center"/>
          </w:tcPr>
          <w:p w14:paraId="0DAA77D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A08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6FB446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7995C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LED照明灯功率</w:t>
            </w:r>
          </w:p>
        </w:tc>
        <w:tc>
          <w:tcPr>
            <w:tcW w:w="3871" w:type="dxa"/>
            <w:vAlign w:val="center"/>
          </w:tcPr>
          <w:p w14:paraId="66E5E5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30*200W=6000W</w:t>
            </w:r>
          </w:p>
        </w:tc>
        <w:tc>
          <w:tcPr>
            <w:tcW w:w="1880" w:type="dxa"/>
            <w:vAlign w:val="center"/>
          </w:tcPr>
          <w:p w14:paraId="2DB5FA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328A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5F7E68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61" w:type="dxa"/>
            <w:vAlign w:val="center"/>
          </w:tcPr>
          <w:p w14:paraId="41F220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电动对开门</w:t>
            </w:r>
          </w:p>
        </w:tc>
        <w:tc>
          <w:tcPr>
            <w:tcW w:w="3871" w:type="dxa"/>
            <w:vAlign w:val="center"/>
          </w:tcPr>
          <w:p w14:paraId="6906AA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880" w:type="dxa"/>
            <w:vAlign w:val="center"/>
          </w:tcPr>
          <w:p w14:paraId="348A78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25DC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3FE892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FDA2C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871" w:type="dxa"/>
            <w:vAlign w:val="center"/>
          </w:tcPr>
          <w:p w14:paraId="096D48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880" w:type="dxa"/>
            <w:vAlign w:val="center"/>
          </w:tcPr>
          <w:p w14:paraId="0F8889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0ACFB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0C190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43951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71" w:type="dxa"/>
            <w:vAlign w:val="center"/>
          </w:tcPr>
          <w:p w14:paraId="5557B1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880" w:type="dxa"/>
            <w:vAlign w:val="center"/>
          </w:tcPr>
          <w:p w14:paraId="1845CD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A6BB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708A1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61" w:type="dxa"/>
            <w:vAlign w:val="center"/>
          </w:tcPr>
          <w:p w14:paraId="6F3553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进风</w:t>
            </w:r>
          </w:p>
        </w:tc>
        <w:tc>
          <w:tcPr>
            <w:tcW w:w="3871" w:type="dxa"/>
            <w:vAlign w:val="center"/>
          </w:tcPr>
          <w:p w14:paraId="4A6357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顶部自然补风</w:t>
            </w:r>
          </w:p>
        </w:tc>
        <w:tc>
          <w:tcPr>
            <w:tcW w:w="1880" w:type="dxa"/>
            <w:vAlign w:val="center"/>
          </w:tcPr>
          <w:p w14:paraId="203ED0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957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7DA291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61" w:type="dxa"/>
            <w:vAlign w:val="center"/>
          </w:tcPr>
          <w:p w14:paraId="48DACC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喷砂机主机</w:t>
            </w:r>
          </w:p>
        </w:tc>
        <w:tc>
          <w:tcPr>
            <w:tcW w:w="3871" w:type="dxa"/>
            <w:vAlign w:val="center"/>
          </w:tcPr>
          <w:p w14:paraId="030E17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 RZN-900-W-2</w:t>
            </w:r>
          </w:p>
        </w:tc>
        <w:tc>
          <w:tcPr>
            <w:tcW w:w="1880" w:type="dxa"/>
            <w:vAlign w:val="center"/>
          </w:tcPr>
          <w:p w14:paraId="5E0371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5935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46470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336B76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喷砂罐直径</w:t>
            </w:r>
          </w:p>
        </w:tc>
        <w:tc>
          <w:tcPr>
            <w:tcW w:w="3871" w:type="dxa"/>
            <w:vAlign w:val="center"/>
          </w:tcPr>
          <w:p w14:paraId="081DE7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900mm</w:t>
            </w:r>
          </w:p>
        </w:tc>
        <w:tc>
          <w:tcPr>
            <w:tcW w:w="1880" w:type="dxa"/>
            <w:vAlign w:val="center"/>
          </w:tcPr>
          <w:p w14:paraId="217886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6C28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515919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3F779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喷砂罐容积</w:t>
            </w:r>
          </w:p>
        </w:tc>
        <w:tc>
          <w:tcPr>
            <w:tcW w:w="3871" w:type="dxa"/>
            <w:vAlign w:val="center"/>
          </w:tcPr>
          <w:p w14:paraId="7DE159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1.0m3</w:t>
            </w:r>
          </w:p>
        </w:tc>
        <w:tc>
          <w:tcPr>
            <w:tcW w:w="1880" w:type="dxa"/>
            <w:vAlign w:val="center"/>
          </w:tcPr>
          <w:p w14:paraId="637FAC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B7A9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01778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5C5B28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喷枪数量</w:t>
            </w:r>
          </w:p>
        </w:tc>
        <w:tc>
          <w:tcPr>
            <w:tcW w:w="3871" w:type="dxa"/>
            <w:vAlign w:val="center"/>
          </w:tcPr>
          <w:p w14:paraId="623F3C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（标准配置）</w:t>
            </w:r>
          </w:p>
        </w:tc>
        <w:tc>
          <w:tcPr>
            <w:tcW w:w="1880" w:type="dxa"/>
            <w:vAlign w:val="center"/>
          </w:tcPr>
          <w:p w14:paraId="532D0D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2把</w:t>
            </w:r>
          </w:p>
        </w:tc>
      </w:tr>
      <w:tr w14:paraId="1D669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6AB95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3B192A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喷嘴直径</w:t>
            </w:r>
          </w:p>
        </w:tc>
        <w:tc>
          <w:tcPr>
            <w:tcW w:w="3871" w:type="dxa"/>
            <w:vAlign w:val="center"/>
          </w:tcPr>
          <w:p w14:paraId="3E11AB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10mm</w:t>
            </w:r>
          </w:p>
        </w:tc>
        <w:tc>
          <w:tcPr>
            <w:tcW w:w="1880" w:type="dxa"/>
            <w:vAlign w:val="center"/>
          </w:tcPr>
          <w:p w14:paraId="7132A5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1E9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1DD1C5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1108C6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单枪清理速度</w:t>
            </w:r>
          </w:p>
        </w:tc>
        <w:tc>
          <w:tcPr>
            <w:tcW w:w="3871" w:type="dxa"/>
            <w:vAlign w:val="center"/>
          </w:tcPr>
          <w:p w14:paraId="7391EF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12-18m2/h</w:t>
            </w:r>
          </w:p>
        </w:tc>
        <w:tc>
          <w:tcPr>
            <w:tcW w:w="1880" w:type="dxa"/>
            <w:vAlign w:val="center"/>
          </w:tcPr>
          <w:p w14:paraId="2BE6CF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BE37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FB86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6E6BB3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单枪标准出砂量</w:t>
            </w:r>
          </w:p>
          <w:p w14:paraId="01D577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（喷砂工作气压0.58MPa）</w:t>
            </w:r>
          </w:p>
        </w:tc>
        <w:tc>
          <w:tcPr>
            <w:tcW w:w="3871" w:type="dxa"/>
            <w:vAlign w:val="center"/>
          </w:tcPr>
          <w:p w14:paraId="5C9E37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800kg/h</w:t>
            </w:r>
          </w:p>
        </w:tc>
        <w:tc>
          <w:tcPr>
            <w:tcW w:w="1880" w:type="dxa"/>
            <w:vAlign w:val="center"/>
          </w:tcPr>
          <w:p w14:paraId="382012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603C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6E5072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CE971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单枪耗气量（φ8mm/φ10mm）</w:t>
            </w:r>
          </w:p>
        </w:tc>
        <w:tc>
          <w:tcPr>
            <w:tcW w:w="3871" w:type="dxa"/>
            <w:vAlign w:val="center"/>
          </w:tcPr>
          <w:p w14:paraId="25B0CE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6.0m3/min</w:t>
            </w:r>
          </w:p>
        </w:tc>
        <w:tc>
          <w:tcPr>
            <w:tcW w:w="1880" w:type="dxa"/>
            <w:vAlign w:val="center"/>
          </w:tcPr>
          <w:p w14:paraId="77C49F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1B0C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38CE04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061" w:type="dxa"/>
          </w:tcPr>
          <w:p w14:paraId="4547C6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砂料种类及粒度使用范围</w:t>
            </w:r>
          </w:p>
        </w:tc>
        <w:tc>
          <w:tcPr>
            <w:tcW w:w="3871" w:type="dxa"/>
          </w:tcPr>
          <w:p w14:paraId="55A182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刚玉类16-100目</w:t>
            </w:r>
          </w:p>
        </w:tc>
        <w:tc>
          <w:tcPr>
            <w:tcW w:w="1880" w:type="dxa"/>
            <w:vAlign w:val="center"/>
          </w:tcPr>
          <w:p w14:paraId="65929A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2CE1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79501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061" w:type="dxa"/>
          </w:tcPr>
          <w:p w14:paraId="75880D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表面清理等级</w:t>
            </w:r>
          </w:p>
        </w:tc>
        <w:tc>
          <w:tcPr>
            <w:tcW w:w="3871" w:type="dxa"/>
          </w:tcPr>
          <w:p w14:paraId="2967B8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参考Sa2.5-3(GB8923-88)</w:t>
            </w:r>
          </w:p>
        </w:tc>
        <w:tc>
          <w:tcPr>
            <w:tcW w:w="1880" w:type="dxa"/>
            <w:vAlign w:val="center"/>
          </w:tcPr>
          <w:p w14:paraId="366B96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8E37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89AC6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061" w:type="dxa"/>
          </w:tcPr>
          <w:p w14:paraId="74C8BE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表面粗糙度</w:t>
            </w:r>
          </w:p>
        </w:tc>
        <w:tc>
          <w:tcPr>
            <w:tcW w:w="3871" w:type="dxa"/>
          </w:tcPr>
          <w:p w14:paraId="7264E7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20-50um(按工艺要求执行)</w:t>
            </w:r>
          </w:p>
        </w:tc>
        <w:tc>
          <w:tcPr>
            <w:tcW w:w="1880" w:type="dxa"/>
            <w:vAlign w:val="center"/>
          </w:tcPr>
          <w:p w14:paraId="6AA8FC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986E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restart"/>
            <w:vAlign w:val="center"/>
          </w:tcPr>
          <w:p w14:paraId="448B4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061" w:type="dxa"/>
            <w:vAlign w:val="center"/>
          </w:tcPr>
          <w:p w14:paraId="0EEE4E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空调式喷砂头盔（套）</w:t>
            </w:r>
          </w:p>
        </w:tc>
        <w:tc>
          <w:tcPr>
            <w:tcW w:w="3871" w:type="dxa"/>
            <w:vAlign w:val="center"/>
          </w:tcPr>
          <w:p w14:paraId="3956BB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80" w:type="dxa"/>
            <w:vAlign w:val="center"/>
          </w:tcPr>
          <w:p w14:paraId="66F992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2421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continue"/>
            <w:vAlign w:val="center"/>
          </w:tcPr>
          <w:p w14:paraId="4B12EF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10A4AD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专用喷砂服（套）</w:t>
            </w:r>
          </w:p>
        </w:tc>
        <w:tc>
          <w:tcPr>
            <w:tcW w:w="3871" w:type="dxa"/>
            <w:vAlign w:val="center"/>
          </w:tcPr>
          <w:p w14:paraId="1AEC48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80" w:type="dxa"/>
            <w:vAlign w:val="center"/>
          </w:tcPr>
          <w:p w14:paraId="70D2CD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E13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continue"/>
            <w:vAlign w:val="center"/>
          </w:tcPr>
          <w:p w14:paraId="54D7AC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2078E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空气压力（MPa）</w:t>
            </w:r>
          </w:p>
        </w:tc>
        <w:tc>
          <w:tcPr>
            <w:tcW w:w="3871" w:type="dxa"/>
            <w:vAlign w:val="center"/>
          </w:tcPr>
          <w:p w14:paraId="2F3333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0.4—0.7</w:t>
            </w:r>
          </w:p>
        </w:tc>
        <w:tc>
          <w:tcPr>
            <w:tcW w:w="1880" w:type="dxa"/>
            <w:vAlign w:val="center"/>
          </w:tcPr>
          <w:p w14:paraId="4B5B09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0BE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continue"/>
            <w:vAlign w:val="center"/>
          </w:tcPr>
          <w:p w14:paraId="6A4958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8752F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温度调节范围（℃）</w:t>
            </w:r>
          </w:p>
        </w:tc>
        <w:tc>
          <w:tcPr>
            <w:tcW w:w="3871" w:type="dxa"/>
            <w:vAlign w:val="center"/>
          </w:tcPr>
          <w:p w14:paraId="757A45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10--24</w:t>
            </w:r>
          </w:p>
        </w:tc>
        <w:tc>
          <w:tcPr>
            <w:tcW w:w="1880" w:type="dxa"/>
            <w:vAlign w:val="center"/>
          </w:tcPr>
          <w:p w14:paraId="665D6E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67C16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2EDFF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超大件喷砂室主要技术参数（数量：1台套）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1F2EA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822C5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7CB3DE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14FF49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635D9F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554E4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CB5B5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5412F1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5F0C53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供碳钢工件表面喷砂用</w:t>
            </w:r>
          </w:p>
        </w:tc>
        <w:tc>
          <w:tcPr>
            <w:tcW w:w="1967" w:type="dxa"/>
            <w:vAlign w:val="center"/>
          </w:tcPr>
          <w:p w14:paraId="54898B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丸料：钢丸</w:t>
            </w:r>
          </w:p>
        </w:tc>
      </w:tr>
      <w:tr w14:paraId="37938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85D30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777E8F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971" w:type="dxa"/>
            <w:vAlign w:val="center"/>
          </w:tcPr>
          <w:p w14:paraId="1BB697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21000×7350×8000mm</w:t>
            </w:r>
          </w:p>
        </w:tc>
        <w:tc>
          <w:tcPr>
            <w:tcW w:w="1967" w:type="dxa"/>
            <w:vAlign w:val="center"/>
          </w:tcPr>
          <w:p w14:paraId="101A76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5F50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E460E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2908D8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照明系统</w:t>
            </w:r>
          </w:p>
        </w:tc>
        <w:tc>
          <w:tcPr>
            <w:tcW w:w="3971" w:type="dxa"/>
            <w:vAlign w:val="center"/>
          </w:tcPr>
          <w:p w14:paraId="2DA2AD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照明度≥500Lux</w:t>
            </w:r>
          </w:p>
        </w:tc>
        <w:tc>
          <w:tcPr>
            <w:tcW w:w="1967" w:type="dxa"/>
            <w:vAlign w:val="center"/>
          </w:tcPr>
          <w:p w14:paraId="69EF6B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548F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4DE4D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22910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照明灯类型</w:t>
            </w:r>
          </w:p>
        </w:tc>
        <w:tc>
          <w:tcPr>
            <w:tcW w:w="3971" w:type="dxa"/>
            <w:vAlign w:val="center"/>
          </w:tcPr>
          <w:p w14:paraId="7AC56F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LED灯</w:t>
            </w:r>
          </w:p>
        </w:tc>
        <w:tc>
          <w:tcPr>
            <w:tcW w:w="1967" w:type="dxa"/>
            <w:vAlign w:val="center"/>
          </w:tcPr>
          <w:p w14:paraId="7A57E3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ED63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0C5C74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02B0C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照明灯数量</w:t>
            </w:r>
          </w:p>
        </w:tc>
        <w:tc>
          <w:tcPr>
            <w:tcW w:w="3971" w:type="dxa"/>
            <w:vAlign w:val="center"/>
          </w:tcPr>
          <w:p w14:paraId="295C6A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36盏</w:t>
            </w:r>
          </w:p>
        </w:tc>
        <w:tc>
          <w:tcPr>
            <w:tcW w:w="1967" w:type="dxa"/>
            <w:vAlign w:val="center"/>
          </w:tcPr>
          <w:p w14:paraId="2E2426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FB9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FECC3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C312C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LED照明灯功率</w:t>
            </w:r>
          </w:p>
        </w:tc>
        <w:tc>
          <w:tcPr>
            <w:tcW w:w="3971" w:type="dxa"/>
            <w:vAlign w:val="center"/>
          </w:tcPr>
          <w:p w14:paraId="26AC6C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36*200W=7200W</w:t>
            </w:r>
          </w:p>
        </w:tc>
        <w:tc>
          <w:tcPr>
            <w:tcW w:w="1967" w:type="dxa"/>
            <w:vAlign w:val="center"/>
          </w:tcPr>
          <w:p w14:paraId="07B6FF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659A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F8989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74B98B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电动对开门</w:t>
            </w:r>
          </w:p>
        </w:tc>
        <w:tc>
          <w:tcPr>
            <w:tcW w:w="3971" w:type="dxa"/>
            <w:vAlign w:val="center"/>
          </w:tcPr>
          <w:p w14:paraId="506AD4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2FD3F8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4173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453F3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A1C90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78E242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7681BE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F72A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5D5D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95D0A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6E027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4D61B4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B893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47BAC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6A9B09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进风</w:t>
            </w:r>
          </w:p>
        </w:tc>
        <w:tc>
          <w:tcPr>
            <w:tcW w:w="3971" w:type="dxa"/>
            <w:vAlign w:val="center"/>
          </w:tcPr>
          <w:p w14:paraId="098EC4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顶部自然补风</w:t>
            </w:r>
          </w:p>
        </w:tc>
        <w:tc>
          <w:tcPr>
            <w:tcW w:w="1967" w:type="dxa"/>
            <w:vAlign w:val="center"/>
          </w:tcPr>
          <w:p w14:paraId="2D5C8A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5BAE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92D5E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098206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喷砂机主机</w:t>
            </w:r>
          </w:p>
        </w:tc>
        <w:tc>
          <w:tcPr>
            <w:tcW w:w="3971" w:type="dxa"/>
            <w:vAlign w:val="center"/>
          </w:tcPr>
          <w:p w14:paraId="21BEC4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 RZN-900-W-2</w:t>
            </w:r>
          </w:p>
        </w:tc>
        <w:tc>
          <w:tcPr>
            <w:tcW w:w="1967" w:type="dxa"/>
            <w:vAlign w:val="center"/>
          </w:tcPr>
          <w:p w14:paraId="1849C1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242C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8702D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848C5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喷砂罐直径</w:t>
            </w:r>
          </w:p>
        </w:tc>
        <w:tc>
          <w:tcPr>
            <w:tcW w:w="3971" w:type="dxa"/>
            <w:vAlign w:val="center"/>
          </w:tcPr>
          <w:p w14:paraId="60ECBA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900mm</w:t>
            </w:r>
          </w:p>
        </w:tc>
        <w:tc>
          <w:tcPr>
            <w:tcW w:w="1967" w:type="dxa"/>
            <w:vAlign w:val="center"/>
          </w:tcPr>
          <w:p w14:paraId="7ADAC4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4E98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4E676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6122A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喷砂罐容积</w:t>
            </w:r>
          </w:p>
        </w:tc>
        <w:tc>
          <w:tcPr>
            <w:tcW w:w="3971" w:type="dxa"/>
            <w:vAlign w:val="center"/>
          </w:tcPr>
          <w:p w14:paraId="43EFB9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1.0m3</w:t>
            </w:r>
          </w:p>
        </w:tc>
        <w:tc>
          <w:tcPr>
            <w:tcW w:w="1967" w:type="dxa"/>
            <w:vAlign w:val="center"/>
          </w:tcPr>
          <w:p w14:paraId="4BDC31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08F7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EAD2A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1BB13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喷枪数量</w:t>
            </w:r>
          </w:p>
        </w:tc>
        <w:tc>
          <w:tcPr>
            <w:tcW w:w="3971" w:type="dxa"/>
            <w:vAlign w:val="center"/>
          </w:tcPr>
          <w:p w14:paraId="245B5A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（标准配置）</w:t>
            </w:r>
          </w:p>
        </w:tc>
        <w:tc>
          <w:tcPr>
            <w:tcW w:w="1967" w:type="dxa"/>
            <w:vAlign w:val="center"/>
          </w:tcPr>
          <w:p w14:paraId="0EF5F9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2把</w:t>
            </w:r>
          </w:p>
        </w:tc>
      </w:tr>
      <w:tr w14:paraId="43386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90DF5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C132F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喷嘴直径</w:t>
            </w:r>
          </w:p>
        </w:tc>
        <w:tc>
          <w:tcPr>
            <w:tcW w:w="3971" w:type="dxa"/>
            <w:vAlign w:val="center"/>
          </w:tcPr>
          <w:p w14:paraId="41BCB1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10mm</w:t>
            </w:r>
          </w:p>
        </w:tc>
        <w:tc>
          <w:tcPr>
            <w:tcW w:w="1967" w:type="dxa"/>
            <w:vAlign w:val="center"/>
          </w:tcPr>
          <w:p w14:paraId="2C0779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591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4A21D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57DEA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单枪清理速度</w:t>
            </w:r>
          </w:p>
        </w:tc>
        <w:tc>
          <w:tcPr>
            <w:tcW w:w="3971" w:type="dxa"/>
            <w:vAlign w:val="center"/>
          </w:tcPr>
          <w:p w14:paraId="55C1C2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12-18m2/h</w:t>
            </w:r>
          </w:p>
        </w:tc>
        <w:tc>
          <w:tcPr>
            <w:tcW w:w="1967" w:type="dxa"/>
            <w:vAlign w:val="center"/>
          </w:tcPr>
          <w:p w14:paraId="7813A6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39E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38389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4D943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单枪标准出砂量</w:t>
            </w:r>
          </w:p>
          <w:p w14:paraId="1F189F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（喷砂工作气压0.58MPa）</w:t>
            </w:r>
          </w:p>
        </w:tc>
        <w:tc>
          <w:tcPr>
            <w:tcW w:w="3971" w:type="dxa"/>
            <w:vAlign w:val="center"/>
          </w:tcPr>
          <w:p w14:paraId="47FD33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800kg/h</w:t>
            </w:r>
          </w:p>
        </w:tc>
        <w:tc>
          <w:tcPr>
            <w:tcW w:w="1967" w:type="dxa"/>
            <w:vAlign w:val="center"/>
          </w:tcPr>
          <w:p w14:paraId="4391A3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AE41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AB891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4E79C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单枪耗气量（φ8mm/φ10mm）</w:t>
            </w:r>
          </w:p>
        </w:tc>
        <w:tc>
          <w:tcPr>
            <w:tcW w:w="3971" w:type="dxa"/>
            <w:vAlign w:val="center"/>
          </w:tcPr>
          <w:p w14:paraId="497DF4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6.0m3/min</w:t>
            </w:r>
          </w:p>
        </w:tc>
        <w:tc>
          <w:tcPr>
            <w:tcW w:w="1967" w:type="dxa"/>
            <w:vAlign w:val="center"/>
          </w:tcPr>
          <w:p w14:paraId="51A1EB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C405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CDC1E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tcPr>
          <w:p w14:paraId="093121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砂料种类及粒度使用范围</w:t>
            </w:r>
          </w:p>
        </w:tc>
        <w:tc>
          <w:tcPr>
            <w:tcW w:w="3971" w:type="dxa"/>
          </w:tcPr>
          <w:p w14:paraId="7A601F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刚玉类16-100目</w:t>
            </w:r>
          </w:p>
        </w:tc>
        <w:tc>
          <w:tcPr>
            <w:tcW w:w="1967" w:type="dxa"/>
            <w:vAlign w:val="center"/>
          </w:tcPr>
          <w:p w14:paraId="0CB4DA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81CB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5EBD3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tcPr>
          <w:p w14:paraId="529A3B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表面清理等级</w:t>
            </w:r>
          </w:p>
        </w:tc>
        <w:tc>
          <w:tcPr>
            <w:tcW w:w="3971" w:type="dxa"/>
          </w:tcPr>
          <w:p w14:paraId="393527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参考Sa2.5-3(GB8923-88)</w:t>
            </w:r>
          </w:p>
        </w:tc>
        <w:tc>
          <w:tcPr>
            <w:tcW w:w="1967" w:type="dxa"/>
            <w:vAlign w:val="center"/>
          </w:tcPr>
          <w:p w14:paraId="245939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B203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BDAA8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tcPr>
          <w:p w14:paraId="1EB833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表面粗糙度</w:t>
            </w:r>
          </w:p>
        </w:tc>
        <w:tc>
          <w:tcPr>
            <w:tcW w:w="3971" w:type="dxa"/>
          </w:tcPr>
          <w:p w14:paraId="5A61F5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20-50um(按工艺要求执行)</w:t>
            </w:r>
          </w:p>
        </w:tc>
        <w:tc>
          <w:tcPr>
            <w:tcW w:w="1967" w:type="dxa"/>
            <w:vAlign w:val="center"/>
          </w:tcPr>
          <w:p w14:paraId="69C67D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0283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restart"/>
            <w:vAlign w:val="center"/>
          </w:tcPr>
          <w:p w14:paraId="7E5DDF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413E06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空调式喷砂头盔（套）</w:t>
            </w:r>
          </w:p>
        </w:tc>
        <w:tc>
          <w:tcPr>
            <w:tcW w:w="3971" w:type="dxa"/>
            <w:vAlign w:val="center"/>
          </w:tcPr>
          <w:p w14:paraId="5E2372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67" w:type="dxa"/>
            <w:vAlign w:val="center"/>
          </w:tcPr>
          <w:p w14:paraId="532367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632F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continue"/>
            <w:vAlign w:val="center"/>
          </w:tcPr>
          <w:p w14:paraId="4C22AB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C0445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专用喷砂服（套）</w:t>
            </w:r>
          </w:p>
        </w:tc>
        <w:tc>
          <w:tcPr>
            <w:tcW w:w="3971" w:type="dxa"/>
            <w:vAlign w:val="center"/>
          </w:tcPr>
          <w:p w14:paraId="644F16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67" w:type="dxa"/>
            <w:vAlign w:val="center"/>
          </w:tcPr>
          <w:p w14:paraId="5024EF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F811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continue"/>
            <w:vAlign w:val="center"/>
          </w:tcPr>
          <w:p w14:paraId="7F8B8B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624CA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空气压力（MPa）</w:t>
            </w:r>
          </w:p>
        </w:tc>
        <w:tc>
          <w:tcPr>
            <w:tcW w:w="3971" w:type="dxa"/>
            <w:vAlign w:val="center"/>
          </w:tcPr>
          <w:p w14:paraId="1A6C77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0.4—0.7</w:t>
            </w:r>
          </w:p>
        </w:tc>
        <w:tc>
          <w:tcPr>
            <w:tcW w:w="1967" w:type="dxa"/>
            <w:vAlign w:val="center"/>
          </w:tcPr>
          <w:p w14:paraId="6966E3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D809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continue"/>
            <w:vAlign w:val="center"/>
          </w:tcPr>
          <w:p w14:paraId="1DAD2F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1EBDB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温度调节范围（℃）</w:t>
            </w:r>
          </w:p>
        </w:tc>
        <w:tc>
          <w:tcPr>
            <w:tcW w:w="3971" w:type="dxa"/>
            <w:vAlign w:val="center"/>
          </w:tcPr>
          <w:p w14:paraId="6200A7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10--24</w:t>
            </w:r>
          </w:p>
        </w:tc>
        <w:tc>
          <w:tcPr>
            <w:tcW w:w="1967" w:type="dxa"/>
            <w:vAlign w:val="center"/>
          </w:tcPr>
          <w:p w14:paraId="4CC222A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46512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0E8416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中小件打磨室主要技术参数</w:t>
      </w:r>
      <w:bookmarkEnd w:id="90"/>
      <w:r>
        <w:rPr>
          <w:rFonts w:hint="eastAsia" w:ascii="宋体" w:hAnsi="宋体" w:eastAsia="宋体" w:cs="宋体"/>
          <w:b/>
          <w:bCs/>
          <w:sz w:val="24"/>
          <w:szCs w:val="24"/>
          <w:lang w:val="en-US" w:eastAsia="zh-CN"/>
        </w:rPr>
        <w:t>（数量：1台套）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515A5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53CE1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6A6848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38D5AD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137E99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47366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B5D42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28DB43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642676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供工件打磨除尘用</w:t>
            </w:r>
          </w:p>
        </w:tc>
        <w:tc>
          <w:tcPr>
            <w:tcW w:w="1967" w:type="dxa"/>
            <w:vAlign w:val="center"/>
          </w:tcPr>
          <w:p w14:paraId="065114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B6A9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3DEA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3C08DB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971" w:type="dxa"/>
            <w:vAlign w:val="center"/>
          </w:tcPr>
          <w:p w14:paraId="7B7088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18000×7350×8000mm</w:t>
            </w:r>
          </w:p>
        </w:tc>
        <w:tc>
          <w:tcPr>
            <w:tcW w:w="1967" w:type="dxa"/>
            <w:vAlign w:val="center"/>
          </w:tcPr>
          <w:p w14:paraId="458C99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2D471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B037D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1258B3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打磨时送风</w:t>
            </w:r>
          </w:p>
        </w:tc>
        <w:tc>
          <w:tcPr>
            <w:tcW w:w="3971" w:type="dxa"/>
            <w:vAlign w:val="center"/>
          </w:tcPr>
          <w:p w14:paraId="6BCCE3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自然进风</w:t>
            </w:r>
          </w:p>
        </w:tc>
        <w:tc>
          <w:tcPr>
            <w:tcW w:w="1967" w:type="dxa"/>
            <w:vAlign w:val="center"/>
          </w:tcPr>
          <w:p w14:paraId="5CBEFD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F4E4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EBE4F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0C4E26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打磨时排风量</w:t>
            </w:r>
          </w:p>
        </w:tc>
        <w:tc>
          <w:tcPr>
            <w:tcW w:w="3971" w:type="dxa"/>
            <w:vAlign w:val="center"/>
          </w:tcPr>
          <w:p w14:paraId="386174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73820m3/h</w:t>
            </w:r>
          </w:p>
        </w:tc>
        <w:tc>
          <w:tcPr>
            <w:tcW w:w="1967" w:type="dxa"/>
            <w:vAlign w:val="center"/>
          </w:tcPr>
          <w:p w14:paraId="0A42D1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C7A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21E14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3C9BB1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设备风速</w:t>
            </w:r>
          </w:p>
        </w:tc>
        <w:tc>
          <w:tcPr>
            <w:tcW w:w="3971" w:type="dxa"/>
            <w:vAlign w:val="center"/>
          </w:tcPr>
          <w:p w14:paraId="1A5C90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～0.15m/s</w:t>
            </w:r>
          </w:p>
        </w:tc>
        <w:tc>
          <w:tcPr>
            <w:tcW w:w="1967" w:type="dxa"/>
            <w:vAlign w:val="center"/>
          </w:tcPr>
          <w:p w14:paraId="5290BB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D67B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A3BDC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399A70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971" w:type="dxa"/>
            <w:vAlign w:val="center"/>
          </w:tcPr>
          <w:p w14:paraId="775169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30*200W=6000W</w:t>
            </w:r>
          </w:p>
        </w:tc>
        <w:tc>
          <w:tcPr>
            <w:tcW w:w="1967" w:type="dxa"/>
            <w:vAlign w:val="center"/>
          </w:tcPr>
          <w:p w14:paraId="445880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30盏</w:t>
            </w:r>
          </w:p>
        </w:tc>
      </w:tr>
      <w:tr w14:paraId="10F27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67C70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3D0662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971" w:type="dxa"/>
            <w:vAlign w:val="center"/>
          </w:tcPr>
          <w:p w14:paraId="7B3056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5C88B7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92EF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68F6C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970C6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41F1E9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3C0BC3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1921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3DF04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5B07D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6F67D6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18C40A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7679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73437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05A0FE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防爆电动三维小车</w:t>
            </w:r>
          </w:p>
        </w:tc>
        <w:tc>
          <w:tcPr>
            <w:tcW w:w="3971" w:type="dxa"/>
            <w:vAlign w:val="center"/>
          </w:tcPr>
          <w:p w14:paraId="5D5BF7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3DFBA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2台</w:t>
            </w:r>
          </w:p>
        </w:tc>
      </w:tr>
      <w:tr w14:paraId="5FE87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36F9C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60310E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安装总功率</w:t>
            </w:r>
          </w:p>
        </w:tc>
        <w:tc>
          <w:tcPr>
            <w:tcW w:w="3971" w:type="dxa"/>
            <w:vAlign w:val="center"/>
          </w:tcPr>
          <w:p w14:paraId="0861E1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80kw</w:t>
            </w:r>
          </w:p>
        </w:tc>
        <w:tc>
          <w:tcPr>
            <w:tcW w:w="1967" w:type="dxa"/>
            <w:vAlign w:val="center"/>
          </w:tcPr>
          <w:p w14:paraId="46149D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6AD0A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763EF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超大件打磨室主要技术参数（数量：1台套）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786F7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E2F59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5EB2AF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14FA7E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67223D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7AD94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55D85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309BF6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366FDB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供工件打磨除尘用</w:t>
            </w:r>
          </w:p>
        </w:tc>
        <w:tc>
          <w:tcPr>
            <w:tcW w:w="1967" w:type="dxa"/>
            <w:vAlign w:val="center"/>
          </w:tcPr>
          <w:p w14:paraId="10A498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E68E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98A09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6438AE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971" w:type="dxa"/>
            <w:vAlign w:val="center"/>
          </w:tcPr>
          <w:p w14:paraId="013713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21000×7350×8000mm</w:t>
            </w:r>
          </w:p>
        </w:tc>
        <w:tc>
          <w:tcPr>
            <w:tcW w:w="1967" w:type="dxa"/>
            <w:vAlign w:val="center"/>
          </w:tcPr>
          <w:p w14:paraId="34E40D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698DE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C1B1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05182E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打磨时送风</w:t>
            </w:r>
          </w:p>
        </w:tc>
        <w:tc>
          <w:tcPr>
            <w:tcW w:w="3971" w:type="dxa"/>
            <w:vAlign w:val="center"/>
          </w:tcPr>
          <w:p w14:paraId="69A670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自然进风</w:t>
            </w:r>
          </w:p>
        </w:tc>
        <w:tc>
          <w:tcPr>
            <w:tcW w:w="1967" w:type="dxa"/>
            <w:vAlign w:val="center"/>
          </w:tcPr>
          <w:p w14:paraId="37510D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7FE8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2A35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47D48F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打磨时排风量</w:t>
            </w:r>
          </w:p>
        </w:tc>
        <w:tc>
          <w:tcPr>
            <w:tcW w:w="3971" w:type="dxa"/>
            <w:vAlign w:val="center"/>
          </w:tcPr>
          <w:p w14:paraId="6BDA74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89160m3/h</w:t>
            </w:r>
          </w:p>
        </w:tc>
        <w:tc>
          <w:tcPr>
            <w:tcW w:w="1967" w:type="dxa"/>
            <w:vAlign w:val="center"/>
          </w:tcPr>
          <w:p w14:paraId="31E6EA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1AF1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42ADE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5C884F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设备风速</w:t>
            </w:r>
          </w:p>
        </w:tc>
        <w:tc>
          <w:tcPr>
            <w:tcW w:w="3971" w:type="dxa"/>
            <w:vAlign w:val="center"/>
          </w:tcPr>
          <w:p w14:paraId="75C016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～0.15m/s</w:t>
            </w:r>
          </w:p>
        </w:tc>
        <w:tc>
          <w:tcPr>
            <w:tcW w:w="1967" w:type="dxa"/>
            <w:vAlign w:val="center"/>
          </w:tcPr>
          <w:p w14:paraId="57B9B1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2F24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31662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0DC4E49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971" w:type="dxa"/>
            <w:vAlign w:val="center"/>
          </w:tcPr>
          <w:p w14:paraId="7D32CF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30*200W=7200W</w:t>
            </w:r>
          </w:p>
        </w:tc>
        <w:tc>
          <w:tcPr>
            <w:tcW w:w="1967" w:type="dxa"/>
            <w:vAlign w:val="center"/>
          </w:tcPr>
          <w:p w14:paraId="2643F1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36盏</w:t>
            </w:r>
          </w:p>
        </w:tc>
      </w:tr>
      <w:tr w14:paraId="3BA1C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0FF7C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1EA32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971" w:type="dxa"/>
            <w:vAlign w:val="center"/>
          </w:tcPr>
          <w:p w14:paraId="13DED7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34B920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F30E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26E26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36F9B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1BB5BC5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4B5A0A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24B2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ACF14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9BEBB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7C7BBF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58515E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95C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A4B2F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7B8319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防爆电动三维小车</w:t>
            </w:r>
          </w:p>
        </w:tc>
        <w:tc>
          <w:tcPr>
            <w:tcW w:w="3971" w:type="dxa"/>
            <w:vAlign w:val="center"/>
          </w:tcPr>
          <w:p w14:paraId="2E6F4B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592312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2台</w:t>
            </w:r>
          </w:p>
        </w:tc>
      </w:tr>
      <w:tr w14:paraId="491D4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FB4FC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1F5AD5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安装总功率</w:t>
            </w:r>
          </w:p>
        </w:tc>
        <w:tc>
          <w:tcPr>
            <w:tcW w:w="3971" w:type="dxa"/>
            <w:vAlign w:val="center"/>
          </w:tcPr>
          <w:p w14:paraId="0B0171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86kw</w:t>
            </w:r>
          </w:p>
        </w:tc>
        <w:tc>
          <w:tcPr>
            <w:tcW w:w="1967" w:type="dxa"/>
            <w:vAlign w:val="center"/>
          </w:tcPr>
          <w:p w14:paraId="60D6F1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013A83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14:paraId="48F6BB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小件喷烘一体房主要技术参数（单套，计2套）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688"/>
        <w:gridCol w:w="2250"/>
      </w:tblGrid>
      <w:tr w14:paraId="539C8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92" w:type="dxa"/>
            <w:vAlign w:val="center"/>
          </w:tcPr>
          <w:p w14:paraId="50A0F1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6CFAC8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688" w:type="dxa"/>
            <w:vAlign w:val="center"/>
          </w:tcPr>
          <w:p w14:paraId="640FA7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2250" w:type="dxa"/>
            <w:vAlign w:val="center"/>
          </w:tcPr>
          <w:p w14:paraId="0D3476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01848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1CDD2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71D252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688" w:type="dxa"/>
            <w:vAlign w:val="center"/>
          </w:tcPr>
          <w:p w14:paraId="65A8D4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供工件喷漆、烘干用</w:t>
            </w:r>
          </w:p>
        </w:tc>
        <w:tc>
          <w:tcPr>
            <w:tcW w:w="2250" w:type="dxa"/>
            <w:vAlign w:val="center"/>
          </w:tcPr>
          <w:p w14:paraId="70247F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F135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4D885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4AB0A6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w:t>
            </w:r>
          </w:p>
        </w:tc>
        <w:tc>
          <w:tcPr>
            <w:tcW w:w="3688" w:type="dxa"/>
            <w:vAlign w:val="center"/>
          </w:tcPr>
          <w:p w14:paraId="0CB8F2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通过式</w:t>
            </w:r>
          </w:p>
        </w:tc>
        <w:tc>
          <w:tcPr>
            <w:tcW w:w="2250" w:type="dxa"/>
            <w:vAlign w:val="center"/>
          </w:tcPr>
          <w:p w14:paraId="48691E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FD39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7359F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04BEA5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小件喷烘室设备内径尺寸</w:t>
            </w:r>
          </w:p>
        </w:tc>
        <w:tc>
          <w:tcPr>
            <w:tcW w:w="3688" w:type="dxa"/>
            <w:vAlign w:val="center"/>
          </w:tcPr>
          <w:p w14:paraId="60A52A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15000×7350×8000mm</w:t>
            </w:r>
          </w:p>
        </w:tc>
        <w:tc>
          <w:tcPr>
            <w:tcW w:w="2250" w:type="dxa"/>
            <w:vAlign w:val="center"/>
          </w:tcPr>
          <w:p w14:paraId="5F21EF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4D9E8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A1382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10DFB8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喷漆时设备风速</w:t>
            </w:r>
          </w:p>
        </w:tc>
        <w:tc>
          <w:tcPr>
            <w:tcW w:w="3688" w:type="dxa"/>
            <w:vAlign w:val="center"/>
          </w:tcPr>
          <w:p w14:paraId="08843F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≥0.25m/s</w:t>
            </w:r>
          </w:p>
        </w:tc>
        <w:tc>
          <w:tcPr>
            <w:tcW w:w="2250" w:type="dxa"/>
            <w:vAlign w:val="center"/>
          </w:tcPr>
          <w:p w14:paraId="0ED844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分段送风</w:t>
            </w:r>
          </w:p>
        </w:tc>
      </w:tr>
      <w:tr w14:paraId="3F555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1185D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779742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喷漆时送排风方式</w:t>
            </w:r>
          </w:p>
        </w:tc>
        <w:tc>
          <w:tcPr>
            <w:tcW w:w="3688" w:type="dxa"/>
            <w:vAlign w:val="center"/>
          </w:tcPr>
          <w:p w14:paraId="702E50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上送下抽/干式</w:t>
            </w:r>
          </w:p>
        </w:tc>
        <w:tc>
          <w:tcPr>
            <w:tcW w:w="2250" w:type="dxa"/>
            <w:vAlign w:val="center"/>
          </w:tcPr>
          <w:p w14:paraId="2E22E9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FB70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47E2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2BB52B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漆雾处理方式</w:t>
            </w:r>
          </w:p>
        </w:tc>
        <w:tc>
          <w:tcPr>
            <w:tcW w:w="3688" w:type="dxa"/>
            <w:vAlign w:val="center"/>
          </w:tcPr>
          <w:p w14:paraId="294D17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玻璃纤维过滤毡</w:t>
            </w:r>
          </w:p>
        </w:tc>
        <w:tc>
          <w:tcPr>
            <w:tcW w:w="2250" w:type="dxa"/>
            <w:vAlign w:val="center"/>
          </w:tcPr>
          <w:p w14:paraId="38E646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1E42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6738A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00E5FE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小件喷烘室设喷漆时送风</w:t>
            </w:r>
          </w:p>
        </w:tc>
        <w:tc>
          <w:tcPr>
            <w:tcW w:w="3688" w:type="dxa"/>
            <w:vAlign w:val="center"/>
          </w:tcPr>
          <w:p w14:paraId="590E3A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104000m3/h，分二段</w:t>
            </w:r>
          </w:p>
        </w:tc>
        <w:tc>
          <w:tcPr>
            <w:tcW w:w="2250" w:type="dxa"/>
            <w:vAlign w:val="center"/>
          </w:tcPr>
          <w:p w14:paraId="1E5158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E6CF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92B94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bookmarkStart w:id="91" w:name="_Hlk204402032"/>
            <w:r>
              <w:rPr>
                <w:rFonts w:hint="eastAsia" w:ascii="宋体" w:hAnsi="宋体" w:eastAsia="宋体" w:cs="宋体"/>
                <w:sz w:val="24"/>
                <w:szCs w:val="24"/>
                <w:lang w:val="en-US" w:eastAsia="zh-CN"/>
              </w:rPr>
              <w:t>8</w:t>
            </w:r>
          </w:p>
        </w:tc>
        <w:tc>
          <w:tcPr>
            <w:tcW w:w="2693" w:type="dxa"/>
            <w:vAlign w:val="center"/>
          </w:tcPr>
          <w:p w14:paraId="49846E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3688" w:type="dxa"/>
            <w:vAlign w:val="center"/>
          </w:tcPr>
          <w:p w14:paraId="299A2E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YDW11-6.3M</w:t>
            </w:r>
          </w:p>
        </w:tc>
        <w:tc>
          <w:tcPr>
            <w:tcW w:w="2250" w:type="dxa"/>
            <w:vAlign w:val="center"/>
          </w:tcPr>
          <w:p w14:paraId="624295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4454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E76A0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79DC4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24C319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26000m3/h*11Kw-4台</w:t>
            </w:r>
          </w:p>
        </w:tc>
        <w:tc>
          <w:tcPr>
            <w:tcW w:w="2250" w:type="dxa"/>
            <w:vAlign w:val="center"/>
          </w:tcPr>
          <w:p w14:paraId="268C0C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bookmarkEnd w:id="91"/>
      <w:tr w14:paraId="10B10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AEFCF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44E7FD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加热系统</w:t>
            </w:r>
          </w:p>
        </w:tc>
        <w:tc>
          <w:tcPr>
            <w:tcW w:w="3688" w:type="dxa"/>
            <w:vAlign w:val="center"/>
          </w:tcPr>
          <w:p w14:paraId="06FF5F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天然气加热</w:t>
            </w:r>
          </w:p>
        </w:tc>
        <w:tc>
          <w:tcPr>
            <w:tcW w:w="2250" w:type="dxa"/>
            <w:vAlign w:val="center"/>
          </w:tcPr>
          <w:p w14:paraId="2BA7AE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7E1E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EC92F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3D8E7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024D7D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RS50利雅路燃烧器*2</w:t>
            </w:r>
          </w:p>
        </w:tc>
        <w:tc>
          <w:tcPr>
            <w:tcW w:w="2250" w:type="dxa"/>
            <w:vAlign w:val="center"/>
          </w:tcPr>
          <w:p w14:paraId="727B16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6510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12629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CE694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762567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50万大卡/时*2</w:t>
            </w:r>
          </w:p>
        </w:tc>
        <w:tc>
          <w:tcPr>
            <w:tcW w:w="2250" w:type="dxa"/>
            <w:vAlign w:val="center"/>
          </w:tcPr>
          <w:p w14:paraId="084486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CDED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1634F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67E6DF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升温喷漆</w:t>
            </w:r>
          </w:p>
        </w:tc>
        <w:tc>
          <w:tcPr>
            <w:tcW w:w="3688" w:type="dxa"/>
            <w:vAlign w:val="center"/>
          </w:tcPr>
          <w:p w14:paraId="38E1A3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喷漆温度，天然气加热</w:t>
            </w:r>
          </w:p>
        </w:tc>
        <w:tc>
          <w:tcPr>
            <w:tcW w:w="2250" w:type="dxa"/>
            <w:vAlign w:val="center"/>
          </w:tcPr>
          <w:p w14:paraId="252726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BC7A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609C7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693" w:type="dxa"/>
            <w:vAlign w:val="center"/>
          </w:tcPr>
          <w:p w14:paraId="2EAA2B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烘干温度</w:t>
            </w:r>
          </w:p>
        </w:tc>
        <w:tc>
          <w:tcPr>
            <w:tcW w:w="3688" w:type="dxa"/>
            <w:vAlign w:val="center"/>
          </w:tcPr>
          <w:p w14:paraId="719DD4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60～80℃</w:t>
            </w:r>
          </w:p>
        </w:tc>
        <w:tc>
          <w:tcPr>
            <w:tcW w:w="2250" w:type="dxa"/>
            <w:vAlign w:val="center"/>
          </w:tcPr>
          <w:p w14:paraId="298678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C75B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8B593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693" w:type="dxa"/>
            <w:vAlign w:val="center"/>
          </w:tcPr>
          <w:p w14:paraId="131716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喷漆时排风</w:t>
            </w:r>
          </w:p>
        </w:tc>
        <w:tc>
          <w:tcPr>
            <w:tcW w:w="3688" w:type="dxa"/>
            <w:vAlign w:val="center"/>
          </w:tcPr>
          <w:p w14:paraId="174EC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与废气装置共用排风机</w:t>
            </w:r>
          </w:p>
        </w:tc>
        <w:tc>
          <w:tcPr>
            <w:tcW w:w="2250" w:type="dxa"/>
            <w:vAlign w:val="center"/>
          </w:tcPr>
          <w:p w14:paraId="36C18A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8F40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1F8D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693" w:type="dxa"/>
            <w:vAlign w:val="center"/>
          </w:tcPr>
          <w:p w14:paraId="553A0D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烘干时抽废气风机</w:t>
            </w:r>
          </w:p>
        </w:tc>
        <w:tc>
          <w:tcPr>
            <w:tcW w:w="3688" w:type="dxa"/>
            <w:vAlign w:val="center"/>
          </w:tcPr>
          <w:p w14:paraId="49D2E7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B4-72-4A，自然降温后接入废气处理装置</w:t>
            </w:r>
          </w:p>
        </w:tc>
        <w:tc>
          <w:tcPr>
            <w:tcW w:w="2250" w:type="dxa"/>
            <w:vAlign w:val="center"/>
          </w:tcPr>
          <w:p w14:paraId="68F38C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A2FB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A6AC5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8E4DD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437D91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6000m3/h（可调）/460pa/1.5kw</w:t>
            </w:r>
          </w:p>
        </w:tc>
        <w:tc>
          <w:tcPr>
            <w:tcW w:w="2250" w:type="dxa"/>
            <w:vAlign w:val="center"/>
          </w:tcPr>
          <w:p w14:paraId="7F7F7C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7B29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359D7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693" w:type="dxa"/>
            <w:vAlign w:val="center"/>
          </w:tcPr>
          <w:p w14:paraId="2B4683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688" w:type="dxa"/>
            <w:vAlign w:val="center"/>
          </w:tcPr>
          <w:p w14:paraId="03850E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24*200W=4800W</w:t>
            </w:r>
          </w:p>
        </w:tc>
        <w:tc>
          <w:tcPr>
            <w:tcW w:w="2250" w:type="dxa"/>
            <w:vAlign w:val="center"/>
          </w:tcPr>
          <w:p w14:paraId="45428E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24盏</w:t>
            </w:r>
          </w:p>
        </w:tc>
      </w:tr>
      <w:tr w14:paraId="5A4E2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E51DC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693" w:type="dxa"/>
            <w:vAlign w:val="center"/>
          </w:tcPr>
          <w:p w14:paraId="17C1BC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688" w:type="dxa"/>
            <w:vAlign w:val="center"/>
          </w:tcPr>
          <w:p w14:paraId="299695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250" w:type="dxa"/>
            <w:vAlign w:val="center"/>
          </w:tcPr>
          <w:p w14:paraId="30146B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9397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2705F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011918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688" w:type="dxa"/>
            <w:vAlign w:val="center"/>
          </w:tcPr>
          <w:p w14:paraId="1BF215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2250" w:type="dxa"/>
            <w:vAlign w:val="center"/>
          </w:tcPr>
          <w:p w14:paraId="52192B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6605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A8AFC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54908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636C8D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2250" w:type="dxa"/>
            <w:vAlign w:val="center"/>
          </w:tcPr>
          <w:p w14:paraId="29EB5C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BF41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50FCB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693" w:type="dxa"/>
            <w:vAlign w:val="center"/>
          </w:tcPr>
          <w:p w14:paraId="1D7A51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三维工作台</w:t>
            </w:r>
          </w:p>
        </w:tc>
        <w:tc>
          <w:tcPr>
            <w:tcW w:w="3688" w:type="dxa"/>
            <w:vAlign w:val="center"/>
          </w:tcPr>
          <w:p w14:paraId="7B5C47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（2.2+1.1+0.75）×2=8.1kw</w:t>
            </w:r>
          </w:p>
        </w:tc>
        <w:tc>
          <w:tcPr>
            <w:tcW w:w="2250" w:type="dxa"/>
            <w:vAlign w:val="center"/>
          </w:tcPr>
          <w:p w14:paraId="12FE9F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6907A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1253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693" w:type="dxa"/>
            <w:vAlign w:val="center"/>
          </w:tcPr>
          <w:p w14:paraId="2A8274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设备内工作噪声</w:t>
            </w:r>
          </w:p>
        </w:tc>
        <w:tc>
          <w:tcPr>
            <w:tcW w:w="3688" w:type="dxa"/>
            <w:vAlign w:val="center"/>
          </w:tcPr>
          <w:p w14:paraId="7EF3CD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 dB（A）</w:t>
            </w:r>
          </w:p>
        </w:tc>
        <w:tc>
          <w:tcPr>
            <w:tcW w:w="2250" w:type="dxa"/>
            <w:vAlign w:val="center"/>
          </w:tcPr>
          <w:p w14:paraId="452049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64992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38C6D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大件喷烘一体房主要技术参数（数量：1台套）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5AF0D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8815D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72718D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3C3D25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3BF60B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7E198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B270B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05B971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46DFAB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供工件喷漆、烘干用</w:t>
            </w:r>
          </w:p>
        </w:tc>
        <w:tc>
          <w:tcPr>
            <w:tcW w:w="1967" w:type="dxa"/>
            <w:vAlign w:val="center"/>
          </w:tcPr>
          <w:p w14:paraId="5DBAB6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6B89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B5B22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03CE03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w:t>
            </w:r>
          </w:p>
        </w:tc>
        <w:tc>
          <w:tcPr>
            <w:tcW w:w="3971" w:type="dxa"/>
            <w:vAlign w:val="center"/>
          </w:tcPr>
          <w:p w14:paraId="59F4BF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通过式</w:t>
            </w:r>
          </w:p>
        </w:tc>
        <w:tc>
          <w:tcPr>
            <w:tcW w:w="1967" w:type="dxa"/>
            <w:vAlign w:val="center"/>
          </w:tcPr>
          <w:p w14:paraId="071B49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0062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BED84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415A9B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大件喷烘室设备内径尺寸</w:t>
            </w:r>
          </w:p>
        </w:tc>
        <w:tc>
          <w:tcPr>
            <w:tcW w:w="3971" w:type="dxa"/>
            <w:vAlign w:val="center"/>
          </w:tcPr>
          <w:p w14:paraId="5D2419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18000×7350×8000mm</w:t>
            </w:r>
          </w:p>
        </w:tc>
        <w:tc>
          <w:tcPr>
            <w:tcW w:w="1967" w:type="dxa"/>
            <w:vAlign w:val="center"/>
          </w:tcPr>
          <w:p w14:paraId="065162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6BF11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21A39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60D478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喷漆时设备风速</w:t>
            </w:r>
          </w:p>
        </w:tc>
        <w:tc>
          <w:tcPr>
            <w:tcW w:w="3971" w:type="dxa"/>
            <w:vAlign w:val="center"/>
          </w:tcPr>
          <w:p w14:paraId="76A534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≥0.25m/s</w:t>
            </w:r>
          </w:p>
        </w:tc>
        <w:tc>
          <w:tcPr>
            <w:tcW w:w="1967" w:type="dxa"/>
            <w:vAlign w:val="center"/>
          </w:tcPr>
          <w:p w14:paraId="024476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分段送风</w:t>
            </w:r>
          </w:p>
        </w:tc>
      </w:tr>
      <w:tr w14:paraId="48422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2FB38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69CA3E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喷漆时送排风方式</w:t>
            </w:r>
          </w:p>
        </w:tc>
        <w:tc>
          <w:tcPr>
            <w:tcW w:w="3971" w:type="dxa"/>
            <w:vAlign w:val="center"/>
          </w:tcPr>
          <w:p w14:paraId="25D72D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上送下抽/干式</w:t>
            </w:r>
          </w:p>
        </w:tc>
        <w:tc>
          <w:tcPr>
            <w:tcW w:w="1967" w:type="dxa"/>
            <w:vAlign w:val="center"/>
          </w:tcPr>
          <w:p w14:paraId="31223F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A15F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4E8D7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163AD4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漆雾处理方式</w:t>
            </w:r>
          </w:p>
        </w:tc>
        <w:tc>
          <w:tcPr>
            <w:tcW w:w="3971" w:type="dxa"/>
            <w:vAlign w:val="center"/>
          </w:tcPr>
          <w:p w14:paraId="574285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玻璃纤维过滤毡</w:t>
            </w:r>
          </w:p>
        </w:tc>
        <w:tc>
          <w:tcPr>
            <w:tcW w:w="1967" w:type="dxa"/>
            <w:vAlign w:val="center"/>
          </w:tcPr>
          <w:p w14:paraId="30F327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DAA7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FF54E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66B69C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大件喷烘室设喷漆时送风</w:t>
            </w:r>
          </w:p>
        </w:tc>
        <w:tc>
          <w:tcPr>
            <w:tcW w:w="3971" w:type="dxa"/>
            <w:vAlign w:val="center"/>
          </w:tcPr>
          <w:p w14:paraId="1B6893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124800m3/h，分三段</w:t>
            </w:r>
          </w:p>
        </w:tc>
        <w:tc>
          <w:tcPr>
            <w:tcW w:w="1967" w:type="dxa"/>
            <w:vAlign w:val="center"/>
          </w:tcPr>
          <w:p w14:paraId="743EA1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18C7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F8DD2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234F91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3971" w:type="dxa"/>
            <w:vAlign w:val="center"/>
          </w:tcPr>
          <w:p w14:paraId="452C74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YDW11-6.0A</w:t>
            </w:r>
          </w:p>
        </w:tc>
        <w:tc>
          <w:tcPr>
            <w:tcW w:w="1967" w:type="dxa"/>
            <w:vAlign w:val="center"/>
          </w:tcPr>
          <w:p w14:paraId="244E51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B31C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A88BC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755EA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57031B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20800m3/h*9Kw-6台</w:t>
            </w:r>
          </w:p>
        </w:tc>
        <w:tc>
          <w:tcPr>
            <w:tcW w:w="1967" w:type="dxa"/>
            <w:vAlign w:val="center"/>
          </w:tcPr>
          <w:p w14:paraId="457D97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A8C6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F586D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7704B9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加热系统</w:t>
            </w:r>
          </w:p>
        </w:tc>
        <w:tc>
          <w:tcPr>
            <w:tcW w:w="3971" w:type="dxa"/>
            <w:vAlign w:val="center"/>
          </w:tcPr>
          <w:p w14:paraId="1E367A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天然气加热</w:t>
            </w:r>
          </w:p>
        </w:tc>
        <w:tc>
          <w:tcPr>
            <w:tcW w:w="1967" w:type="dxa"/>
            <w:vAlign w:val="center"/>
          </w:tcPr>
          <w:p w14:paraId="0F49F2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545C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D915C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19422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0DAE7B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RS44利雅路燃烧器*3</w:t>
            </w:r>
          </w:p>
        </w:tc>
        <w:tc>
          <w:tcPr>
            <w:tcW w:w="1967" w:type="dxa"/>
            <w:vAlign w:val="center"/>
          </w:tcPr>
          <w:p w14:paraId="3403DC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78B7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3B337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34EECD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777A5B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44万大卡/时*3</w:t>
            </w:r>
          </w:p>
        </w:tc>
        <w:tc>
          <w:tcPr>
            <w:tcW w:w="1967" w:type="dxa"/>
            <w:vAlign w:val="center"/>
          </w:tcPr>
          <w:p w14:paraId="1C5EFF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03B15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B7AAB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133779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升温喷漆</w:t>
            </w:r>
          </w:p>
        </w:tc>
        <w:tc>
          <w:tcPr>
            <w:tcW w:w="3971" w:type="dxa"/>
            <w:vAlign w:val="center"/>
          </w:tcPr>
          <w:p w14:paraId="510C87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喷漆温度，天然气加热</w:t>
            </w:r>
          </w:p>
        </w:tc>
        <w:tc>
          <w:tcPr>
            <w:tcW w:w="1967" w:type="dxa"/>
            <w:vAlign w:val="center"/>
          </w:tcPr>
          <w:p w14:paraId="27E7CE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A72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4C096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693" w:type="dxa"/>
            <w:vAlign w:val="center"/>
          </w:tcPr>
          <w:p w14:paraId="4D3B7F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烘干温度</w:t>
            </w:r>
          </w:p>
        </w:tc>
        <w:tc>
          <w:tcPr>
            <w:tcW w:w="3971" w:type="dxa"/>
            <w:vAlign w:val="center"/>
          </w:tcPr>
          <w:p w14:paraId="77CBD3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60～80℃</w:t>
            </w:r>
          </w:p>
        </w:tc>
        <w:tc>
          <w:tcPr>
            <w:tcW w:w="1967" w:type="dxa"/>
            <w:vAlign w:val="center"/>
          </w:tcPr>
          <w:p w14:paraId="7B1D16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F3CE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AA126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693" w:type="dxa"/>
            <w:vAlign w:val="center"/>
          </w:tcPr>
          <w:p w14:paraId="13B926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喷漆时排风</w:t>
            </w:r>
          </w:p>
        </w:tc>
        <w:tc>
          <w:tcPr>
            <w:tcW w:w="3971" w:type="dxa"/>
            <w:vAlign w:val="center"/>
          </w:tcPr>
          <w:p w14:paraId="3CF537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与废气装置共用排风机</w:t>
            </w:r>
          </w:p>
        </w:tc>
        <w:tc>
          <w:tcPr>
            <w:tcW w:w="1967" w:type="dxa"/>
            <w:vAlign w:val="center"/>
          </w:tcPr>
          <w:p w14:paraId="6C8AC0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D8D6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E5337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693" w:type="dxa"/>
            <w:vAlign w:val="center"/>
          </w:tcPr>
          <w:p w14:paraId="215F1A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烘干时抽废气风机</w:t>
            </w:r>
          </w:p>
        </w:tc>
        <w:tc>
          <w:tcPr>
            <w:tcW w:w="3971" w:type="dxa"/>
            <w:vAlign w:val="center"/>
          </w:tcPr>
          <w:p w14:paraId="1C5AF5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B4-72-5A，自然降温后接入废气处理装置</w:t>
            </w:r>
          </w:p>
        </w:tc>
        <w:tc>
          <w:tcPr>
            <w:tcW w:w="1967" w:type="dxa"/>
            <w:vAlign w:val="center"/>
          </w:tcPr>
          <w:p w14:paraId="79FE80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F88F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E763A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41A08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4968FF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7000m3/h（可调）/460pa/1.5kw</w:t>
            </w:r>
          </w:p>
        </w:tc>
        <w:tc>
          <w:tcPr>
            <w:tcW w:w="1967" w:type="dxa"/>
            <w:vAlign w:val="center"/>
          </w:tcPr>
          <w:p w14:paraId="721797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49FD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2E0CC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693" w:type="dxa"/>
            <w:vAlign w:val="center"/>
          </w:tcPr>
          <w:p w14:paraId="25DF5C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971" w:type="dxa"/>
            <w:vAlign w:val="center"/>
          </w:tcPr>
          <w:p w14:paraId="10056A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30*200W=6000W</w:t>
            </w:r>
          </w:p>
        </w:tc>
        <w:tc>
          <w:tcPr>
            <w:tcW w:w="1967" w:type="dxa"/>
            <w:vAlign w:val="center"/>
          </w:tcPr>
          <w:p w14:paraId="2E1391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30盏</w:t>
            </w:r>
          </w:p>
        </w:tc>
      </w:tr>
      <w:tr w14:paraId="3A1FD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EA1D0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693" w:type="dxa"/>
            <w:vAlign w:val="center"/>
          </w:tcPr>
          <w:p w14:paraId="17B9CD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971" w:type="dxa"/>
            <w:vAlign w:val="center"/>
          </w:tcPr>
          <w:p w14:paraId="0C3BB6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21261C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AD2D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A970F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2BBAE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7D1184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526344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EB9F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09541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0C582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7B892D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219A7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CF3A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16DE0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693" w:type="dxa"/>
            <w:vAlign w:val="center"/>
          </w:tcPr>
          <w:p w14:paraId="482181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三维工作台</w:t>
            </w:r>
          </w:p>
        </w:tc>
        <w:tc>
          <w:tcPr>
            <w:tcW w:w="3971" w:type="dxa"/>
            <w:vAlign w:val="center"/>
          </w:tcPr>
          <w:p w14:paraId="33E83C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（2.2+1.1+0.75）×2=8.1kw</w:t>
            </w:r>
          </w:p>
        </w:tc>
        <w:tc>
          <w:tcPr>
            <w:tcW w:w="1967" w:type="dxa"/>
            <w:vAlign w:val="center"/>
          </w:tcPr>
          <w:p w14:paraId="207B6B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7C4D3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2F0E9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693" w:type="dxa"/>
            <w:vAlign w:val="center"/>
          </w:tcPr>
          <w:p w14:paraId="224587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设备内工作噪声</w:t>
            </w:r>
          </w:p>
        </w:tc>
        <w:tc>
          <w:tcPr>
            <w:tcW w:w="3971" w:type="dxa"/>
            <w:vAlign w:val="center"/>
          </w:tcPr>
          <w:p w14:paraId="5B9DEA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 dB（A）</w:t>
            </w:r>
          </w:p>
        </w:tc>
        <w:tc>
          <w:tcPr>
            <w:tcW w:w="1967" w:type="dxa"/>
            <w:vAlign w:val="center"/>
          </w:tcPr>
          <w:p w14:paraId="51510B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49DC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1B461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D42714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5A7C92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3BA67E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3EC1FB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p>
    <w:p w14:paraId="47D4A2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超大件喷烘一体房主要技术参数（数量：1台套）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830"/>
        <w:gridCol w:w="2108"/>
      </w:tblGrid>
      <w:tr w14:paraId="32FAF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9FE71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2BB77B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830" w:type="dxa"/>
            <w:vAlign w:val="center"/>
          </w:tcPr>
          <w:p w14:paraId="11503E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2108" w:type="dxa"/>
            <w:vAlign w:val="center"/>
          </w:tcPr>
          <w:p w14:paraId="26A5AB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1DB2F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7D17D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bookmarkStart w:id="92" w:name="_Hlk209007188"/>
            <w:r>
              <w:rPr>
                <w:rFonts w:hint="eastAsia" w:ascii="宋体" w:hAnsi="宋体" w:eastAsia="宋体" w:cs="宋体"/>
                <w:sz w:val="24"/>
                <w:szCs w:val="24"/>
                <w:lang w:val="en-US" w:eastAsia="zh-CN"/>
              </w:rPr>
              <w:t>1</w:t>
            </w:r>
          </w:p>
        </w:tc>
        <w:tc>
          <w:tcPr>
            <w:tcW w:w="2693" w:type="dxa"/>
            <w:vAlign w:val="center"/>
          </w:tcPr>
          <w:p w14:paraId="70981E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830" w:type="dxa"/>
            <w:vAlign w:val="center"/>
          </w:tcPr>
          <w:p w14:paraId="324C2C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供工件喷漆、烘干用</w:t>
            </w:r>
          </w:p>
        </w:tc>
        <w:tc>
          <w:tcPr>
            <w:tcW w:w="2108" w:type="dxa"/>
            <w:vAlign w:val="center"/>
          </w:tcPr>
          <w:p w14:paraId="6AA6EC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CAB0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2DBA4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2D3C26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w:t>
            </w:r>
          </w:p>
        </w:tc>
        <w:tc>
          <w:tcPr>
            <w:tcW w:w="3830" w:type="dxa"/>
            <w:vAlign w:val="center"/>
          </w:tcPr>
          <w:p w14:paraId="76E774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通过式</w:t>
            </w:r>
          </w:p>
        </w:tc>
        <w:tc>
          <w:tcPr>
            <w:tcW w:w="2108" w:type="dxa"/>
            <w:vAlign w:val="center"/>
          </w:tcPr>
          <w:p w14:paraId="45FB8E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18C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C5E56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126813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小件喷烘室设备内径尺寸</w:t>
            </w:r>
          </w:p>
        </w:tc>
        <w:tc>
          <w:tcPr>
            <w:tcW w:w="3830" w:type="dxa"/>
            <w:vAlign w:val="center"/>
          </w:tcPr>
          <w:p w14:paraId="718A59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21000×7350×8000mm</w:t>
            </w:r>
          </w:p>
        </w:tc>
        <w:tc>
          <w:tcPr>
            <w:tcW w:w="2108" w:type="dxa"/>
            <w:vAlign w:val="center"/>
          </w:tcPr>
          <w:p w14:paraId="6A8904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78C7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FF755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3F7DF5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喷漆时设备风速</w:t>
            </w:r>
          </w:p>
        </w:tc>
        <w:tc>
          <w:tcPr>
            <w:tcW w:w="3830" w:type="dxa"/>
            <w:vAlign w:val="center"/>
          </w:tcPr>
          <w:p w14:paraId="262FD82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≥0.25m/s</w:t>
            </w:r>
          </w:p>
        </w:tc>
        <w:tc>
          <w:tcPr>
            <w:tcW w:w="2108" w:type="dxa"/>
            <w:vAlign w:val="center"/>
          </w:tcPr>
          <w:p w14:paraId="7BFFD2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分段送风</w:t>
            </w:r>
          </w:p>
        </w:tc>
      </w:tr>
      <w:tr w14:paraId="11954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B6E5D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06C0CC4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喷漆时送排风方式</w:t>
            </w:r>
          </w:p>
        </w:tc>
        <w:tc>
          <w:tcPr>
            <w:tcW w:w="3830" w:type="dxa"/>
            <w:vAlign w:val="center"/>
          </w:tcPr>
          <w:p w14:paraId="448B84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上送下抽/干式</w:t>
            </w:r>
          </w:p>
        </w:tc>
        <w:tc>
          <w:tcPr>
            <w:tcW w:w="2108" w:type="dxa"/>
            <w:vAlign w:val="center"/>
          </w:tcPr>
          <w:p w14:paraId="74FD41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2FEE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F98DF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0F6B2D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漆雾处理方式</w:t>
            </w:r>
          </w:p>
        </w:tc>
        <w:tc>
          <w:tcPr>
            <w:tcW w:w="3830" w:type="dxa"/>
            <w:vAlign w:val="center"/>
          </w:tcPr>
          <w:p w14:paraId="3AF0F8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玻璃纤维过滤毡</w:t>
            </w:r>
          </w:p>
        </w:tc>
        <w:tc>
          <w:tcPr>
            <w:tcW w:w="2108" w:type="dxa"/>
            <w:vAlign w:val="center"/>
          </w:tcPr>
          <w:p w14:paraId="33E6F2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3D4A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00A11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015B2B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小件喷烘室设喷漆时送风</w:t>
            </w:r>
          </w:p>
        </w:tc>
        <w:tc>
          <w:tcPr>
            <w:tcW w:w="3830" w:type="dxa"/>
            <w:vAlign w:val="center"/>
          </w:tcPr>
          <w:p w14:paraId="13239C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150000m3/h，分三段</w:t>
            </w:r>
          </w:p>
        </w:tc>
        <w:tc>
          <w:tcPr>
            <w:tcW w:w="2108" w:type="dxa"/>
            <w:vAlign w:val="center"/>
          </w:tcPr>
          <w:p w14:paraId="614665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F0B7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D5423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7AA911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3830" w:type="dxa"/>
            <w:vAlign w:val="center"/>
          </w:tcPr>
          <w:p w14:paraId="26AA0C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YDW11-6.3M</w:t>
            </w:r>
          </w:p>
        </w:tc>
        <w:tc>
          <w:tcPr>
            <w:tcW w:w="2108" w:type="dxa"/>
            <w:vAlign w:val="center"/>
          </w:tcPr>
          <w:p w14:paraId="78DAE1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44A1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12514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90588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3DA7A1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25000m3/h*11Kw-6台</w:t>
            </w:r>
          </w:p>
        </w:tc>
        <w:tc>
          <w:tcPr>
            <w:tcW w:w="2108" w:type="dxa"/>
            <w:vAlign w:val="center"/>
          </w:tcPr>
          <w:p w14:paraId="452C11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9DE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82C23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0C4BD2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加热系统</w:t>
            </w:r>
          </w:p>
        </w:tc>
        <w:tc>
          <w:tcPr>
            <w:tcW w:w="3830" w:type="dxa"/>
            <w:vAlign w:val="center"/>
          </w:tcPr>
          <w:p w14:paraId="2DA2A4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天然气加热</w:t>
            </w:r>
          </w:p>
        </w:tc>
        <w:tc>
          <w:tcPr>
            <w:tcW w:w="2108" w:type="dxa"/>
            <w:vAlign w:val="center"/>
          </w:tcPr>
          <w:p w14:paraId="182451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F959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499EF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E07D1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564E13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RS50利雅路燃烧器*3</w:t>
            </w:r>
          </w:p>
        </w:tc>
        <w:tc>
          <w:tcPr>
            <w:tcW w:w="2108" w:type="dxa"/>
            <w:vAlign w:val="center"/>
          </w:tcPr>
          <w:p w14:paraId="1F19FA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16CB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A36BD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50E5E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4B7DC6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50万大卡/时*3</w:t>
            </w:r>
          </w:p>
        </w:tc>
        <w:tc>
          <w:tcPr>
            <w:tcW w:w="2108" w:type="dxa"/>
            <w:vAlign w:val="center"/>
          </w:tcPr>
          <w:p w14:paraId="084FF6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1293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72F3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50AEDD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升温喷漆</w:t>
            </w:r>
          </w:p>
        </w:tc>
        <w:tc>
          <w:tcPr>
            <w:tcW w:w="3830" w:type="dxa"/>
            <w:vAlign w:val="center"/>
          </w:tcPr>
          <w:p w14:paraId="2339EC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喷漆温度，天然气加热</w:t>
            </w:r>
          </w:p>
        </w:tc>
        <w:tc>
          <w:tcPr>
            <w:tcW w:w="2108" w:type="dxa"/>
            <w:vAlign w:val="center"/>
          </w:tcPr>
          <w:p w14:paraId="676F1E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3DD9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5573F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693" w:type="dxa"/>
            <w:vAlign w:val="center"/>
          </w:tcPr>
          <w:p w14:paraId="6B9337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烘干温度</w:t>
            </w:r>
          </w:p>
        </w:tc>
        <w:tc>
          <w:tcPr>
            <w:tcW w:w="3830" w:type="dxa"/>
            <w:vAlign w:val="center"/>
          </w:tcPr>
          <w:p w14:paraId="4909B0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60～80℃</w:t>
            </w:r>
          </w:p>
        </w:tc>
        <w:tc>
          <w:tcPr>
            <w:tcW w:w="2108" w:type="dxa"/>
            <w:vAlign w:val="center"/>
          </w:tcPr>
          <w:p w14:paraId="475F5B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6EF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BE1C7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693" w:type="dxa"/>
            <w:vAlign w:val="center"/>
          </w:tcPr>
          <w:p w14:paraId="586B70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喷漆时排风</w:t>
            </w:r>
          </w:p>
        </w:tc>
        <w:tc>
          <w:tcPr>
            <w:tcW w:w="3830" w:type="dxa"/>
            <w:vAlign w:val="center"/>
          </w:tcPr>
          <w:p w14:paraId="7BC78D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与废气装置共用排风机</w:t>
            </w:r>
          </w:p>
        </w:tc>
        <w:tc>
          <w:tcPr>
            <w:tcW w:w="2108" w:type="dxa"/>
            <w:vAlign w:val="center"/>
          </w:tcPr>
          <w:p w14:paraId="7A3AA1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4E43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3134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693" w:type="dxa"/>
            <w:vAlign w:val="center"/>
          </w:tcPr>
          <w:p w14:paraId="2AF0E3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烘干时抽废气风机</w:t>
            </w:r>
          </w:p>
        </w:tc>
        <w:tc>
          <w:tcPr>
            <w:tcW w:w="3830" w:type="dxa"/>
            <w:vAlign w:val="center"/>
          </w:tcPr>
          <w:p w14:paraId="4C1208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B4-72-5A，自然降温后接入废气处理装置</w:t>
            </w:r>
          </w:p>
        </w:tc>
        <w:tc>
          <w:tcPr>
            <w:tcW w:w="2108" w:type="dxa"/>
            <w:vAlign w:val="center"/>
          </w:tcPr>
          <w:p w14:paraId="558FC5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D9E5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79CA8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E0B72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4ACA6C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7000m3/h（可调）/460pa/1.5kw</w:t>
            </w:r>
          </w:p>
        </w:tc>
        <w:tc>
          <w:tcPr>
            <w:tcW w:w="2108" w:type="dxa"/>
            <w:vAlign w:val="center"/>
          </w:tcPr>
          <w:p w14:paraId="0F7806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A7D3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F3CE4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693" w:type="dxa"/>
            <w:vAlign w:val="center"/>
          </w:tcPr>
          <w:p w14:paraId="421342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830" w:type="dxa"/>
            <w:vAlign w:val="center"/>
          </w:tcPr>
          <w:p w14:paraId="6BF7FA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36*200W=7200W</w:t>
            </w:r>
          </w:p>
        </w:tc>
        <w:tc>
          <w:tcPr>
            <w:tcW w:w="2108" w:type="dxa"/>
            <w:vAlign w:val="center"/>
          </w:tcPr>
          <w:p w14:paraId="71E8F4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36盏</w:t>
            </w:r>
          </w:p>
        </w:tc>
      </w:tr>
      <w:tr w14:paraId="57A33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DF7E5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693" w:type="dxa"/>
            <w:vAlign w:val="center"/>
          </w:tcPr>
          <w:p w14:paraId="3D82E6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830" w:type="dxa"/>
            <w:vAlign w:val="center"/>
          </w:tcPr>
          <w:p w14:paraId="1388D2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108" w:type="dxa"/>
            <w:vAlign w:val="center"/>
          </w:tcPr>
          <w:p w14:paraId="0B22FE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79658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A6763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2C279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830" w:type="dxa"/>
            <w:vAlign w:val="center"/>
          </w:tcPr>
          <w:p w14:paraId="6DEA9A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2108" w:type="dxa"/>
            <w:vAlign w:val="center"/>
          </w:tcPr>
          <w:p w14:paraId="44B473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254C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72DF3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0003E8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1035FF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2108" w:type="dxa"/>
            <w:vAlign w:val="center"/>
          </w:tcPr>
          <w:p w14:paraId="705455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B59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0EC9E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693" w:type="dxa"/>
            <w:vAlign w:val="center"/>
          </w:tcPr>
          <w:p w14:paraId="792493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三维工作台</w:t>
            </w:r>
          </w:p>
        </w:tc>
        <w:tc>
          <w:tcPr>
            <w:tcW w:w="3830" w:type="dxa"/>
            <w:vAlign w:val="center"/>
          </w:tcPr>
          <w:p w14:paraId="7C47A4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（2.2+1.1+0.75）×2=8.1kw</w:t>
            </w:r>
          </w:p>
        </w:tc>
        <w:tc>
          <w:tcPr>
            <w:tcW w:w="2108" w:type="dxa"/>
            <w:vAlign w:val="center"/>
          </w:tcPr>
          <w:p w14:paraId="73EC2A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4A7AB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AB88F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693" w:type="dxa"/>
            <w:vAlign w:val="center"/>
          </w:tcPr>
          <w:p w14:paraId="4E42C8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设备内工作噪声</w:t>
            </w:r>
          </w:p>
        </w:tc>
        <w:tc>
          <w:tcPr>
            <w:tcW w:w="3830" w:type="dxa"/>
            <w:vAlign w:val="center"/>
          </w:tcPr>
          <w:p w14:paraId="39C9288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 dB（A）</w:t>
            </w:r>
          </w:p>
        </w:tc>
        <w:tc>
          <w:tcPr>
            <w:tcW w:w="2108" w:type="dxa"/>
            <w:vAlign w:val="center"/>
          </w:tcPr>
          <w:p w14:paraId="15D234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1711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84C11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01E1D1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13A1AD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108" w:type="dxa"/>
            <w:vAlign w:val="center"/>
          </w:tcPr>
          <w:p w14:paraId="26BD74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bookmarkEnd w:id="87"/>
      <w:bookmarkEnd w:id="88"/>
      <w:bookmarkEnd w:id="89"/>
      <w:bookmarkEnd w:id="92"/>
    </w:tbl>
    <w:p w14:paraId="3C73D141">
      <w:pPr>
        <w:rPr>
          <w:rFonts w:hint="eastAsia" w:ascii="宋体" w:hAnsi="宋体" w:eastAsia="宋体" w:cs="宋体"/>
          <w:sz w:val="24"/>
          <w:szCs w:val="24"/>
          <w:lang w:val="en-US" w:eastAsia="zh-CN"/>
        </w:rPr>
      </w:pPr>
      <w:bookmarkStart w:id="93" w:name="OLE_LINK52"/>
      <w:bookmarkStart w:id="94" w:name="OLE_LINK53"/>
      <w:r>
        <w:rPr>
          <w:rFonts w:hint="eastAsia" w:ascii="宋体" w:hAnsi="宋体" w:eastAsia="宋体" w:cs="宋体"/>
          <w:sz w:val="24"/>
          <w:szCs w:val="24"/>
          <w:lang w:val="en-US" w:eastAsia="zh-CN"/>
        </w:rPr>
        <w:br w:type="page"/>
      </w:r>
    </w:p>
    <w:p w14:paraId="24BFCA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除尘系统</w:t>
      </w:r>
    </w:p>
    <w:bookmarkEnd w:id="93"/>
    <w:bookmarkEnd w:id="94"/>
    <w:p w14:paraId="00FFC6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0" distR="0">
            <wp:extent cx="6113780" cy="5082540"/>
            <wp:effectExtent l="0" t="0" r="7620" b="1016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6113780" cy="5082540"/>
                    </a:xfrm>
                    <a:prstGeom prst="rect">
                      <a:avLst/>
                    </a:prstGeom>
                  </pic:spPr>
                </pic:pic>
              </a:graphicData>
            </a:graphic>
          </wp:inline>
        </w:drawing>
      </w:r>
    </w:p>
    <w:bookmarkEnd w:id="81"/>
    <w:p w14:paraId="1AE3B5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37E1A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废气处理系统（沸石+RTO）</w:t>
      </w:r>
    </w:p>
    <w:tbl>
      <w:tblPr>
        <w:tblStyle w:val="35"/>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09"/>
        <w:gridCol w:w="69"/>
        <w:gridCol w:w="5389"/>
        <w:gridCol w:w="63"/>
        <w:gridCol w:w="1433"/>
      </w:tblGrid>
      <w:tr w14:paraId="5D78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DAB56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683" w:type="pct"/>
            <w:vAlign w:val="center"/>
          </w:tcPr>
          <w:p w14:paraId="44E2EF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w:t>
            </w:r>
          </w:p>
        </w:tc>
        <w:tc>
          <w:tcPr>
            <w:tcW w:w="2847" w:type="pct"/>
            <w:gridSpan w:val="2"/>
            <w:vAlign w:val="center"/>
          </w:tcPr>
          <w:p w14:paraId="6508CC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  术  规  格</w:t>
            </w:r>
          </w:p>
        </w:tc>
        <w:tc>
          <w:tcPr>
            <w:tcW w:w="780" w:type="pct"/>
            <w:gridSpan w:val="2"/>
            <w:vAlign w:val="center"/>
          </w:tcPr>
          <w:p w14:paraId="6C9E75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14:paraId="3F5F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B6D8B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530" w:type="pct"/>
            <w:gridSpan w:val="3"/>
            <w:vAlign w:val="center"/>
          </w:tcPr>
          <w:p w14:paraId="609768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废气预处理-浓缩系统</w:t>
            </w:r>
          </w:p>
        </w:tc>
        <w:tc>
          <w:tcPr>
            <w:tcW w:w="780" w:type="pct"/>
            <w:gridSpan w:val="2"/>
            <w:vAlign w:val="center"/>
          </w:tcPr>
          <w:p w14:paraId="4E3E49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1FF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217BBC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83" w:type="pct"/>
            <w:vAlign w:val="center"/>
          </w:tcPr>
          <w:p w14:paraId="5B4FD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干式过滤箱</w:t>
            </w:r>
          </w:p>
        </w:tc>
        <w:tc>
          <w:tcPr>
            <w:tcW w:w="2847" w:type="pct"/>
            <w:gridSpan w:val="2"/>
            <w:vAlign w:val="center"/>
          </w:tcPr>
          <w:p w14:paraId="4B5C5A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处理风量：250000 m3/h</w:t>
            </w:r>
          </w:p>
          <w:p w14:paraId="558E6A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材质：过滤器框架、壁板、地板采用304不锈钢≥1.5mm，底部镀锌防滑格栅</w:t>
            </w:r>
          </w:p>
          <w:p w14:paraId="4B6DF0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含4支压差变送器，4支防爆维修照明灯</w:t>
            </w:r>
          </w:p>
          <w:p w14:paraId="2BA941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保温：防火陶瓷纤维加镀锌钢板</w:t>
            </w:r>
          </w:p>
        </w:tc>
        <w:tc>
          <w:tcPr>
            <w:tcW w:w="780" w:type="pct"/>
            <w:gridSpan w:val="2"/>
            <w:vAlign w:val="center"/>
          </w:tcPr>
          <w:p w14:paraId="31D529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2A1B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7432BC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683" w:type="pct"/>
            <w:vAlign w:val="center"/>
          </w:tcPr>
          <w:p w14:paraId="1AE2A9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滤袋</w:t>
            </w:r>
          </w:p>
        </w:tc>
        <w:tc>
          <w:tcPr>
            <w:tcW w:w="2847" w:type="pct"/>
            <w:gridSpan w:val="2"/>
            <w:vAlign w:val="center"/>
          </w:tcPr>
          <w:p w14:paraId="599662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过滤级别：G4+F5+F7+F9，各72个</w:t>
            </w:r>
          </w:p>
          <w:p w14:paraId="338033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规格：595×595×600</w:t>
            </w:r>
          </w:p>
          <w:p w14:paraId="4C396A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滤袋品牌：科德宝、威茨、科佳</w:t>
            </w:r>
          </w:p>
        </w:tc>
        <w:tc>
          <w:tcPr>
            <w:tcW w:w="780" w:type="pct"/>
            <w:gridSpan w:val="2"/>
            <w:vAlign w:val="center"/>
          </w:tcPr>
          <w:p w14:paraId="70D44E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1批</w:t>
            </w:r>
          </w:p>
        </w:tc>
      </w:tr>
      <w:tr w14:paraId="31F2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6F6E0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683" w:type="pct"/>
            <w:vAlign w:val="center"/>
          </w:tcPr>
          <w:p w14:paraId="1C7C84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调温调湿单元</w:t>
            </w:r>
          </w:p>
        </w:tc>
        <w:tc>
          <w:tcPr>
            <w:tcW w:w="2847" w:type="pct"/>
            <w:gridSpan w:val="2"/>
            <w:vAlign w:val="center"/>
          </w:tcPr>
          <w:p w14:paraId="18405B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处理风量：225754 m3/h</w:t>
            </w:r>
          </w:p>
          <w:p w14:paraId="64DF03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控制温度≤40℃，相对湿度≤75%</w:t>
            </w:r>
          </w:p>
          <w:p w14:paraId="222B8F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含1支温湿度传感器</w:t>
            </w:r>
          </w:p>
        </w:tc>
        <w:tc>
          <w:tcPr>
            <w:tcW w:w="780" w:type="pct"/>
            <w:gridSpan w:val="2"/>
            <w:vAlign w:val="center"/>
          </w:tcPr>
          <w:p w14:paraId="0FE8D9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4F6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54A276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683" w:type="pct"/>
            <w:vAlign w:val="center"/>
          </w:tcPr>
          <w:p w14:paraId="7924D7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沸石浓缩转轮</w:t>
            </w:r>
          </w:p>
        </w:tc>
        <w:tc>
          <w:tcPr>
            <w:tcW w:w="2847" w:type="pct"/>
            <w:gridSpan w:val="2"/>
            <w:vAlign w:val="center"/>
          </w:tcPr>
          <w:p w14:paraId="7CBA4A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处理风量：250000 m3/h</w:t>
            </w:r>
          </w:p>
          <w:p w14:paraId="01C2AB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外壳材质：碳钢+防腐（喷砂+40μm底漆+40μm两层面漆）</w:t>
            </w:r>
          </w:p>
          <w:p w14:paraId="0F0DA7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耐温300℃高温脱附，含1支压差变送器，限速器、光电感应器、防爆维修照明灯</w:t>
            </w:r>
          </w:p>
          <w:p w14:paraId="0D5FE2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保温：防火陶瓷纤维加镀锌钢板</w:t>
            </w:r>
          </w:p>
        </w:tc>
        <w:tc>
          <w:tcPr>
            <w:tcW w:w="780" w:type="pct"/>
            <w:gridSpan w:val="2"/>
            <w:vAlign w:val="center"/>
          </w:tcPr>
          <w:p w14:paraId="154FDC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9C1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5F481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530" w:type="pct"/>
            <w:gridSpan w:val="3"/>
            <w:vAlign w:val="center"/>
          </w:tcPr>
          <w:p w14:paraId="1465FB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脱附-蓄热焚烧系统</w:t>
            </w:r>
          </w:p>
        </w:tc>
        <w:tc>
          <w:tcPr>
            <w:tcW w:w="780" w:type="pct"/>
            <w:gridSpan w:val="2"/>
            <w:vAlign w:val="center"/>
          </w:tcPr>
          <w:p w14:paraId="6BECE4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15A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5E58F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683" w:type="pct"/>
            <w:vAlign w:val="center"/>
          </w:tcPr>
          <w:p w14:paraId="26EC6B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调温阀</w:t>
            </w:r>
          </w:p>
        </w:tc>
        <w:tc>
          <w:tcPr>
            <w:tcW w:w="2847" w:type="pct"/>
            <w:gridSpan w:val="2"/>
            <w:vAlign w:val="center"/>
          </w:tcPr>
          <w:p w14:paraId="68A077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规格：DN450</w:t>
            </w:r>
          </w:p>
          <w:p w14:paraId="10D718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材质：304不锈钢，耐温200℃</w:t>
            </w:r>
          </w:p>
          <w:p w14:paraId="0358EA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控制方式：智能调节型，气动执行器采用国际知名品牌，4-20ma输入输出</w:t>
            </w:r>
          </w:p>
        </w:tc>
        <w:tc>
          <w:tcPr>
            <w:tcW w:w="780" w:type="pct"/>
            <w:gridSpan w:val="2"/>
            <w:vAlign w:val="center"/>
          </w:tcPr>
          <w:p w14:paraId="089104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7B6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F446D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683" w:type="pct"/>
            <w:vAlign w:val="center"/>
          </w:tcPr>
          <w:p w14:paraId="7C43F3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新风阀</w:t>
            </w:r>
          </w:p>
        </w:tc>
        <w:tc>
          <w:tcPr>
            <w:tcW w:w="2847" w:type="pct"/>
            <w:gridSpan w:val="2"/>
            <w:vAlign w:val="center"/>
          </w:tcPr>
          <w:p w14:paraId="792680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规格：DN600</w:t>
            </w:r>
          </w:p>
          <w:p w14:paraId="0039EA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材质：304不锈钢，常温</w:t>
            </w:r>
          </w:p>
          <w:p w14:paraId="16471A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控制方式：智能调节型，气动执行器采用国际知名品牌，4-20ma输入输出</w:t>
            </w:r>
          </w:p>
        </w:tc>
        <w:tc>
          <w:tcPr>
            <w:tcW w:w="780" w:type="pct"/>
            <w:gridSpan w:val="2"/>
            <w:vAlign w:val="center"/>
          </w:tcPr>
          <w:p w14:paraId="32ACAC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2FA5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499D2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683" w:type="pct"/>
            <w:vAlign w:val="center"/>
          </w:tcPr>
          <w:p w14:paraId="16DF66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阻火器</w:t>
            </w:r>
          </w:p>
        </w:tc>
        <w:tc>
          <w:tcPr>
            <w:tcW w:w="2847" w:type="pct"/>
            <w:gridSpan w:val="2"/>
            <w:vAlign w:val="center"/>
          </w:tcPr>
          <w:p w14:paraId="5EA764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规格：DN600</w:t>
            </w:r>
          </w:p>
          <w:p w14:paraId="2D0B38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型式：波纹板阻火盘</w:t>
            </w:r>
          </w:p>
          <w:p w14:paraId="6595A0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阻火盘材质：SUS304</w:t>
            </w:r>
          </w:p>
          <w:p w14:paraId="32FD8B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含1支防爆压力变送器</w:t>
            </w:r>
          </w:p>
        </w:tc>
        <w:tc>
          <w:tcPr>
            <w:tcW w:w="780" w:type="pct"/>
            <w:gridSpan w:val="2"/>
            <w:vAlign w:val="center"/>
          </w:tcPr>
          <w:p w14:paraId="11A4C5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23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2396D9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683" w:type="pct"/>
            <w:vAlign w:val="center"/>
          </w:tcPr>
          <w:p w14:paraId="0E994A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泄爆装置</w:t>
            </w:r>
          </w:p>
        </w:tc>
        <w:tc>
          <w:tcPr>
            <w:tcW w:w="2847" w:type="pct"/>
            <w:gridSpan w:val="2"/>
            <w:vAlign w:val="center"/>
          </w:tcPr>
          <w:p w14:paraId="356892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规格：DN400</w:t>
            </w:r>
          </w:p>
          <w:p w14:paraId="3AF061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材质：SUS304</w:t>
            </w:r>
          </w:p>
        </w:tc>
        <w:tc>
          <w:tcPr>
            <w:tcW w:w="780" w:type="pct"/>
            <w:gridSpan w:val="2"/>
            <w:vAlign w:val="center"/>
          </w:tcPr>
          <w:p w14:paraId="3416A9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7CFC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9A5BE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683" w:type="pct"/>
            <w:vAlign w:val="center"/>
          </w:tcPr>
          <w:p w14:paraId="7D9306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热氧化室</w:t>
            </w:r>
          </w:p>
        </w:tc>
        <w:tc>
          <w:tcPr>
            <w:tcW w:w="2847" w:type="pct"/>
            <w:gridSpan w:val="2"/>
            <w:vAlign w:val="center"/>
          </w:tcPr>
          <w:p w14:paraId="60EF3E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处理废气量：20000 Nm3/h</w:t>
            </w:r>
          </w:p>
          <w:p w14:paraId="16F48D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炉内容积：22 m3</w:t>
            </w:r>
          </w:p>
          <w:p w14:paraId="555A3C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材质：外壳Q235-B，板厚：8mm型钢加固,内衬300mm耐温1200℃硅酸铝纤维模块</w:t>
            </w:r>
          </w:p>
          <w:p w14:paraId="3331DA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附：防爆口、检修口、观察孔、操作平台，平台顶部有防雨、防晒顶棚、炉顶防护围栏</w:t>
            </w:r>
          </w:p>
        </w:tc>
        <w:tc>
          <w:tcPr>
            <w:tcW w:w="780" w:type="pct"/>
            <w:gridSpan w:val="2"/>
            <w:vAlign w:val="center"/>
          </w:tcPr>
          <w:p w14:paraId="534079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26E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F8AAD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683" w:type="pct"/>
            <w:vAlign w:val="center"/>
          </w:tcPr>
          <w:p w14:paraId="58221C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蓄热室</w:t>
            </w:r>
          </w:p>
        </w:tc>
        <w:tc>
          <w:tcPr>
            <w:tcW w:w="2847" w:type="pct"/>
            <w:gridSpan w:val="2"/>
            <w:vAlign w:val="center"/>
          </w:tcPr>
          <w:p w14:paraId="548FF1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单座蓄热砖容积：8 m3</w:t>
            </w:r>
          </w:p>
          <w:p w14:paraId="1ABDC69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外形尺寸：150×150×150</w:t>
            </w:r>
          </w:p>
          <w:p w14:paraId="450BAE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材质：外壳Q235-B，板厚8mm型钢加固，内涂高温防腐漆</w:t>
            </w:r>
          </w:p>
          <w:p w14:paraId="161E39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内衬250mm耐温1200℃硅酸铝纤维模块、模块外表面涂敷高温抹面、SUS304模块锚固件</w:t>
            </w:r>
          </w:p>
          <w:p w14:paraId="23EE14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说明：蓄热体采用蓝太克/江西博鑫；蓄热室安装压差变送器，对蓄热体堵塞情况进行检测。</w:t>
            </w:r>
          </w:p>
        </w:tc>
        <w:tc>
          <w:tcPr>
            <w:tcW w:w="780" w:type="pct"/>
            <w:gridSpan w:val="2"/>
            <w:vAlign w:val="center"/>
          </w:tcPr>
          <w:p w14:paraId="2B080E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3座</w:t>
            </w:r>
          </w:p>
        </w:tc>
      </w:tr>
      <w:tr w14:paraId="1774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55354D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683" w:type="pct"/>
            <w:vAlign w:val="center"/>
          </w:tcPr>
          <w:p w14:paraId="37424A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布风箱</w:t>
            </w:r>
          </w:p>
        </w:tc>
        <w:tc>
          <w:tcPr>
            <w:tcW w:w="2847" w:type="pct"/>
            <w:gridSpan w:val="2"/>
            <w:vAlign w:val="center"/>
          </w:tcPr>
          <w:p w14:paraId="21BEFE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材质：Q235-B+防腐；</w:t>
            </w:r>
          </w:p>
          <w:p w14:paraId="1C3B5A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附：测温孔、检修口、反吹管道等。</w:t>
            </w:r>
          </w:p>
        </w:tc>
        <w:tc>
          <w:tcPr>
            <w:tcW w:w="780" w:type="pct"/>
            <w:gridSpan w:val="2"/>
            <w:vAlign w:val="center"/>
          </w:tcPr>
          <w:p w14:paraId="02EA7C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20CD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60F09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683" w:type="pct"/>
            <w:vAlign w:val="center"/>
          </w:tcPr>
          <w:p w14:paraId="42D3B4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脱附换热器</w:t>
            </w:r>
          </w:p>
        </w:tc>
        <w:tc>
          <w:tcPr>
            <w:tcW w:w="2847" w:type="pct"/>
            <w:gridSpan w:val="2"/>
            <w:vAlign w:val="center"/>
          </w:tcPr>
          <w:p w14:paraId="7A504E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冷测风量：20000 Nm3/h</w:t>
            </w:r>
          </w:p>
          <w:p w14:paraId="451B70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冷测温升：100℃→180℃</w:t>
            </w:r>
          </w:p>
          <w:p w14:paraId="77C54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型式：管式换热器</w:t>
            </w:r>
          </w:p>
          <w:p w14:paraId="7CB699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保温：防火陶瓷纤维+镀锌钢板</w:t>
            </w:r>
          </w:p>
        </w:tc>
        <w:tc>
          <w:tcPr>
            <w:tcW w:w="780" w:type="pct"/>
            <w:gridSpan w:val="2"/>
            <w:vAlign w:val="center"/>
          </w:tcPr>
          <w:p w14:paraId="459DCC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5729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126D31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683" w:type="pct"/>
            <w:vAlign w:val="center"/>
          </w:tcPr>
          <w:p w14:paraId="682AFE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烟气混合箱</w:t>
            </w:r>
          </w:p>
        </w:tc>
        <w:tc>
          <w:tcPr>
            <w:tcW w:w="2847" w:type="pct"/>
            <w:gridSpan w:val="2"/>
            <w:vAlign w:val="center"/>
          </w:tcPr>
          <w:p w14:paraId="41B264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型式：混流式；</w:t>
            </w:r>
          </w:p>
          <w:p w14:paraId="27B929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材质：Q235-B+内衬硅酸铝纤维</w:t>
            </w:r>
          </w:p>
          <w:p w14:paraId="766CAF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附：混合箱支架及操作平台</w:t>
            </w:r>
          </w:p>
        </w:tc>
        <w:tc>
          <w:tcPr>
            <w:tcW w:w="780" w:type="pct"/>
            <w:gridSpan w:val="2"/>
            <w:vAlign w:val="center"/>
          </w:tcPr>
          <w:p w14:paraId="59D9C7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3C13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53FF8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w:t>
            </w:r>
          </w:p>
        </w:tc>
        <w:tc>
          <w:tcPr>
            <w:tcW w:w="683" w:type="pct"/>
            <w:vAlign w:val="center"/>
          </w:tcPr>
          <w:p w14:paraId="45BE8E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高温阀</w:t>
            </w:r>
          </w:p>
        </w:tc>
        <w:tc>
          <w:tcPr>
            <w:tcW w:w="2847" w:type="pct"/>
            <w:gridSpan w:val="2"/>
            <w:vAlign w:val="center"/>
          </w:tcPr>
          <w:p w14:paraId="3912D2F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使用压力：0.6 MPa</w:t>
            </w:r>
          </w:p>
          <w:p w14:paraId="449B45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规格：DN500</w:t>
            </w:r>
          </w:p>
          <w:p w14:paraId="3A7142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材质：SUS310S</w:t>
            </w:r>
          </w:p>
          <w:p w14:paraId="5A987C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控制方式：气动智能调节型，具有4~20mA信号反馈输出，定位器采用西门子或SMC</w:t>
            </w:r>
          </w:p>
        </w:tc>
        <w:tc>
          <w:tcPr>
            <w:tcW w:w="780" w:type="pct"/>
            <w:gridSpan w:val="2"/>
            <w:vAlign w:val="center"/>
          </w:tcPr>
          <w:p w14:paraId="37DDD0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8D8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2BF41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w:t>
            </w:r>
          </w:p>
        </w:tc>
        <w:tc>
          <w:tcPr>
            <w:tcW w:w="683" w:type="pct"/>
            <w:vAlign w:val="center"/>
          </w:tcPr>
          <w:p w14:paraId="4F6C66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切换阀</w:t>
            </w:r>
          </w:p>
        </w:tc>
        <w:tc>
          <w:tcPr>
            <w:tcW w:w="2847" w:type="pct"/>
            <w:gridSpan w:val="2"/>
            <w:vAlign w:val="center"/>
          </w:tcPr>
          <w:p w14:paraId="47A424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使用压力：0.6 MPa</w:t>
            </w:r>
          </w:p>
          <w:p w14:paraId="175C19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规格：DN500</w:t>
            </w:r>
          </w:p>
          <w:p w14:paraId="19D991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材质：304不锈钢，耐温250℃</w:t>
            </w:r>
          </w:p>
          <w:p w14:paraId="19DC06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控制方式：气动智能调节型，具有4~20mA信号反馈输出，含定位器</w:t>
            </w:r>
          </w:p>
        </w:tc>
        <w:tc>
          <w:tcPr>
            <w:tcW w:w="780" w:type="pct"/>
            <w:gridSpan w:val="2"/>
            <w:vAlign w:val="center"/>
          </w:tcPr>
          <w:p w14:paraId="632224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5B23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A8D66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w:t>
            </w:r>
          </w:p>
        </w:tc>
        <w:tc>
          <w:tcPr>
            <w:tcW w:w="683" w:type="pct"/>
            <w:vAlign w:val="center"/>
          </w:tcPr>
          <w:p w14:paraId="1E2076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废气进出阀</w:t>
            </w:r>
          </w:p>
        </w:tc>
        <w:tc>
          <w:tcPr>
            <w:tcW w:w="2847" w:type="pct"/>
            <w:gridSpan w:val="2"/>
            <w:vAlign w:val="center"/>
          </w:tcPr>
          <w:p w14:paraId="36EE94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规格：DN500</w:t>
            </w:r>
          </w:p>
          <w:p w14:paraId="6EBA6B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材料：阀杆、阀板采用304不锈钢</w:t>
            </w:r>
          </w:p>
          <w:p w14:paraId="7BC08D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含定位器</w:t>
            </w:r>
          </w:p>
        </w:tc>
        <w:tc>
          <w:tcPr>
            <w:tcW w:w="780" w:type="pct"/>
            <w:gridSpan w:val="2"/>
            <w:vAlign w:val="center"/>
          </w:tcPr>
          <w:p w14:paraId="672D04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6套</w:t>
            </w:r>
          </w:p>
        </w:tc>
      </w:tr>
      <w:tr w14:paraId="5B14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E4578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w:t>
            </w:r>
          </w:p>
        </w:tc>
        <w:tc>
          <w:tcPr>
            <w:tcW w:w="683" w:type="pct"/>
            <w:vAlign w:val="center"/>
          </w:tcPr>
          <w:p w14:paraId="12CEA1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反吹阀</w:t>
            </w:r>
          </w:p>
        </w:tc>
        <w:tc>
          <w:tcPr>
            <w:tcW w:w="2847" w:type="pct"/>
            <w:gridSpan w:val="2"/>
            <w:vAlign w:val="center"/>
          </w:tcPr>
          <w:p w14:paraId="1A5CE5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规格：DN300</w:t>
            </w:r>
          </w:p>
          <w:p w14:paraId="5907D2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w:t>
            </w:r>
          </w:p>
          <w:p w14:paraId="574F0C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含定位器</w:t>
            </w:r>
          </w:p>
        </w:tc>
        <w:tc>
          <w:tcPr>
            <w:tcW w:w="780" w:type="pct"/>
            <w:gridSpan w:val="2"/>
            <w:vAlign w:val="center"/>
          </w:tcPr>
          <w:p w14:paraId="5BB2E1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3套</w:t>
            </w:r>
          </w:p>
        </w:tc>
      </w:tr>
      <w:tr w14:paraId="20EE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F585A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w:t>
            </w:r>
          </w:p>
        </w:tc>
        <w:tc>
          <w:tcPr>
            <w:tcW w:w="683" w:type="pct"/>
            <w:vAlign w:val="center"/>
          </w:tcPr>
          <w:p w14:paraId="6A0C6D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燃烧器</w:t>
            </w:r>
          </w:p>
        </w:tc>
        <w:tc>
          <w:tcPr>
            <w:tcW w:w="2847" w:type="pct"/>
            <w:gridSpan w:val="2"/>
            <w:vAlign w:val="center"/>
          </w:tcPr>
          <w:p w14:paraId="2510B3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燃料：天然气</w:t>
            </w:r>
          </w:p>
          <w:p w14:paraId="4242B0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输出：70×104kCal/h</w:t>
            </w:r>
          </w:p>
          <w:p w14:paraId="0D99B2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调节范围：40:1</w:t>
            </w:r>
          </w:p>
          <w:p w14:paraId="614CE1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含：安全切断阀、燃料/空气比例控制阀、燃烧控制系统、燃气泄漏检测器等。</w:t>
            </w:r>
          </w:p>
        </w:tc>
        <w:tc>
          <w:tcPr>
            <w:tcW w:w="780" w:type="pct"/>
            <w:gridSpan w:val="2"/>
            <w:vAlign w:val="center"/>
          </w:tcPr>
          <w:p w14:paraId="3E5FD7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5089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4325E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530" w:type="pct"/>
            <w:gridSpan w:val="3"/>
            <w:vAlign w:val="center"/>
          </w:tcPr>
          <w:p w14:paraId="77E9504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w:t>
            </w:r>
          </w:p>
        </w:tc>
        <w:tc>
          <w:tcPr>
            <w:tcW w:w="780" w:type="pct"/>
            <w:gridSpan w:val="2"/>
            <w:vAlign w:val="center"/>
          </w:tcPr>
          <w:p w14:paraId="52A042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226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1D590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719" w:type="pct"/>
            <w:gridSpan w:val="2"/>
            <w:vAlign w:val="center"/>
          </w:tcPr>
          <w:p w14:paraId="719594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RTO风机</w:t>
            </w:r>
          </w:p>
        </w:tc>
        <w:tc>
          <w:tcPr>
            <w:tcW w:w="2844" w:type="pct"/>
            <w:gridSpan w:val="2"/>
            <w:vAlign w:val="center"/>
          </w:tcPr>
          <w:p w14:paraId="06D056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Q=20000 m3/h，P=4200 Pa，N=45 kW</w:t>
            </w:r>
          </w:p>
          <w:p w14:paraId="2DB3F4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57895F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介质温度：工况70℃，最高300℃</w:t>
            </w:r>
          </w:p>
          <w:p w14:paraId="33D5AB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2D3FF6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含减震器、在线检测震动仪器、进出软连接、1支压力变送器</w:t>
            </w:r>
          </w:p>
          <w:p w14:paraId="5F6A5D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47" w:type="pct"/>
            <w:vAlign w:val="center"/>
          </w:tcPr>
          <w:p w14:paraId="4A318A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55B6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F8A5A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719" w:type="pct"/>
            <w:gridSpan w:val="2"/>
            <w:vAlign w:val="center"/>
          </w:tcPr>
          <w:p w14:paraId="4A1329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反吹风机</w:t>
            </w:r>
          </w:p>
        </w:tc>
        <w:tc>
          <w:tcPr>
            <w:tcW w:w="2844" w:type="pct"/>
            <w:gridSpan w:val="2"/>
            <w:vAlign w:val="center"/>
          </w:tcPr>
          <w:p w14:paraId="1D63AB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Q=1500 m3/h，P=4500~6000 Pa，N=7.5 kW</w:t>
            </w:r>
          </w:p>
          <w:p w14:paraId="56470D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64FF75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介质温度：≤40℃</w:t>
            </w:r>
          </w:p>
          <w:p w14:paraId="0B0311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3E6779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w:t>
            </w:r>
          </w:p>
          <w:p w14:paraId="4526B1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隔声房（强制排风，滚轮导轨）</w:t>
            </w:r>
          </w:p>
          <w:p w14:paraId="6AE585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47" w:type="pct"/>
            <w:vAlign w:val="center"/>
          </w:tcPr>
          <w:p w14:paraId="5FE1DF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3C38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DD980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719" w:type="pct"/>
            <w:gridSpan w:val="2"/>
            <w:vAlign w:val="center"/>
          </w:tcPr>
          <w:p w14:paraId="3EDA50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助燃风机</w:t>
            </w:r>
          </w:p>
        </w:tc>
        <w:tc>
          <w:tcPr>
            <w:tcW w:w="2844" w:type="pct"/>
            <w:gridSpan w:val="2"/>
            <w:vAlign w:val="center"/>
          </w:tcPr>
          <w:p w14:paraId="14247C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Q=850 m3/h，P=7200 Pa，N=7.5 kW</w:t>
            </w:r>
          </w:p>
          <w:p w14:paraId="6AC804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02FBB8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介质温度：≤40℃</w:t>
            </w:r>
          </w:p>
          <w:p w14:paraId="1073AB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4C4400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w:t>
            </w:r>
          </w:p>
          <w:p w14:paraId="6173A0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隔声房（强制排风，滚轮导轨）</w:t>
            </w:r>
          </w:p>
          <w:p w14:paraId="5E3E51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47" w:type="pct"/>
            <w:vAlign w:val="center"/>
          </w:tcPr>
          <w:p w14:paraId="3140A9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7300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AB0E7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683" w:type="pct"/>
            <w:vAlign w:val="center"/>
          </w:tcPr>
          <w:p w14:paraId="5C186A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脱附风机</w:t>
            </w:r>
          </w:p>
        </w:tc>
        <w:tc>
          <w:tcPr>
            <w:tcW w:w="2847" w:type="pct"/>
            <w:gridSpan w:val="2"/>
            <w:vAlign w:val="center"/>
          </w:tcPr>
          <w:p w14:paraId="10FB82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Q=20000 m3/h，P=1800 Pa，N=18.5kW</w:t>
            </w:r>
          </w:p>
          <w:p w14:paraId="0E0287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5F7B6A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介质温度：工况100℃，最高300℃</w:t>
            </w:r>
          </w:p>
          <w:p w14:paraId="0C2011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6F1685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w:t>
            </w:r>
          </w:p>
          <w:p w14:paraId="5A8E78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80" w:type="pct"/>
            <w:gridSpan w:val="2"/>
            <w:vAlign w:val="center"/>
          </w:tcPr>
          <w:p w14:paraId="055422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35C2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93F9E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683" w:type="pct"/>
            <w:vAlign w:val="center"/>
          </w:tcPr>
          <w:p w14:paraId="7A5D13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吸附风机</w:t>
            </w:r>
          </w:p>
        </w:tc>
        <w:tc>
          <w:tcPr>
            <w:tcW w:w="2847" w:type="pct"/>
            <w:gridSpan w:val="2"/>
            <w:vAlign w:val="center"/>
          </w:tcPr>
          <w:p w14:paraId="0D119A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Q=250000 m3/h，P=3000 Pa，N=220 kW</w:t>
            </w:r>
          </w:p>
          <w:p w14:paraId="509447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4F0FF4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介质温度：≤40℃</w:t>
            </w:r>
          </w:p>
          <w:p w14:paraId="3FC55D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265DE5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含减震器、在线检测震动仪器、进出软连接、1支压力变送器</w:t>
            </w:r>
          </w:p>
          <w:p w14:paraId="6A3A52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隔声房（强制排风，滚轮导轨）</w:t>
            </w:r>
          </w:p>
        </w:tc>
        <w:tc>
          <w:tcPr>
            <w:tcW w:w="780" w:type="pct"/>
            <w:gridSpan w:val="2"/>
            <w:vAlign w:val="center"/>
          </w:tcPr>
          <w:p w14:paraId="26D6F5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3DD7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71C66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530" w:type="pct"/>
            <w:gridSpan w:val="3"/>
            <w:vAlign w:val="center"/>
          </w:tcPr>
          <w:p w14:paraId="379D33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旁路</w:t>
            </w:r>
          </w:p>
        </w:tc>
        <w:tc>
          <w:tcPr>
            <w:tcW w:w="780" w:type="pct"/>
            <w:gridSpan w:val="2"/>
            <w:vAlign w:val="center"/>
          </w:tcPr>
          <w:p w14:paraId="23F08E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6E6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04C0B4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683" w:type="pct"/>
            <w:vAlign w:val="center"/>
          </w:tcPr>
          <w:p w14:paraId="699B3E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切换阀</w:t>
            </w:r>
          </w:p>
        </w:tc>
        <w:tc>
          <w:tcPr>
            <w:tcW w:w="2847" w:type="pct"/>
            <w:gridSpan w:val="2"/>
            <w:vAlign w:val="center"/>
          </w:tcPr>
          <w:p w14:paraId="5751F7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尺寸：DN2500</w:t>
            </w:r>
          </w:p>
          <w:p w14:paraId="7DD5E7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材料：阀杆、阀板采用304不锈钢含定位器</w:t>
            </w:r>
          </w:p>
        </w:tc>
        <w:tc>
          <w:tcPr>
            <w:tcW w:w="780" w:type="pct"/>
            <w:gridSpan w:val="2"/>
            <w:vAlign w:val="center"/>
          </w:tcPr>
          <w:p w14:paraId="018A80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09A5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179569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683" w:type="pct"/>
            <w:vAlign w:val="center"/>
          </w:tcPr>
          <w:p w14:paraId="564EA3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活性炭吸附箱</w:t>
            </w:r>
          </w:p>
        </w:tc>
        <w:tc>
          <w:tcPr>
            <w:tcW w:w="2847" w:type="pct"/>
            <w:gridSpan w:val="2"/>
            <w:vAlign w:val="center"/>
          </w:tcPr>
          <w:p w14:paraId="072D3E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尺寸：7000(L)×3500(W)×3300(H) mm</w:t>
            </w:r>
          </w:p>
          <w:p w14:paraId="36FE9D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材质：过滤吸附箱框架、壁板、地板采用304不锈钢≥1.5mm，底部镀锌防滑格栅</w:t>
            </w:r>
          </w:p>
          <w:p w14:paraId="46B4FB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含1支防爆维修照明灯</w:t>
            </w:r>
          </w:p>
          <w:p w14:paraId="3F2A54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保温：防火陶瓷纤维加镀锌钢板</w:t>
            </w:r>
          </w:p>
        </w:tc>
        <w:tc>
          <w:tcPr>
            <w:tcW w:w="780" w:type="pct"/>
            <w:gridSpan w:val="2"/>
            <w:vAlign w:val="center"/>
          </w:tcPr>
          <w:p w14:paraId="46BEB9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1A5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7996A7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683" w:type="pct"/>
            <w:vAlign w:val="center"/>
          </w:tcPr>
          <w:p w14:paraId="6832DA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活性炭</w:t>
            </w:r>
          </w:p>
        </w:tc>
        <w:tc>
          <w:tcPr>
            <w:tcW w:w="2847" w:type="pct"/>
            <w:gridSpan w:val="2"/>
            <w:vAlign w:val="center"/>
          </w:tcPr>
          <w:p w14:paraId="632F0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耐水性蜂窝活性炭</w:t>
            </w:r>
          </w:p>
          <w:p w14:paraId="535D83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规格：100×100×100 mm</w:t>
            </w:r>
          </w:p>
          <w:p w14:paraId="78F766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碘值≥800，BET≥750m2/g</w:t>
            </w:r>
          </w:p>
        </w:tc>
        <w:tc>
          <w:tcPr>
            <w:tcW w:w="780" w:type="pct"/>
            <w:gridSpan w:val="2"/>
            <w:vAlign w:val="center"/>
          </w:tcPr>
          <w:p w14:paraId="6212DC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10m3</w:t>
            </w:r>
          </w:p>
        </w:tc>
      </w:tr>
      <w:tr w14:paraId="1831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EE906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530" w:type="pct"/>
            <w:gridSpan w:val="3"/>
            <w:vAlign w:val="center"/>
          </w:tcPr>
          <w:p w14:paraId="7BBB0A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tc>
        <w:tc>
          <w:tcPr>
            <w:tcW w:w="780" w:type="pct"/>
            <w:gridSpan w:val="2"/>
            <w:vAlign w:val="center"/>
          </w:tcPr>
          <w:p w14:paraId="6FF7CC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E08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6D97C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683" w:type="pct"/>
            <w:vAlign w:val="center"/>
          </w:tcPr>
          <w:p w14:paraId="5ADF37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847" w:type="pct"/>
            <w:gridSpan w:val="2"/>
            <w:vAlign w:val="center"/>
          </w:tcPr>
          <w:p w14:paraId="02104C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内部连接风管（DN600，304不锈钢≥1.5mm，防火陶瓷纤维+镀锌钢板保温）、</w:t>
            </w:r>
          </w:p>
          <w:p w14:paraId="4E652E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操作平台、护栏、镀锌雨棚</w:t>
            </w:r>
          </w:p>
        </w:tc>
        <w:tc>
          <w:tcPr>
            <w:tcW w:w="780" w:type="pct"/>
            <w:gridSpan w:val="2"/>
            <w:vAlign w:val="center"/>
          </w:tcPr>
          <w:p w14:paraId="0D1A9D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r>
    </w:tbl>
    <w:p w14:paraId="3D34CCE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1DA8DE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二、服务范围</w:t>
      </w:r>
    </w:p>
    <w:p w14:paraId="3BD15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内容包括：</w:t>
      </w:r>
    </w:p>
    <w:p w14:paraId="70577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1、项目概况评估，包括建设单位基本情况、项目基本情况、项目用能概况等；</w:t>
      </w:r>
    </w:p>
    <w:p w14:paraId="38E8D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2、节能评估依据评估，包括相关法律法规、标准规范、产业政策等；</w:t>
      </w:r>
    </w:p>
    <w:p w14:paraId="20EBD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3、建设方案节能评估，包括总平面布置、工艺流程、用能工艺、设备选型等；</w:t>
      </w:r>
    </w:p>
    <w:p w14:paraId="54603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4、能源消耗评估，包括能源消耗种类和数量、能源消费结构、能源利用效率等；</w:t>
      </w:r>
    </w:p>
    <w:p w14:paraId="3784B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5、节能措施评估，包括节能技术措施、节能管理措施、节能措施的经济性等；</w:t>
      </w:r>
    </w:p>
    <w:p w14:paraId="058DB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6、存在问题及建议，包括存在问题、建议等；</w:t>
      </w:r>
    </w:p>
    <w:p w14:paraId="61A7B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7、评估结论，包括节能评估总体结论、建设项目能源利用的基本情况、存在问题及改进建议、是否通过节能评估的结论等。</w:t>
      </w:r>
    </w:p>
    <w:p w14:paraId="2F38593A">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成果文件</w:t>
      </w:r>
    </w:p>
    <w:p w14:paraId="0A812101">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成果最终以文字和图文结合的形式展现，分为电子文件与纸质文件。文本文件应做到清晰、完整、标注齐全、准确。纸质文件应进行装帧设计，统一装订格式，纸质文件台账数量不少于2套。</w:t>
      </w:r>
    </w:p>
    <w:p w14:paraId="3F46DABD">
      <w:pPr>
        <w:numPr>
          <w:ilvl w:val="0"/>
          <w:numId w:val="0"/>
        </w:numPr>
        <w:bidi w:val="0"/>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专家审查</w:t>
      </w:r>
    </w:p>
    <w:p w14:paraId="6E58F473">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成果初稿完成后</w:t>
      </w:r>
      <w:r>
        <w:rPr>
          <w:rFonts w:hint="eastAsia" w:ascii="宋体" w:hAnsi="宋体" w:cs="宋体"/>
          <w:sz w:val="24"/>
          <w:szCs w:val="24"/>
          <w:highlight w:val="none"/>
          <w:lang w:val="en-US" w:eastAsia="zh-CN"/>
        </w:rPr>
        <w:t>须</w:t>
      </w:r>
      <w:r>
        <w:rPr>
          <w:rFonts w:hint="eastAsia" w:ascii="宋体" w:hAnsi="宋体" w:eastAsia="宋体" w:cs="宋体"/>
          <w:sz w:val="24"/>
          <w:szCs w:val="24"/>
          <w:highlight w:val="none"/>
          <w:lang w:val="en-US" w:eastAsia="zh-CN"/>
        </w:rPr>
        <w:t>提请专家审查，若专家对成果初稿提出修改意见，中标供应商应无条件根据意见修改完善直至通过审查，产生</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专家审查相关费用则由中标供应商承担。</w:t>
      </w:r>
    </w:p>
    <w:p w14:paraId="6E623088">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五、报相关部门审核</w:t>
      </w:r>
    </w:p>
    <w:p w14:paraId="0F879237">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采购人针对宜兴市喷涂绿岛项目节能评估</w:t>
      </w:r>
      <w:r>
        <w:rPr>
          <w:rFonts w:hint="eastAsia" w:ascii="宋体" w:hAnsi="宋体" w:eastAsia="宋体" w:cs="宋体"/>
          <w:sz w:val="24"/>
          <w:szCs w:val="24"/>
          <w:highlight w:val="none"/>
          <w:lang w:val="en-US" w:eastAsia="zh-CN"/>
        </w:rPr>
        <w:t>报告</w:t>
      </w:r>
      <w:r>
        <w:rPr>
          <w:rFonts w:hint="eastAsia" w:ascii="宋体" w:hAnsi="宋体" w:eastAsia="宋体" w:cs="宋体"/>
          <w:sz w:val="24"/>
          <w:szCs w:val="24"/>
          <w:highlight w:val="none"/>
        </w:rPr>
        <w:t>报</w:t>
      </w:r>
      <w:r>
        <w:rPr>
          <w:rFonts w:hint="eastAsia" w:ascii="宋体" w:hAnsi="宋体" w:eastAsia="宋体" w:cs="宋体"/>
          <w:sz w:val="24"/>
          <w:szCs w:val="24"/>
          <w:highlight w:val="none"/>
          <w:lang w:val="en-US" w:eastAsia="zh-CN"/>
        </w:rPr>
        <w:t>相关部门审核期间，</w:t>
      </w:r>
      <w:r>
        <w:rPr>
          <w:rFonts w:hint="eastAsia" w:ascii="宋体" w:hAnsi="宋体" w:eastAsia="宋体" w:cs="宋体"/>
          <w:sz w:val="24"/>
          <w:szCs w:val="24"/>
          <w:highlight w:val="none"/>
        </w:rPr>
        <w:t>中标供应商必须积极主动配合直至通过</w:t>
      </w:r>
      <w:r>
        <w:rPr>
          <w:rFonts w:hint="eastAsia" w:ascii="宋体" w:hAnsi="宋体" w:eastAsia="宋体" w:cs="宋体"/>
          <w:sz w:val="24"/>
          <w:szCs w:val="24"/>
          <w:highlight w:val="none"/>
          <w:lang w:val="en-US" w:eastAsia="zh-CN"/>
        </w:rPr>
        <w:t>审核</w:t>
      </w:r>
      <w:r>
        <w:rPr>
          <w:rFonts w:hint="eastAsia" w:ascii="宋体" w:hAnsi="宋体" w:eastAsia="宋体" w:cs="宋体"/>
          <w:sz w:val="24"/>
          <w:szCs w:val="24"/>
          <w:highlight w:val="none"/>
        </w:rPr>
        <w:t>。</w:t>
      </w:r>
    </w:p>
    <w:p w14:paraId="19F451F3">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六、其他</w:t>
      </w:r>
    </w:p>
    <w:p w14:paraId="6D64AD51">
      <w:pPr>
        <w:bidi w:val="0"/>
        <w:spacing w:line="360" w:lineRule="auto"/>
        <w:ind w:firstLine="480" w:firstLineChars="200"/>
        <w:rPr>
          <w:rFonts w:hint="default" w:ascii="宋体" w:hAnsi="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本项目设备清单已在招标文件中提供，供应商根据设备清单内容，充分考虑本次服务费用，合同签订后，服务费用不予调整，除非因采购人提供的设备清单发生重大变更，审批的权限发生调整，导致节能评估服务费用增加，双方可协商相关服务费用。</w:t>
      </w:r>
    </w:p>
    <w:p w14:paraId="60696B9C">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本项目如需相关人员驻场，驻场人员的交通、住宿、伙食等所有费用均由供应商承担。</w:t>
      </w:r>
    </w:p>
    <w:p w14:paraId="36EBFA01">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、如因用工不规范或薪酬问题等产生的纠纷与采购人无关，由供应商负责解决。如发生债权、债务纠纷和工伤等责任事故，均由供应商负责承担。</w:t>
      </w:r>
    </w:p>
    <w:p w14:paraId="289A20C8">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、服务期间，供应商自行对员工的安全负责，如因安全作业或安全预防措施不到位，造成的一切安全责任由供应商自行承担。</w:t>
      </w:r>
    </w:p>
    <w:p w14:paraId="554B1B95">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七、报价</w:t>
      </w:r>
    </w:p>
    <w:p w14:paraId="2A6CC49D">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投标报价包括供应商承担该项目全部项目所需的劳务费、管理费、评估费、利润、税金、保险、政策性文件规定费用、参与此次项目所有人员的住宿费、交通费、通讯费、编制评估报告、专家咨询等以及合同明示或暗示的一般风险、责任和义务等一切因实施本项目产生的全部费用。本项目的费用总价在合同实施期间不因项目的服务期延长等因素而调整。中标价一经确定，不作调整。</w:t>
      </w:r>
    </w:p>
    <w:p w14:paraId="14B06BAE">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、商务要求</w:t>
      </w:r>
    </w:p>
    <w:p w14:paraId="5DD74B0E">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1、服务期限：签订合同并资料齐全后</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个工作日</w:t>
      </w:r>
      <w:r>
        <w:rPr>
          <w:rFonts w:hint="eastAsia" w:ascii="宋体" w:hAnsi="宋体" w:eastAsia="宋体" w:cs="宋体"/>
          <w:sz w:val="24"/>
          <w:szCs w:val="24"/>
          <w:highlight w:val="none"/>
          <w:lang w:val="en-US" w:eastAsia="zh-CN"/>
        </w:rPr>
        <w:t>内</w:t>
      </w:r>
      <w:r>
        <w:rPr>
          <w:rFonts w:hint="eastAsia" w:ascii="宋体" w:hAnsi="宋体" w:eastAsia="宋体" w:cs="宋体"/>
          <w:sz w:val="24"/>
          <w:szCs w:val="24"/>
          <w:highlight w:val="none"/>
        </w:rPr>
        <w:t>完成节能评估服务工作</w:t>
      </w:r>
      <w:r>
        <w:rPr>
          <w:rFonts w:hint="eastAsia" w:ascii="宋体" w:hAnsi="宋体" w:eastAsia="宋体" w:cs="宋体"/>
          <w:sz w:val="24"/>
          <w:szCs w:val="24"/>
          <w:highlight w:val="none"/>
          <w:lang w:val="en-US" w:eastAsia="zh-CN"/>
        </w:rPr>
        <w:t>并通过相关部门审核</w:t>
      </w:r>
      <w:r>
        <w:rPr>
          <w:rFonts w:hint="eastAsia" w:ascii="宋体" w:hAnsi="宋体" w:eastAsia="宋体" w:cs="宋体"/>
          <w:sz w:val="24"/>
          <w:szCs w:val="24"/>
          <w:highlight w:val="none"/>
        </w:rPr>
        <w:t>。</w:t>
      </w:r>
    </w:p>
    <w:p w14:paraId="30837474">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如延误</w:t>
      </w:r>
      <w:r>
        <w:rPr>
          <w:rFonts w:hint="eastAsia" w:ascii="宋体" w:hAnsi="宋体" w:eastAsia="宋体" w:cs="宋体"/>
          <w:sz w:val="24"/>
          <w:szCs w:val="24"/>
          <w:highlight w:val="none"/>
          <w:lang w:val="en-US" w:eastAsia="zh-CN"/>
        </w:rPr>
        <w:t>服务时间的</w:t>
      </w:r>
      <w:r>
        <w:rPr>
          <w:rFonts w:hint="eastAsia" w:ascii="宋体" w:hAnsi="宋体" w:eastAsia="宋体" w:cs="宋体"/>
          <w:sz w:val="24"/>
          <w:szCs w:val="24"/>
          <w:highlight w:val="none"/>
        </w:rPr>
        <w:t>，则中标方按中标价的</w:t>
      </w:r>
      <w:r>
        <w:rPr>
          <w:rFonts w:hint="eastAsia" w:ascii="宋体" w:hAnsi="宋体" w:eastAsia="宋体" w:cs="宋体"/>
          <w:sz w:val="24"/>
          <w:szCs w:val="24"/>
          <w:highlight w:val="none"/>
          <w:lang w:val="en-US" w:eastAsia="zh-CN"/>
        </w:rPr>
        <w:t>千分之五</w:t>
      </w:r>
      <w:r>
        <w:rPr>
          <w:rFonts w:hint="eastAsia" w:ascii="宋体" w:hAnsi="宋体" w:eastAsia="宋体" w:cs="宋体"/>
          <w:sz w:val="24"/>
          <w:szCs w:val="24"/>
          <w:highlight w:val="none"/>
        </w:rPr>
        <w:t>/天支付违约金给采购人。</w:t>
      </w:r>
    </w:p>
    <w:p w14:paraId="1B4A7CA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2、服务地点：宜兴市。</w:t>
      </w:r>
    </w:p>
    <w:p w14:paraId="24B5FE3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3、验收标准：采购人根据国家有关规定、采购文件、投标文件以及合同约定的内容。</w:t>
      </w:r>
    </w:p>
    <w:p w14:paraId="7485389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4、付款步骤：完成节能评估报告、完成专家评审且拿到相关批复后</w:t>
      </w:r>
      <w:r>
        <w:rPr>
          <w:rFonts w:hint="eastAsia" w:ascii="宋体" w:hAnsi="宋体" w:cs="宋体"/>
          <w:sz w:val="24"/>
          <w:szCs w:val="24"/>
          <w:lang w:val="en-US" w:eastAsia="zh-CN"/>
        </w:rPr>
        <w:t>一次性付清</w:t>
      </w:r>
      <w:r>
        <w:rPr>
          <w:rFonts w:hint="eastAsia" w:ascii="宋体" w:hAnsi="宋体" w:eastAsia="宋体" w:cs="宋体"/>
          <w:sz w:val="24"/>
          <w:szCs w:val="24"/>
        </w:rPr>
        <w:t>。</w:t>
      </w:r>
    </w:p>
    <w:p w14:paraId="431F32DC">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九、实质性要求</w:t>
      </w:r>
    </w:p>
    <w:p w14:paraId="69C963F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本章有关服务与商务条款的要求为基准要求，如投标人不能完全符合此基准要求，可高于此基准要求进行投标，采购人将不接受低于该基准要求（负偏离）的投标，投标人需对此基准要求作实质性响应。</w:t>
      </w:r>
    </w:p>
    <w:p w14:paraId="5E940688">
      <w:pPr>
        <w:bidi w:val="0"/>
        <w:spacing w:line="360" w:lineRule="auto"/>
        <w:rPr>
          <w:rFonts w:hint="eastAsia" w:ascii="宋体" w:hAnsi="宋体" w:eastAsia="宋体" w:cs="宋体"/>
          <w:sz w:val="24"/>
          <w:szCs w:val="24"/>
          <w:lang w:val="en-US" w:eastAsia="zh-CN"/>
        </w:rPr>
      </w:pPr>
    </w:p>
    <w:p w14:paraId="5053DE7A">
      <w:pPr>
        <w:bidi w:val="0"/>
        <w:spacing w:line="360" w:lineRule="auto"/>
        <w:rPr>
          <w:rFonts w:hint="eastAsia" w:ascii="宋体" w:hAnsi="宋体" w:eastAsia="宋体" w:cs="宋体"/>
          <w:sz w:val="24"/>
          <w:szCs w:val="24"/>
          <w:lang w:val="en-US" w:eastAsia="zh-CN"/>
        </w:rPr>
      </w:pPr>
    </w:p>
    <w:p w14:paraId="17BD4A61">
      <w:pPr>
        <w:bidi w:val="0"/>
        <w:spacing w:line="360" w:lineRule="auto"/>
        <w:rPr>
          <w:rFonts w:hint="eastAsia" w:ascii="宋体" w:hAnsi="宋体" w:eastAsia="宋体" w:cs="宋体"/>
          <w:sz w:val="24"/>
          <w:szCs w:val="24"/>
          <w:lang w:val="en-US" w:eastAsia="zh-CN"/>
        </w:rPr>
      </w:pPr>
    </w:p>
    <w:p w14:paraId="1D20458E">
      <w:pPr>
        <w:bidi w:val="0"/>
        <w:spacing w:line="360" w:lineRule="auto"/>
        <w:rPr>
          <w:rFonts w:hint="eastAsia" w:ascii="宋体" w:hAnsi="宋体" w:eastAsia="宋体" w:cs="宋体"/>
          <w:sz w:val="24"/>
          <w:szCs w:val="24"/>
          <w:lang w:val="en-US" w:eastAsia="zh-CN"/>
        </w:rPr>
      </w:pPr>
    </w:p>
    <w:p w14:paraId="045BAB68">
      <w:pPr>
        <w:bidi w:val="0"/>
        <w:spacing w:line="360" w:lineRule="auto"/>
        <w:rPr>
          <w:rFonts w:hint="eastAsia" w:ascii="宋体" w:hAnsi="宋体" w:eastAsia="宋体" w:cs="宋体"/>
          <w:sz w:val="24"/>
          <w:szCs w:val="24"/>
          <w:lang w:val="en-US" w:eastAsia="zh-CN"/>
        </w:rPr>
      </w:pPr>
    </w:p>
    <w:p w14:paraId="75A650F9">
      <w:pPr>
        <w:bidi w:val="0"/>
        <w:spacing w:line="360" w:lineRule="auto"/>
        <w:rPr>
          <w:rFonts w:hint="eastAsia" w:ascii="宋体" w:hAnsi="宋体" w:eastAsia="宋体" w:cs="宋体"/>
          <w:sz w:val="24"/>
          <w:szCs w:val="24"/>
        </w:rPr>
      </w:pPr>
    </w:p>
    <w:p w14:paraId="5EF20DBF">
      <w:pPr>
        <w:bidi w:val="0"/>
        <w:spacing w:line="360" w:lineRule="auto"/>
        <w:rPr>
          <w:rFonts w:hint="eastAsia" w:ascii="宋体" w:hAnsi="宋体" w:eastAsia="宋体" w:cs="宋体"/>
          <w:sz w:val="24"/>
          <w:szCs w:val="24"/>
        </w:rPr>
      </w:pPr>
    </w:p>
    <w:p w14:paraId="043FD302">
      <w:pPr>
        <w:bidi w:val="0"/>
        <w:spacing w:line="360" w:lineRule="auto"/>
        <w:rPr>
          <w:rFonts w:hint="eastAsia" w:ascii="宋体" w:hAnsi="宋体" w:eastAsia="宋体" w:cs="宋体"/>
          <w:sz w:val="24"/>
          <w:szCs w:val="24"/>
        </w:rPr>
      </w:pPr>
    </w:p>
    <w:p w14:paraId="7B811B08">
      <w:pPr>
        <w:bidi w:val="0"/>
        <w:spacing w:line="360" w:lineRule="auto"/>
        <w:rPr>
          <w:rFonts w:hint="eastAsia" w:ascii="宋体" w:hAnsi="宋体" w:eastAsia="宋体" w:cs="宋体"/>
          <w:sz w:val="24"/>
          <w:szCs w:val="24"/>
        </w:rPr>
      </w:pPr>
    </w:p>
    <w:p w14:paraId="1CC2E804">
      <w:pPr>
        <w:numPr>
          <w:ilvl w:val="0"/>
          <w:numId w:val="14"/>
        </w:numPr>
        <w:ind w:firstLine="480"/>
        <w:jc w:val="center"/>
        <w:outlineLvl w:val="0"/>
        <w:rPr>
          <w:rFonts w:ascii="黑体" w:hAnsi="黑体" w:eastAsia="黑体"/>
          <w:sz w:val="28"/>
          <w:highlight w:val="none"/>
        </w:rPr>
      </w:pPr>
      <w:r>
        <w:rPr>
          <w:rFonts w:hint="eastAsia" w:ascii="黑体" w:hAnsi="黑体" w:eastAsia="黑体"/>
          <w:sz w:val="28"/>
          <w:highlight w:val="none"/>
        </w:rPr>
        <w:t>采购合同（格式）</w:t>
      </w:r>
    </w:p>
    <w:p w14:paraId="1E21678F">
      <w:pPr>
        <w:ind w:firstLine="420" w:firstLineChars="200"/>
        <w:rPr>
          <w:rFonts w:ascii="宋体"/>
          <w:highlight w:val="none"/>
        </w:rPr>
      </w:pPr>
    </w:p>
    <w:p w14:paraId="0E53E368">
      <w:pPr>
        <w:pStyle w:val="144"/>
        <w:ind w:firstLine="0"/>
        <w:jc w:val="center"/>
        <w:rPr>
          <w:rFonts w:hAnsi="宋体" w:cs="宋体"/>
          <w:b/>
          <w:szCs w:val="24"/>
          <w:highlight w:val="none"/>
        </w:rPr>
      </w:pPr>
      <w:r>
        <w:rPr>
          <w:rFonts w:hint="eastAsia" w:hAnsi="宋体" w:cs="宋体"/>
          <w:b/>
          <w:szCs w:val="24"/>
          <w:highlight w:val="none"/>
        </w:rPr>
        <w:t>第一部分 合同书</w:t>
      </w:r>
    </w:p>
    <w:p w14:paraId="6F89DEEF">
      <w:pPr>
        <w:pStyle w:val="144"/>
        <w:ind w:firstLine="0"/>
        <w:rPr>
          <w:rFonts w:hAnsi="宋体" w:cs="宋体"/>
          <w:szCs w:val="24"/>
          <w:highlight w:val="none"/>
        </w:rPr>
      </w:pPr>
    </w:p>
    <w:p w14:paraId="53069766">
      <w:pPr>
        <w:pStyle w:val="144"/>
        <w:ind w:firstLine="0"/>
        <w:rPr>
          <w:rFonts w:hAnsi="宋体" w:cs="宋体"/>
          <w:szCs w:val="24"/>
          <w:highlight w:val="none"/>
        </w:rPr>
      </w:pPr>
    </w:p>
    <w:p w14:paraId="2CB75C1D">
      <w:pPr>
        <w:spacing w:line="22" w:lineRule="atLeast"/>
        <w:rPr>
          <w:rFonts w:ascii="宋体" w:hAnsi="宋体" w:cs="宋体"/>
          <w:sz w:val="24"/>
          <w:highlight w:val="none"/>
        </w:rPr>
      </w:pPr>
    </w:p>
    <w:p w14:paraId="0DC22647">
      <w:pPr>
        <w:spacing w:line="600" w:lineRule="auto"/>
        <w:ind w:firstLine="720" w:firstLineChars="3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宜兴市喷涂绿岛项目节能评估服务</w:t>
      </w:r>
      <w:r>
        <w:rPr>
          <w:rFonts w:hint="eastAsia" w:ascii="宋体" w:hAnsi="宋体" w:cs="宋体"/>
          <w:sz w:val="24"/>
          <w:highlight w:val="none"/>
          <w:u w:val="single"/>
        </w:rPr>
        <w:t xml:space="preserve"> </w:t>
      </w:r>
    </w:p>
    <w:p w14:paraId="48B3E056">
      <w:pPr>
        <w:pStyle w:val="151"/>
        <w:spacing w:line="600" w:lineRule="auto"/>
        <w:ind w:firstLine="720" w:firstLineChars="300"/>
        <w:rPr>
          <w:rFonts w:ascii="宋体" w:hAnsi="宋体" w:cs="宋体"/>
          <w:highlight w:val="none"/>
        </w:rPr>
      </w:pPr>
      <w:r>
        <w:rPr>
          <w:rFonts w:hint="eastAsia" w:ascii="宋体" w:hAnsi="宋体" w:eastAsia="宋体" w:cs="宋体"/>
          <w:bCs/>
          <w:highlight w:val="none"/>
        </w:rPr>
        <w:t>项目编号：</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w:t>
      </w:r>
    </w:p>
    <w:p w14:paraId="6946548B">
      <w:pPr>
        <w:spacing w:line="600" w:lineRule="auto"/>
        <w:ind w:firstLine="720" w:firstLineChars="300"/>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 xml:space="preserve">                                       </w:t>
      </w:r>
    </w:p>
    <w:p w14:paraId="6CBBAD25">
      <w:pPr>
        <w:spacing w:line="600" w:lineRule="auto"/>
        <w:ind w:firstLine="720" w:firstLineChars="300"/>
        <w:rPr>
          <w:rFonts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1B72217E">
      <w:pPr>
        <w:spacing w:line="600" w:lineRule="auto"/>
        <w:ind w:firstLine="720" w:firstLineChars="3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42D5B428">
      <w:pPr>
        <w:spacing w:line="600" w:lineRule="auto"/>
        <w:ind w:firstLine="720" w:firstLineChars="300"/>
        <w:rPr>
          <w:rFonts w:ascii="宋体" w:hAnsi="宋体" w:cs="宋体"/>
          <w:sz w:val="24"/>
          <w:highlight w:val="non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F63B0EE">
      <w:pPr>
        <w:spacing w:line="560" w:lineRule="exact"/>
        <w:ind w:firstLine="480" w:firstLineChars="200"/>
        <w:rPr>
          <w:rFonts w:ascii="宋体" w:hAnsi="宋体" w:cs="宋体"/>
          <w:sz w:val="24"/>
          <w:highlight w:val="none"/>
        </w:rPr>
      </w:pPr>
    </w:p>
    <w:p w14:paraId="62451735">
      <w:pPr>
        <w:spacing w:line="560" w:lineRule="exact"/>
        <w:ind w:firstLine="480" w:firstLineChars="200"/>
        <w:rPr>
          <w:rFonts w:ascii="宋体" w:hAnsi="宋体" w:cs="宋体"/>
          <w:sz w:val="24"/>
          <w:highlight w:val="none"/>
        </w:rPr>
      </w:pPr>
    </w:p>
    <w:p w14:paraId="3D5D9493">
      <w:pPr>
        <w:spacing w:line="560" w:lineRule="exact"/>
        <w:ind w:firstLine="480" w:firstLineChars="200"/>
        <w:rPr>
          <w:rFonts w:ascii="宋体" w:hAnsi="宋体" w:cs="宋体"/>
          <w:sz w:val="24"/>
          <w:highlight w:val="none"/>
        </w:rPr>
      </w:pPr>
    </w:p>
    <w:p w14:paraId="7DA20291">
      <w:pPr>
        <w:spacing w:line="560" w:lineRule="exact"/>
        <w:ind w:firstLine="480" w:firstLineChars="200"/>
        <w:rPr>
          <w:rFonts w:ascii="宋体" w:hAnsi="宋体" w:cs="宋体"/>
          <w:sz w:val="24"/>
          <w:highlight w:val="none"/>
        </w:rPr>
      </w:pPr>
    </w:p>
    <w:p w14:paraId="4E4E9689">
      <w:pPr>
        <w:spacing w:line="560" w:lineRule="exact"/>
        <w:ind w:firstLine="480" w:firstLineChars="200"/>
        <w:rPr>
          <w:rFonts w:ascii="宋体" w:hAnsi="宋体" w:cs="宋体"/>
          <w:sz w:val="24"/>
          <w:highlight w:val="none"/>
        </w:rPr>
      </w:pPr>
    </w:p>
    <w:p w14:paraId="36A9DE00">
      <w:pPr>
        <w:spacing w:line="560" w:lineRule="exact"/>
        <w:ind w:firstLine="480" w:firstLineChars="200"/>
        <w:rPr>
          <w:rFonts w:ascii="宋体" w:hAnsi="宋体" w:cs="宋体"/>
          <w:sz w:val="24"/>
          <w:highlight w:val="none"/>
        </w:rPr>
      </w:pPr>
    </w:p>
    <w:p w14:paraId="67786C42">
      <w:pPr>
        <w:spacing w:line="560" w:lineRule="exact"/>
        <w:ind w:firstLine="480" w:firstLineChars="200"/>
        <w:rPr>
          <w:rFonts w:ascii="宋体" w:hAnsi="宋体" w:cs="宋体"/>
          <w:sz w:val="24"/>
          <w:highlight w:val="none"/>
        </w:rPr>
      </w:pPr>
    </w:p>
    <w:p w14:paraId="5E91E7C0">
      <w:pPr>
        <w:pStyle w:val="17"/>
        <w:ind w:left="1260"/>
        <w:rPr>
          <w:highlight w:val="none"/>
        </w:rPr>
      </w:pPr>
    </w:p>
    <w:p w14:paraId="78B3419A">
      <w:pPr>
        <w:spacing w:line="560" w:lineRule="exact"/>
        <w:ind w:firstLine="480" w:firstLineChars="200"/>
        <w:rPr>
          <w:rFonts w:ascii="宋体" w:hAnsi="宋体" w:cs="宋体"/>
          <w:sz w:val="24"/>
          <w:highlight w:val="none"/>
        </w:rPr>
      </w:pPr>
    </w:p>
    <w:p w14:paraId="31A287C7">
      <w:pPr>
        <w:spacing w:line="560" w:lineRule="exact"/>
        <w:ind w:firstLine="480" w:firstLineChars="200"/>
        <w:rPr>
          <w:rFonts w:ascii="宋体" w:hAnsi="宋体" w:cs="宋体"/>
          <w:sz w:val="24"/>
          <w:highlight w:val="none"/>
        </w:rPr>
      </w:pPr>
    </w:p>
    <w:p w14:paraId="2B30E3B6">
      <w:pPr>
        <w:spacing w:line="560" w:lineRule="exact"/>
        <w:ind w:firstLine="480" w:firstLineChars="200"/>
        <w:rPr>
          <w:rFonts w:ascii="宋体" w:hAnsi="宋体" w:cs="宋体"/>
          <w:sz w:val="24"/>
          <w:highlight w:val="none"/>
        </w:rPr>
      </w:pPr>
    </w:p>
    <w:p w14:paraId="60845077">
      <w:pPr>
        <w:spacing w:line="560" w:lineRule="exact"/>
        <w:ind w:firstLine="480" w:firstLineChars="200"/>
        <w:rPr>
          <w:rFonts w:hint="eastAsia" w:ascii="宋体" w:hAnsi="宋体" w:cs="宋体"/>
          <w:sz w:val="24"/>
          <w:highlight w:val="none"/>
        </w:rPr>
      </w:pPr>
    </w:p>
    <w:p w14:paraId="7A6BA61E">
      <w:pPr>
        <w:spacing w:line="560" w:lineRule="exact"/>
        <w:ind w:firstLine="480" w:firstLineChars="200"/>
        <w:rPr>
          <w:rFonts w:hint="eastAsia" w:ascii="宋体" w:hAnsi="宋体" w:cs="宋体"/>
          <w:sz w:val="24"/>
          <w:highlight w:val="none"/>
        </w:rPr>
      </w:pPr>
    </w:p>
    <w:p w14:paraId="11B3BEC2">
      <w:pPr>
        <w:spacing w:line="560" w:lineRule="exact"/>
        <w:ind w:firstLine="480" w:firstLineChars="200"/>
        <w:rPr>
          <w:rFonts w:ascii="宋体" w:hAnsi="宋体" w:cs="宋体"/>
          <w:sz w:val="24"/>
          <w:highlight w:val="none"/>
        </w:rPr>
      </w:pPr>
    </w:p>
    <w:p w14:paraId="6A00DDA1">
      <w:pPr>
        <w:pStyle w:val="178"/>
        <w:spacing w:before="120" w:after="120"/>
        <w:jc w:val="center"/>
        <w:rPr>
          <w:rFonts w:hint="eastAsia"/>
          <w:highlight w:val="none"/>
        </w:rPr>
      </w:pPr>
      <w:bookmarkStart w:id="95" w:name="_Toc30630"/>
      <w:bookmarkStart w:id="96" w:name="_Toc128657431"/>
    </w:p>
    <w:p w14:paraId="684CCF85">
      <w:pPr>
        <w:pStyle w:val="178"/>
        <w:spacing w:before="120" w:after="120"/>
        <w:jc w:val="center"/>
        <w:rPr>
          <w:highlight w:val="none"/>
        </w:rPr>
      </w:pPr>
      <w:r>
        <w:rPr>
          <w:highlight w:val="none"/>
        </w:rPr>
        <w:t>技术咨询合同书</w:t>
      </w:r>
      <w:bookmarkEnd w:id="95"/>
      <w:bookmarkEnd w:id="96"/>
    </w:p>
    <w:p w14:paraId="6751560B">
      <w:pPr>
        <w:spacing w:line="400" w:lineRule="exact"/>
        <w:rPr>
          <w:rFonts w:hint="eastAsia" w:ascii="宋体" w:hAnsi="宋体" w:eastAsia="宋体" w:cs="宋体"/>
          <w:bCs/>
          <w:sz w:val="24"/>
          <w:szCs w:val="24"/>
          <w:highlight w:val="none"/>
          <w:u w:val="single"/>
          <w:lang w:eastAsia="zh-CN"/>
        </w:rPr>
      </w:pPr>
      <w:r>
        <w:rPr>
          <w:rFonts w:hint="eastAsia" w:ascii="宋体" w:hAnsi="宋体" w:cs="宋体"/>
          <w:bCs/>
          <w:sz w:val="24"/>
          <w:szCs w:val="24"/>
          <w:highlight w:val="none"/>
        </w:rPr>
        <w:t>发包人（全称）：</w:t>
      </w:r>
      <w:r>
        <w:rPr>
          <w:rFonts w:hint="eastAsia" w:ascii="宋体" w:hAnsi="宋体" w:cs="宋体"/>
          <w:bCs/>
          <w:sz w:val="24"/>
          <w:szCs w:val="24"/>
          <w:highlight w:val="none"/>
          <w:u w:val="single"/>
          <w:lang w:eastAsia="zh-CN"/>
        </w:rPr>
        <w:t>宜兴市宜蓝环境科技有限公司</w:t>
      </w:r>
    </w:p>
    <w:p w14:paraId="75D27505">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受托人（全称）：</w:t>
      </w:r>
      <w:r>
        <w:rPr>
          <w:rFonts w:hint="eastAsia" w:ascii="宋体" w:hAnsi="宋体" w:cs="宋体"/>
          <w:bCs/>
          <w:sz w:val="24"/>
          <w:szCs w:val="24"/>
          <w:highlight w:val="none"/>
          <w:u w:val="single"/>
        </w:rPr>
        <w:t xml:space="preserve">                            </w:t>
      </w:r>
    </w:p>
    <w:p w14:paraId="3D004FC4">
      <w:pPr>
        <w:spacing w:line="400" w:lineRule="exact"/>
        <w:rPr>
          <w:rFonts w:ascii="宋体" w:hAnsi="宋体" w:cs="宋体"/>
          <w:bCs/>
          <w:sz w:val="24"/>
          <w:szCs w:val="24"/>
          <w:highlight w:val="none"/>
          <w:u w:val="single"/>
        </w:rPr>
      </w:pPr>
    </w:p>
    <w:p w14:paraId="11B4F091">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lang w:eastAsia="zh-CN"/>
        </w:rPr>
        <w:t>宜兴市宜蓝环境科技有限公司</w:t>
      </w:r>
      <w:r>
        <w:rPr>
          <w:rFonts w:hint="eastAsia" w:ascii="宋体" w:hAnsi="宋体" w:cs="宋体"/>
          <w:sz w:val="24"/>
          <w:szCs w:val="24"/>
          <w:highlight w:val="none"/>
        </w:rPr>
        <w:t>以</w:t>
      </w:r>
      <w:r>
        <w:rPr>
          <w:rFonts w:hint="eastAsia" w:ascii="宋体" w:hAnsi="宋体" w:cs="宋体"/>
          <w:sz w:val="24"/>
          <w:szCs w:val="24"/>
          <w:highlight w:val="none"/>
          <w:u w:val="single"/>
        </w:rPr>
        <w:t xml:space="preserve"> 公开招标方式 </w:t>
      </w:r>
      <w:r>
        <w:rPr>
          <w:rFonts w:hint="eastAsia" w:ascii="宋体" w:hAnsi="宋体" w:cs="宋体"/>
          <w:sz w:val="24"/>
          <w:szCs w:val="24"/>
          <w:highlight w:val="none"/>
        </w:rPr>
        <w:t>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宜兴市喷涂绿岛项目节能评估服务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进行了采购。经评标委员会评审，确定 </w:t>
      </w:r>
      <w:r>
        <w:rPr>
          <w:rFonts w:hint="eastAsia" w:ascii="宋体" w:hAnsi="宋体" w:cs="宋体"/>
          <w:sz w:val="24"/>
          <w:szCs w:val="24"/>
          <w:highlight w:val="none"/>
          <w:u w:val="single"/>
        </w:rPr>
        <w:t>（中标供应商名称）</w:t>
      </w:r>
      <w:r>
        <w:rPr>
          <w:rFonts w:hint="eastAsia" w:ascii="宋体" w:hAnsi="宋体" w:cs="宋体"/>
          <w:sz w:val="24"/>
          <w:szCs w:val="24"/>
          <w:highlight w:val="none"/>
        </w:rPr>
        <w:t>为该项目中标供应商。现于中标通知书发出之日起三十日内，按照采购文件确定的事项签订本合同。</w:t>
      </w:r>
    </w:p>
    <w:p w14:paraId="1AFCB84F">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lang w:val="zh-CN"/>
        </w:rPr>
        <w:t>根据《中华人民共和国民法典》等相关法律法规之规定，按照平等、自愿、公平和诚实信用的原则，经</w:t>
      </w:r>
      <w:r>
        <w:rPr>
          <w:rFonts w:hint="eastAsia" w:ascii="宋体" w:hAnsi="宋体" w:cs="宋体"/>
          <w:sz w:val="24"/>
          <w:szCs w:val="24"/>
          <w:highlight w:val="none"/>
          <w:u w:val="single"/>
          <w:lang w:eastAsia="zh-CN"/>
        </w:rPr>
        <w:t>宜兴市宜蓝环境科技有限公司</w:t>
      </w:r>
      <w:r>
        <w:rPr>
          <w:rFonts w:hint="eastAsia" w:ascii="宋体" w:hAnsi="宋体" w:cs="宋体"/>
          <w:sz w:val="24"/>
          <w:szCs w:val="24"/>
          <w:highlight w:val="none"/>
          <w:lang w:val="zh-CN"/>
        </w:rPr>
        <w:t>(以下简称：甲方)和</w:t>
      </w:r>
      <w:r>
        <w:rPr>
          <w:rFonts w:hint="eastAsia" w:ascii="宋体" w:hAnsi="宋体" w:cs="宋体"/>
          <w:sz w:val="24"/>
          <w:szCs w:val="24"/>
          <w:highlight w:val="none"/>
          <w:u w:val="single"/>
        </w:rPr>
        <w:t xml:space="preserve"> （中标供应商名称）</w:t>
      </w:r>
      <w:r>
        <w:rPr>
          <w:rFonts w:hint="eastAsia" w:ascii="宋体" w:hAnsi="宋体" w:cs="宋体"/>
          <w:sz w:val="24"/>
          <w:szCs w:val="24"/>
          <w:highlight w:val="none"/>
          <w:lang w:val="zh-CN"/>
        </w:rPr>
        <w:t>(以下简称：乙方)协商一致，约定以下合同</w:t>
      </w:r>
      <w:r>
        <w:rPr>
          <w:rFonts w:hint="eastAsia" w:ascii="宋体" w:hAnsi="宋体" w:cs="宋体"/>
          <w:sz w:val="24"/>
          <w:szCs w:val="24"/>
          <w:highlight w:val="none"/>
        </w:rPr>
        <w:t>条款，以兹共同遵守、全面履行。</w:t>
      </w:r>
    </w:p>
    <w:p w14:paraId="2A408420">
      <w:pPr>
        <w:spacing w:line="560" w:lineRule="exact"/>
        <w:ind w:firstLine="482" w:firstLineChars="200"/>
        <w:rPr>
          <w:rFonts w:ascii="宋体" w:hAnsi="宋体" w:cs="宋体"/>
          <w:sz w:val="24"/>
          <w:szCs w:val="24"/>
          <w:highlight w:val="none"/>
        </w:rPr>
      </w:pPr>
      <w:bookmarkStart w:id="97" w:name="_Toc20421"/>
      <w:bookmarkStart w:id="98" w:name="_Toc22967"/>
      <w:bookmarkStart w:id="99" w:name="_Toc19273"/>
      <w:bookmarkStart w:id="100" w:name="_Toc15367"/>
      <w:bookmarkStart w:id="101" w:name="_Toc28855"/>
      <w:r>
        <w:rPr>
          <w:rFonts w:hint="eastAsia" w:ascii="宋体" w:hAnsi="宋体" w:cs="宋体"/>
          <w:b/>
          <w:sz w:val="24"/>
          <w:szCs w:val="24"/>
          <w:highlight w:val="none"/>
        </w:rPr>
        <w:t>1.1 合同组成部分</w:t>
      </w:r>
      <w:bookmarkEnd w:id="97"/>
      <w:bookmarkEnd w:id="98"/>
      <w:bookmarkEnd w:id="99"/>
      <w:bookmarkEnd w:id="100"/>
      <w:bookmarkEnd w:id="101"/>
    </w:p>
    <w:p w14:paraId="445B51BE">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3FCAD27">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1.1.1 本合同及其补充合同、变更协议；</w:t>
      </w:r>
    </w:p>
    <w:p w14:paraId="09EE716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1.1.2 中标通知书；</w:t>
      </w:r>
    </w:p>
    <w:p w14:paraId="59152A2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1.1.3 投标文件（含澄清或者说明文件）；</w:t>
      </w:r>
    </w:p>
    <w:p w14:paraId="424DC75C">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1.1.4 采购文件（含澄清或者修改文件）；</w:t>
      </w:r>
    </w:p>
    <w:p w14:paraId="52D1EA9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1.1.5 其他相关采购文件。</w:t>
      </w:r>
    </w:p>
    <w:p w14:paraId="42BF70AA">
      <w:pPr>
        <w:spacing w:line="560" w:lineRule="exact"/>
        <w:ind w:firstLine="482" w:firstLineChars="200"/>
        <w:rPr>
          <w:rFonts w:ascii="宋体" w:hAnsi="宋体" w:cs="宋体"/>
          <w:b/>
          <w:sz w:val="24"/>
          <w:szCs w:val="24"/>
          <w:highlight w:val="none"/>
        </w:rPr>
      </w:pPr>
      <w:bookmarkStart w:id="102" w:name="_Toc2918"/>
      <w:bookmarkStart w:id="103" w:name="_Toc22185"/>
      <w:bookmarkStart w:id="104" w:name="_Toc6311"/>
      <w:bookmarkStart w:id="105" w:name="_Toc18585"/>
      <w:bookmarkStart w:id="106" w:name="_Toc6773"/>
      <w:r>
        <w:rPr>
          <w:rFonts w:hint="eastAsia" w:ascii="宋体" w:hAnsi="宋体" w:cs="宋体"/>
          <w:b/>
          <w:sz w:val="24"/>
          <w:szCs w:val="24"/>
          <w:highlight w:val="none"/>
        </w:rPr>
        <w:t>1.2 标的</w:t>
      </w:r>
      <w:bookmarkEnd w:id="102"/>
      <w:bookmarkEnd w:id="103"/>
      <w:bookmarkEnd w:id="104"/>
      <w:bookmarkEnd w:id="105"/>
      <w:bookmarkEnd w:id="106"/>
    </w:p>
    <w:p w14:paraId="0418A625">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1.2.1 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6384C8E">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1.2.2 项目数量：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B4A08B1">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1.2.3 项目质量：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7F057CC">
      <w:pPr>
        <w:spacing w:line="560" w:lineRule="exact"/>
        <w:ind w:firstLine="482" w:firstLineChars="200"/>
        <w:rPr>
          <w:rFonts w:ascii="宋体" w:hAnsi="宋体" w:cs="宋体"/>
          <w:b/>
          <w:sz w:val="24"/>
          <w:szCs w:val="24"/>
          <w:highlight w:val="none"/>
        </w:rPr>
      </w:pPr>
      <w:bookmarkStart w:id="107" w:name="_Toc5635"/>
      <w:bookmarkStart w:id="108" w:name="_Toc21124"/>
      <w:bookmarkStart w:id="109" w:name="_Toc1386"/>
      <w:bookmarkStart w:id="110" w:name="_Toc13918"/>
      <w:bookmarkStart w:id="111" w:name="_Toc4929"/>
      <w:r>
        <w:rPr>
          <w:rFonts w:hint="eastAsia" w:ascii="宋体" w:hAnsi="宋体" w:cs="宋体"/>
          <w:b/>
          <w:sz w:val="24"/>
          <w:szCs w:val="24"/>
          <w:highlight w:val="none"/>
        </w:rPr>
        <w:t>1.3 价款</w:t>
      </w:r>
      <w:bookmarkEnd w:id="107"/>
      <w:bookmarkEnd w:id="108"/>
      <w:bookmarkEnd w:id="109"/>
      <w:bookmarkEnd w:id="110"/>
      <w:bookmarkEnd w:id="111"/>
    </w:p>
    <w:p w14:paraId="6D70E7B0">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本合同总价为：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p w14:paraId="674B0602">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分项价格：</w:t>
      </w:r>
    </w:p>
    <w:tbl>
      <w:tblPr>
        <w:tblStyle w:val="3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4129"/>
        <w:gridCol w:w="3993"/>
      </w:tblGrid>
      <w:tr w14:paraId="05DD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6B5F4F5A">
            <w:pPr>
              <w:spacing w:line="56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4129" w:type="dxa"/>
            <w:vAlign w:val="center"/>
          </w:tcPr>
          <w:p w14:paraId="0E443220">
            <w:pPr>
              <w:spacing w:line="560" w:lineRule="exact"/>
              <w:ind w:firstLine="200"/>
              <w:jc w:val="center"/>
              <w:rPr>
                <w:rFonts w:ascii="宋体" w:hAnsi="宋体" w:cs="宋体"/>
                <w:sz w:val="24"/>
                <w:szCs w:val="24"/>
                <w:highlight w:val="none"/>
              </w:rPr>
            </w:pPr>
            <w:r>
              <w:rPr>
                <w:rFonts w:hint="eastAsia" w:ascii="宋体" w:hAnsi="宋体" w:cs="宋体"/>
                <w:sz w:val="24"/>
                <w:szCs w:val="24"/>
                <w:highlight w:val="none"/>
              </w:rPr>
              <w:t>分项名称</w:t>
            </w:r>
          </w:p>
        </w:tc>
        <w:tc>
          <w:tcPr>
            <w:tcW w:w="3993" w:type="dxa"/>
            <w:vAlign w:val="center"/>
          </w:tcPr>
          <w:p w14:paraId="669191DC">
            <w:pPr>
              <w:spacing w:line="560" w:lineRule="exact"/>
              <w:jc w:val="center"/>
              <w:rPr>
                <w:rFonts w:ascii="宋体" w:hAnsi="宋体" w:cs="宋体"/>
                <w:sz w:val="24"/>
                <w:szCs w:val="24"/>
                <w:highlight w:val="none"/>
              </w:rPr>
            </w:pPr>
            <w:r>
              <w:rPr>
                <w:rFonts w:hint="eastAsia" w:ascii="宋体" w:hAnsi="宋体" w:cs="宋体"/>
                <w:sz w:val="24"/>
                <w:szCs w:val="24"/>
                <w:highlight w:val="none"/>
              </w:rPr>
              <w:t>分项价格</w:t>
            </w:r>
          </w:p>
        </w:tc>
      </w:tr>
      <w:tr w14:paraId="3E86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3E75ED8A">
            <w:pPr>
              <w:spacing w:line="560" w:lineRule="exact"/>
              <w:ind w:firstLine="200"/>
              <w:jc w:val="center"/>
              <w:rPr>
                <w:rFonts w:ascii="宋体" w:hAnsi="宋体" w:cs="宋体"/>
                <w:sz w:val="24"/>
                <w:szCs w:val="24"/>
                <w:highlight w:val="none"/>
              </w:rPr>
            </w:pPr>
          </w:p>
        </w:tc>
        <w:tc>
          <w:tcPr>
            <w:tcW w:w="4129" w:type="dxa"/>
            <w:vAlign w:val="center"/>
          </w:tcPr>
          <w:p w14:paraId="770BE2EE">
            <w:pPr>
              <w:spacing w:line="560" w:lineRule="exact"/>
              <w:ind w:firstLine="200"/>
              <w:jc w:val="center"/>
              <w:rPr>
                <w:rFonts w:ascii="宋体" w:hAnsi="宋体" w:cs="宋体"/>
                <w:sz w:val="24"/>
                <w:szCs w:val="24"/>
                <w:highlight w:val="none"/>
              </w:rPr>
            </w:pPr>
          </w:p>
        </w:tc>
        <w:tc>
          <w:tcPr>
            <w:tcW w:w="3993" w:type="dxa"/>
            <w:vAlign w:val="center"/>
          </w:tcPr>
          <w:p w14:paraId="6EE0C99B">
            <w:pPr>
              <w:spacing w:line="560" w:lineRule="exact"/>
              <w:ind w:firstLine="200"/>
              <w:jc w:val="center"/>
              <w:rPr>
                <w:rFonts w:ascii="宋体" w:hAnsi="宋体" w:cs="宋体"/>
                <w:sz w:val="24"/>
                <w:szCs w:val="24"/>
                <w:highlight w:val="none"/>
              </w:rPr>
            </w:pPr>
          </w:p>
        </w:tc>
      </w:tr>
      <w:tr w14:paraId="46D9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41C0995E">
            <w:pPr>
              <w:spacing w:line="560" w:lineRule="exact"/>
              <w:ind w:firstLine="200"/>
              <w:jc w:val="center"/>
              <w:rPr>
                <w:rFonts w:ascii="宋体" w:hAnsi="宋体" w:cs="宋体"/>
                <w:sz w:val="24"/>
                <w:szCs w:val="24"/>
                <w:highlight w:val="none"/>
              </w:rPr>
            </w:pPr>
          </w:p>
        </w:tc>
        <w:tc>
          <w:tcPr>
            <w:tcW w:w="4129" w:type="dxa"/>
            <w:vAlign w:val="center"/>
          </w:tcPr>
          <w:p w14:paraId="06FD4DB4">
            <w:pPr>
              <w:spacing w:line="560" w:lineRule="exact"/>
              <w:ind w:firstLine="200"/>
              <w:jc w:val="center"/>
              <w:rPr>
                <w:rFonts w:ascii="宋体" w:hAnsi="宋体" w:cs="宋体"/>
                <w:sz w:val="24"/>
                <w:szCs w:val="24"/>
                <w:highlight w:val="none"/>
              </w:rPr>
            </w:pPr>
          </w:p>
        </w:tc>
        <w:tc>
          <w:tcPr>
            <w:tcW w:w="3993" w:type="dxa"/>
            <w:vAlign w:val="center"/>
          </w:tcPr>
          <w:p w14:paraId="7298FE04">
            <w:pPr>
              <w:spacing w:line="560" w:lineRule="exact"/>
              <w:ind w:firstLine="200"/>
              <w:jc w:val="center"/>
              <w:rPr>
                <w:rFonts w:ascii="宋体" w:hAnsi="宋体" w:cs="宋体"/>
                <w:sz w:val="24"/>
                <w:szCs w:val="24"/>
                <w:highlight w:val="none"/>
              </w:rPr>
            </w:pPr>
          </w:p>
        </w:tc>
      </w:tr>
      <w:tr w14:paraId="2B51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2E42C88E">
            <w:pPr>
              <w:spacing w:line="560" w:lineRule="exact"/>
              <w:ind w:firstLine="200"/>
              <w:jc w:val="center"/>
              <w:rPr>
                <w:rFonts w:ascii="宋体" w:hAnsi="宋体" w:cs="宋体"/>
                <w:sz w:val="24"/>
                <w:szCs w:val="24"/>
                <w:highlight w:val="none"/>
              </w:rPr>
            </w:pPr>
          </w:p>
        </w:tc>
        <w:tc>
          <w:tcPr>
            <w:tcW w:w="4129" w:type="dxa"/>
            <w:vAlign w:val="center"/>
          </w:tcPr>
          <w:p w14:paraId="4CF5A7DA">
            <w:pPr>
              <w:spacing w:line="560" w:lineRule="exact"/>
              <w:ind w:firstLine="200"/>
              <w:jc w:val="center"/>
              <w:rPr>
                <w:rFonts w:ascii="宋体" w:hAnsi="宋体" w:cs="宋体"/>
                <w:sz w:val="24"/>
                <w:szCs w:val="24"/>
                <w:highlight w:val="none"/>
              </w:rPr>
            </w:pPr>
          </w:p>
        </w:tc>
        <w:tc>
          <w:tcPr>
            <w:tcW w:w="3993" w:type="dxa"/>
            <w:vAlign w:val="center"/>
          </w:tcPr>
          <w:p w14:paraId="5E6B8C38">
            <w:pPr>
              <w:spacing w:line="560" w:lineRule="exact"/>
              <w:ind w:firstLine="200"/>
              <w:jc w:val="center"/>
              <w:rPr>
                <w:rFonts w:ascii="宋体" w:hAnsi="宋体" w:cs="宋体"/>
                <w:sz w:val="24"/>
                <w:szCs w:val="24"/>
                <w:highlight w:val="none"/>
              </w:rPr>
            </w:pPr>
          </w:p>
        </w:tc>
      </w:tr>
      <w:tr w14:paraId="0D68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6C8D5181">
            <w:pPr>
              <w:spacing w:line="560" w:lineRule="exact"/>
              <w:ind w:firstLine="200"/>
              <w:jc w:val="center"/>
              <w:rPr>
                <w:rFonts w:ascii="宋体" w:hAnsi="宋体" w:cs="宋体"/>
                <w:sz w:val="24"/>
                <w:szCs w:val="24"/>
                <w:highlight w:val="none"/>
              </w:rPr>
            </w:pPr>
          </w:p>
        </w:tc>
        <w:tc>
          <w:tcPr>
            <w:tcW w:w="4129" w:type="dxa"/>
            <w:vAlign w:val="center"/>
          </w:tcPr>
          <w:p w14:paraId="794943C5">
            <w:pPr>
              <w:spacing w:line="560" w:lineRule="exact"/>
              <w:ind w:firstLine="200"/>
              <w:jc w:val="center"/>
              <w:rPr>
                <w:rFonts w:ascii="宋体" w:hAnsi="宋体" w:cs="宋体"/>
                <w:sz w:val="24"/>
                <w:szCs w:val="24"/>
                <w:highlight w:val="none"/>
              </w:rPr>
            </w:pPr>
          </w:p>
        </w:tc>
        <w:tc>
          <w:tcPr>
            <w:tcW w:w="3993" w:type="dxa"/>
            <w:vAlign w:val="center"/>
          </w:tcPr>
          <w:p w14:paraId="4BDF75AF">
            <w:pPr>
              <w:spacing w:line="560" w:lineRule="exact"/>
              <w:ind w:firstLine="200"/>
              <w:jc w:val="center"/>
              <w:rPr>
                <w:rFonts w:ascii="宋体" w:hAnsi="宋体" w:cs="宋体"/>
                <w:sz w:val="24"/>
                <w:szCs w:val="24"/>
                <w:highlight w:val="none"/>
              </w:rPr>
            </w:pPr>
          </w:p>
        </w:tc>
      </w:tr>
      <w:tr w14:paraId="1AD8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7" w:type="dxa"/>
            <w:gridSpan w:val="2"/>
            <w:vAlign w:val="center"/>
          </w:tcPr>
          <w:p w14:paraId="68CEB81B">
            <w:pPr>
              <w:spacing w:line="560" w:lineRule="exact"/>
              <w:ind w:firstLine="200"/>
              <w:jc w:val="center"/>
              <w:rPr>
                <w:rFonts w:ascii="宋体" w:hAnsi="宋体" w:cs="宋体"/>
                <w:sz w:val="24"/>
                <w:szCs w:val="24"/>
                <w:highlight w:val="none"/>
              </w:rPr>
            </w:pPr>
            <w:r>
              <w:rPr>
                <w:rFonts w:hint="eastAsia" w:ascii="宋体" w:hAnsi="宋体" w:cs="宋体"/>
                <w:sz w:val="24"/>
                <w:szCs w:val="24"/>
                <w:highlight w:val="none"/>
              </w:rPr>
              <w:t>总价</w:t>
            </w:r>
          </w:p>
        </w:tc>
        <w:tc>
          <w:tcPr>
            <w:tcW w:w="3993" w:type="dxa"/>
            <w:vAlign w:val="center"/>
          </w:tcPr>
          <w:p w14:paraId="24203325">
            <w:pPr>
              <w:spacing w:line="560" w:lineRule="exact"/>
              <w:ind w:firstLine="200"/>
              <w:jc w:val="center"/>
              <w:rPr>
                <w:rFonts w:ascii="宋体" w:hAnsi="宋体" w:cs="宋体"/>
                <w:sz w:val="24"/>
                <w:szCs w:val="24"/>
                <w:highlight w:val="none"/>
              </w:rPr>
            </w:pPr>
          </w:p>
        </w:tc>
      </w:tr>
    </w:tbl>
    <w:p w14:paraId="2F57CB16">
      <w:pPr>
        <w:spacing w:line="560" w:lineRule="exact"/>
        <w:ind w:firstLine="482" w:firstLineChars="200"/>
        <w:rPr>
          <w:rFonts w:ascii="宋体" w:hAnsi="宋体" w:cs="宋体"/>
          <w:b/>
          <w:sz w:val="24"/>
          <w:szCs w:val="24"/>
          <w:highlight w:val="none"/>
        </w:rPr>
      </w:pPr>
      <w:bookmarkStart w:id="112" w:name="_Toc30158"/>
      <w:bookmarkStart w:id="113" w:name="_Toc26916"/>
      <w:bookmarkStart w:id="114" w:name="_Toc30506"/>
      <w:bookmarkStart w:id="115" w:name="_Toc14993"/>
      <w:bookmarkStart w:id="116" w:name="_Toc3654"/>
      <w:r>
        <w:rPr>
          <w:rFonts w:hint="eastAsia" w:ascii="宋体" w:hAnsi="宋体" w:cs="宋体"/>
          <w:b/>
          <w:sz w:val="24"/>
          <w:szCs w:val="24"/>
          <w:highlight w:val="none"/>
        </w:rPr>
        <w:t>1.4 付款方式和发票开具方式</w:t>
      </w:r>
      <w:bookmarkEnd w:id="112"/>
      <w:bookmarkEnd w:id="113"/>
      <w:bookmarkEnd w:id="114"/>
      <w:bookmarkEnd w:id="115"/>
      <w:bookmarkEnd w:id="116"/>
    </w:p>
    <w:p w14:paraId="1C95D47D">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1.4.1付款方式：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F94E7C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1.4.2 发票开具方式：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6279279">
      <w:pPr>
        <w:spacing w:line="560" w:lineRule="exact"/>
        <w:ind w:firstLine="482" w:firstLineChars="200"/>
        <w:rPr>
          <w:rFonts w:ascii="宋体" w:hAnsi="宋体" w:cs="宋体"/>
          <w:b/>
          <w:sz w:val="24"/>
          <w:szCs w:val="24"/>
          <w:highlight w:val="none"/>
        </w:rPr>
      </w:pPr>
      <w:bookmarkStart w:id="117" w:name="_Toc4760"/>
      <w:bookmarkStart w:id="118" w:name="_Toc11108"/>
      <w:bookmarkStart w:id="119" w:name="_Toc3625"/>
      <w:bookmarkStart w:id="120" w:name="_Toc8772"/>
      <w:bookmarkStart w:id="121" w:name="_Toc31421"/>
      <w:r>
        <w:rPr>
          <w:rFonts w:hint="eastAsia" w:ascii="宋体" w:hAnsi="宋体" w:cs="宋体"/>
          <w:b/>
          <w:sz w:val="24"/>
          <w:szCs w:val="24"/>
          <w:highlight w:val="none"/>
        </w:rPr>
        <w:t>1.5 履行期限、地点和方式</w:t>
      </w:r>
      <w:bookmarkEnd w:id="117"/>
      <w:bookmarkEnd w:id="118"/>
      <w:bookmarkEnd w:id="119"/>
      <w:bookmarkEnd w:id="120"/>
      <w:bookmarkEnd w:id="121"/>
    </w:p>
    <w:p w14:paraId="527D82FF">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1.5.1 履行期限：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07F5D9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1.5.2 履行地点：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0D2EF84">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1.5.3 履行方式：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86EE54C">
      <w:pPr>
        <w:snapToGrid w:val="0"/>
        <w:spacing w:line="360" w:lineRule="auto"/>
        <w:ind w:firstLine="420"/>
        <w:rPr>
          <w:rFonts w:ascii="宋体" w:hAnsi="宋体" w:cs="宋体"/>
          <w:b/>
          <w:bCs/>
          <w:sz w:val="24"/>
          <w:szCs w:val="24"/>
          <w:highlight w:val="none"/>
        </w:rPr>
      </w:pPr>
      <w:r>
        <w:rPr>
          <w:rFonts w:hint="eastAsia" w:ascii="宋体" w:hAnsi="宋体" w:cs="宋体"/>
          <w:b/>
          <w:bCs/>
          <w:sz w:val="24"/>
          <w:szCs w:val="24"/>
          <w:highlight w:val="none"/>
        </w:rPr>
        <w:t>1.6乙方进行技术咨询的内容、要求和成果交付：</w:t>
      </w:r>
    </w:p>
    <w:p w14:paraId="2729F2CF">
      <w:pPr>
        <w:spacing w:line="520" w:lineRule="exact"/>
        <w:ind w:firstLine="420"/>
        <w:contextualSpacing/>
        <w:rPr>
          <w:rFonts w:ascii="宋体" w:hAnsi="宋体" w:cs="宋体"/>
          <w:sz w:val="24"/>
          <w:szCs w:val="24"/>
          <w:highlight w:val="none"/>
        </w:rPr>
      </w:pPr>
      <w:r>
        <w:rPr>
          <w:rFonts w:hint="eastAsia" w:ascii="宋体" w:hAnsi="宋体" w:cs="宋体"/>
          <w:sz w:val="24"/>
          <w:szCs w:val="24"/>
          <w:highlight w:val="none"/>
        </w:rPr>
        <w:t>1.6.1服务内容</w:t>
      </w:r>
    </w:p>
    <w:p w14:paraId="369CAC41">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rPr>
        <w:t>内容包括：</w:t>
      </w:r>
    </w:p>
    <w:p w14:paraId="09FEA015">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1</w:t>
      </w:r>
      <w:r>
        <w:rPr>
          <w:rFonts w:hint="eastAsia" w:cs="宋体"/>
          <w:b w:val="0"/>
          <w:bCs/>
          <w:sz w:val="24"/>
          <w:szCs w:val="24"/>
          <w:highlight w:val="none"/>
          <w:lang w:eastAsia="zh-CN"/>
        </w:rPr>
        <w:t>）</w:t>
      </w:r>
      <w:r>
        <w:rPr>
          <w:rFonts w:hint="eastAsia" w:cs="宋体"/>
          <w:b w:val="0"/>
          <w:bCs/>
          <w:sz w:val="24"/>
          <w:szCs w:val="24"/>
          <w:highlight w:val="none"/>
        </w:rPr>
        <w:t>项目概况评估，包括建设单位基本情况、项目基本情况、项目用能概况等；</w:t>
      </w:r>
    </w:p>
    <w:p w14:paraId="3A78D448">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2</w:t>
      </w:r>
      <w:r>
        <w:rPr>
          <w:rFonts w:hint="eastAsia" w:cs="宋体"/>
          <w:b w:val="0"/>
          <w:bCs/>
          <w:sz w:val="24"/>
          <w:szCs w:val="24"/>
          <w:highlight w:val="none"/>
          <w:lang w:eastAsia="zh-CN"/>
        </w:rPr>
        <w:t>）</w:t>
      </w:r>
      <w:r>
        <w:rPr>
          <w:rFonts w:hint="eastAsia" w:cs="宋体"/>
          <w:b w:val="0"/>
          <w:bCs/>
          <w:sz w:val="24"/>
          <w:szCs w:val="24"/>
          <w:highlight w:val="none"/>
        </w:rPr>
        <w:t>节能评估依据评估，包括相关法律法规、标准规范、产业政策等；</w:t>
      </w:r>
    </w:p>
    <w:p w14:paraId="154CCFA7">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3</w:t>
      </w:r>
      <w:r>
        <w:rPr>
          <w:rFonts w:hint="eastAsia" w:cs="宋体"/>
          <w:b w:val="0"/>
          <w:bCs/>
          <w:sz w:val="24"/>
          <w:szCs w:val="24"/>
          <w:highlight w:val="none"/>
          <w:lang w:eastAsia="zh-CN"/>
        </w:rPr>
        <w:t>）</w:t>
      </w:r>
      <w:r>
        <w:rPr>
          <w:rFonts w:hint="eastAsia" w:cs="宋体"/>
          <w:b w:val="0"/>
          <w:bCs/>
          <w:sz w:val="24"/>
          <w:szCs w:val="24"/>
          <w:highlight w:val="none"/>
        </w:rPr>
        <w:t>建设方案节能评估，包括总平面布置、工艺流程、用能工艺、设备选型等；</w:t>
      </w:r>
    </w:p>
    <w:p w14:paraId="1A13053F">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4</w:t>
      </w:r>
      <w:r>
        <w:rPr>
          <w:rFonts w:hint="eastAsia" w:cs="宋体"/>
          <w:b w:val="0"/>
          <w:bCs/>
          <w:sz w:val="24"/>
          <w:szCs w:val="24"/>
          <w:highlight w:val="none"/>
          <w:lang w:eastAsia="zh-CN"/>
        </w:rPr>
        <w:t>）</w:t>
      </w:r>
      <w:r>
        <w:rPr>
          <w:rFonts w:hint="eastAsia" w:cs="宋体"/>
          <w:b w:val="0"/>
          <w:bCs/>
          <w:sz w:val="24"/>
          <w:szCs w:val="24"/>
          <w:highlight w:val="none"/>
        </w:rPr>
        <w:t>能源消耗评估，包括能源消耗种类和数量、能源消费结构、能源利用效率等；</w:t>
      </w:r>
    </w:p>
    <w:p w14:paraId="5568A283">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5</w:t>
      </w:r>
      <w:r>
        <w:rPr>
          <w:rFonts w:hint="eastAsia" w:cs="宋体"/>
          <w:b w:val="0"/>
          <w:bCs/>
          <w:sz w:val="24"/>
          <w:szCs w:val="24"/>
          <w:highlight w:val="none"/>
          <w:lang w:eastAsia="zh-CN"/>
        </w:rPr>
        <w:t>）</w:t>
      </w:r>
      <w:r>
        <w:rPr>
          <w:rFonts w:hint="eastAsia" w:cs="宋体"/>
          <w:b w:val="0"/>
          <w:bCs/>
          <w:sz w:val="24"/>
          <w:szCs w:val="24"/>
          <w:highlight w:val="none"/>
        </w:rPr>
        <w:t>节能措施评估，包括节能技术措施、节能管理措施、节能措施的经济性等；</w:t>
      </w:r>
    </w:p>
    <w:p w14:paraId="48951817">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6</w:t>
      </w:r>
      <w:r>
        <w:rPr>
          <w:rFonts w:hint="eastAsia" w:cs="宋体"/>
          <w:b w:val="0"/>
          <w:bCs/>
          <w:sz w:val="24"/>
          <w:szCs w:val="24"/>
          <w:highlight w:val="none"/>
          <w:lang w:eastAsia="zh-CN"/>
        </w:rPr>
        <w:t>）</w:t>
      </w:r>
      <w:r>
        <w:rPr>
          <w:rFonts w:hint="eastAsia" w:cs="宋体"/>
          <w:b w:val="0"/>
          <w:bCs/>
          <w:sz w:val="24"/>
          <w:szCs w:val="24"/>
          <w:highlight w:val="none"/>
        </w:rPr>
        <w:t>存在问题及建议，包括存在问题、建议等；</w:t>
      </w:r>
    </w:p>
    <w:p w14:paraId="25F2FE6C">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7</w:t>
      </w:r>
      <w:r>
        <w:rPr>
          <w:rFonts w:hint="eastAsia" w:cs="宋体"/>
          <w:b w:val="0"/>
          <w:bCs/>
          <w:sz w:val="24"/>
          <w:szCs w:val="24"/>
          <w:highlight w:val="none"/>
          <w:lang w:eastAsia="zh-CN"/>
        </w:rPr>
        <w:t>）</w:t>
      </w:r>
      <w:r>
        <w:rPr>
          <w:rFonts w:hint="eastAsia" w:cs="宋体"/>
          <w:b w:val="0"/>
          <w:bCs/>
          <w:sz w:val="24"/>
          <w:szCs w:val="24"/>
          <w:highlight w:val="none"/>
        </w:rPr>
        <w:t>评估结论，包括节能评估总体结论、建设项目能源利用的基本情况、存在问题及改进建议、是否通过节能评估的结论等。</w:t>
      </w:r>
    </w:p>
    <w:p w14:paraId="793667C2">
      <w:pPr>
        <w:pStyle w:val="178"/>
        <w:spacing w:before="120" w:after="120" w:line="520" w:lineRule="exact"/>
        <w:ind w:firstLine="480" w:firstLineChars="200"/>
        <w:rPr>
          <w:rFonts w:cs="宋体"/>
          <w:b w:val="0"/>
          <w:bCs/>
          <w:sz w:val="24"/>
          <w:szCs w:val="24"/>
          <w:highlight w:val="none"/>
        </w:rPr>
      </w:pPr>
      <w:r>
        <w:rPr>
          <w:rFonts w:hint="eastAsia" w:cs="宋体"/>
          <w:b w:val="0"/>
          <w:bCs/>
          <w:sz w:val="24"/>
          <w:szCs w:val="24"/>
          <w:highlight w:val="none"/>
        </w:rPr>
        <w:t>具体详见招标文件第四章。</w:t>
      </w:r>
      <w:bookmarkStart w:id="122" w:name="_Toc5698"/>
      <w:bookmarkStart w:id="123" w:name="_Toc3079"/>
      <w:bookmarkStart w:id="124" w:name="_Toc8586"/>
      <w:bookmarkStart w:id="125" w:name="_Toc24662"/>
      <w:bookmarkStart w:id="126" w:name="_Toc2375"/>
    </w:p>
    <w:p w14:paraId="59A8915B">
      <w:pPr>
        <w:pStyle w:val="178"/>
        <w:spacing w:before="120" w:after="120" w:line="520" w:lineRule="exact"/>
        <w:ind w:firstLine="482" w:firstLineChars="200"/>
        <w:rPr>
          <w:rFonts w:cs="宋体"/>
          <w:sz w:val="24"/>
          <w:szCs w:val="24"/>
          <w:highlight w:val="none"/>
          <w:u w:val="single"/>
        </w:rPr>
      </w:pPr>
      <w:r>
        <w:rPr>
          <w:rFonts w:hint="eastAsia" w:cs="宋体"/>
          <w:sz w:val="24"/>
          <w:szCs w:val="24"/>
          <w:highlight w:val="none"/>
        </w:rPr>
        <w:t>1.7 违约责任</w:t>
      </w:r>
      <w:bookmarkEnd w:id="122"/>
      <w:bookmarkEnd w:id="123"/>
      <w:bookmarkEnd w:id="124"/>
      <w:bookmarkEnd w:id="125"/>
      <w:bookmarkEnd w:id="126"/>
    </w:p>
    <w:p w14:paraId="5AC130FA">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1.7.1 除不可抗力外，如果乙方没有按照本合同约定的期限、地点和方式履行，那么甲方可要求乙方支付违约金，违约金乙方按合同总价的</w:t>
      </w:r>
      <w:r>
        <w:rPr>
          <w:rFonts w:hint="eastAsia" w:ascii="宋体" w:hAnsi="宋体" w:cs="宋体"/>
          <w:sz w:val="24"/>
          <w:szCs w:val="24"/>
          <w:highlight w:val="none"/>
          <w:lang w:val="en-US" w:eastAsia="zh-CN"/>
        </w:rPr>
        <w:t>千分之五</w:t>
      </w:r>
      <w:r>
        <w:rPr>
          <w:rFonts w:hint="eastAsia" w:ascii="宋体" w:hAnsi="宋体" w:cs="宋体"/>
          <w:sz w:val="24"/>
          <w:szCs w:val="24"/>
          <w:highlight w:val="none"/>
        </w:rPr>
        <w:t>/天支付违约金给甲方，最高为合同价30%；迟延履行的违约金计算数额达到前述最高限额之日起，甲方有权在要求乙方支付违约金的同时，书面通知乙方解除本合同；</w:t>
      </w:r>
    </w:p>
    <w:p w14:paraId="57C6389D">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D29AB41">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2F5FCD4">
      <w:pPr>
        <w:spacing w:line="520" w:lineRule="exact"/>
        <w:ind w:firstLine="480" w:firstLineChars="200"/>
        <w:contextualSpacing/>
        <w:rPr>
          <w:rFonts w:ascii="宋体" w:hAnsi="宋体" w:cs="宋体"/>
          <w:sz w:val="24"/>
          <w:szCs w:val="24"/>
          <w:highlight w:val="none"/>
        </w:rPr>
      </w:pPr>
      <w:r>
        <w:rPr>
          <w:rFonts w:hint="eastAsia" w:ascii="宋体" w:hAnsi="宋体" w:cs="宋体"/>
          <w:bCs/>
          <w:sz w:val="24"/>
          <w:szCs w:val="24"/>
          <w:highlight w:val="none"/>
        </w:rPr>
        <w:t xml:space="preserve">1.7.4 </w:t>
      </w:r>
      <w:r>
        <w:rPr>
          <w:rFonts w:hint="eastAsia" w:ascii="宋体" w:hAnsi="宋体" w:cs="宋体"/>
          <w:bCs/>
          <w:sz w:val="24"/>
          <w:szCs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6991778C">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1.7.5 如果出现采购监督管理部门在处理投诉事项期间，书面通知甲方暂停采购活动的情形，或者询问或质疑事项可能影响中标结果的，导致甲方中止履行合同的情形，均不视为甲方违约。</w:t>
      </w:r>
    </w:p>
    <w:p w14:paraId="3F42A472">
      <w:pPr>
        <w:spacing w:line="520" w:lineRule="exact"/>
        <w:ind w:firstLine="482" w:firstLineChars="200"/>
        <w:contextualSpacing/>
        <w:rPr>
          <w:rFonts w:ascii="宋体" w:hAnsi="宋体" w:cs="宋体"/>
          <w:b/>
          <w:sz w:val="24"/>
          <w:szCs w:val="24"/>
          <w:highlight w:val="none"/>
        </w:rPr>
      </w:pPr>
      <w:bookmarkStart w:id="127" w:name="_Toc15583"/>
      <w:bookmarkStart w:id="128" w:name="_Toc16021"/>
      <w:bookmarkStart w:id="129" w:name="_Toc28375"/>
      <w:bookmarkStart w:id="130" w:name="_Toc12273"/>
      <w:bookmarkStart w:id="131" w:name="_Toc15827"/>
      <w:bookmarkStart w:id="132" w:name="_Toc26227"/>
      <w:bookmarkStart w:id="133" w:name="_Toc16417"/>
      <w:bookmarkStart w:id="134" w:name="_Toc23784"/>
      <w:r>
        <w:rPr>
          <w:rFonts w:hint="eastAsia" w:ascii="宋体" w:hAnsi="宋体" w:cs="宋体"/>
          <w:b/>
          <w:sz w:val="24"/>
          <w:szCs w:val="24"/>
          <w:highlight w:val="none"/>
        </w:rPr>
        <w:t>1.8 合同争议的解决</w:t>
      </w:r>
      <w:bookmarkEnd w:id="127"/>
      <w:bookmarkEnd w:id="128"/>
      <w:bookmarkEnd w:id="129"/>
    </w:p>
    <w:p w14:paraId="3E5AF8A8">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在履行本合同的过程中发生争议，双方当事人和解或调解不成，可采取仲裁或按司法程序解决，双方同意按照以下第（二）种方式解决：</w:t>
      </w:r>
    </w:p>
    <w:p w14:paraId="7E3FF9C8">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（一）双方同意由</w:t>
      </w:r>
      <w:r>
        <w:rPr>
          <w:rFonts w:hint="eastAsia" w:ascii="宋体" w:hAnsi="宋体" w:cs="宋体"/>
          <w:sz w:val="24"/>
          <w:szCs w:val="24"/>
          <w:highlight w:val="none"/>
          <w:u w:val="single"/>
        </w:rPr>
        <w:t xml:space="preserve">  宜兴</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仲裁委员会仲裁。</w:t>
      </w:r>
    </w:p>
    <w:p w14:paraId="39860D19">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（二）双方约定向甲方项目所在地的人民法院起诉。</w:t>
      </w:r>
    </w:p>
    <w:p w14:paraId="5DD1152E">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w:t>
      </w:r>
      <w:r>
        <w:rPr>
          <w:rFonts w:hint="eastAsia" w:ascii="宋体" w:hAnsi="宋体" w:cs="宋体"/>
          <w:b/>
          <w:sz w:val="24"/>
          <w:szCs w:val="24"/>
          <w:highlight w:val="none"/>
        </w:rPr>
        <w:t>其他事项：</w:t>
      </w:r>
    </w:p>
    <w:bookmarkEnd w:id="130"/>
    <w:bookmarkEnd w:id="131"/>
    <w:bookmarkEnd w:id="132"/>
    <w:bookmarkEnd w:id="133"/>
    <w:bookmarkEnd w:id="134"/>
    <w:p w14:paraId="00E809A3">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1.9.1本合同未尽事宜，双方可签订补充协议作为附件，补充协议与本合同具有同等效力。</w:t>
      </w:r>
    </w:p>
    <w:p w14:paraId="1AC32775">
      <w:pPr>
        <w:spacing w:line="52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1.9.2本合同一式</w:t>
      </w:r>
      <w:r>
        <w:rPr>
          <w:rFonts w:hint="eastAsia" w:ascii="宋体" w:hAnsi="宋体" w:cs="宋体"/>
          <w:sz w:val="24"/>
          <w:szCs w:val="24"/>
          <w:highlight w:val="none"/>
          <w:u w:val="single"/>
        </w:rPr>
        <w:t xml:space="preserve"> 4 </w:t>
      </w:r>
      <w:r>
        <w:rPr>
          <w:rFonts w:hint="eastAsia" w:ascii="宋体" w:hAnsi="宋体" w:cs="宋体"/>
          <w:sz w:val="24"/>
          <w:szCs w:val="24"/>
          <w:highlight w:val="none"/>
        </w:rPr>
        <w:t>份，甲方执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份、乙方执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份，经双方法人代表（或授权代表）签字或盖章后生效，任何一方不得擅自涂改、变更或解除合同。</w:t>
      </w:r>
    </w:p>
    <w:p w14:paraId="32624C7F">
      <w:pPr>
        <w:spacing w:line="520" w:lineRule="exact"/>
        <w:ind w:firstLine="480" w:firstLineChars="200"/>
        <w:contextualSpacing/>
        <w:rPr>
          <w:rFonts w:ascii="宋体" w:hAnsi="宋体" w:cs="宋体"/>
          <w:sz w:val="24"/>
          <w:szCs w:val="24"/>
          <w:highlight w:val="none"/>
        </w:rPr>
      </w:pPr>
    </w:p>
    <w:tbl>
      <w:tblPr>
        <w:tblStyle w:val="35"/>
        <w:tblW w:w="9569" w:type="dxa"/>
        <w:jc w:val="center"/>
        <w:tblLayout w:type="fixed"/>
        <w:tblCellMar>
          <w:top w:w="0" w:type="dxa"/>
          <w:left w:w="0" w:type="dxa"/>
          <w:bottom w:w="0" w:type="dxa"/>
          <w:right w:w="0" w:type="dxa"/>
        </w:tblCellMar>
      </w:tblPr>
      <w:tblGrid>
        <w:gridCol w:w="5078"/>
        <w:gridCol w:w="4491"/>
      </w:tblGrid>
      <w:tr w14:paraId="1050B27D">
        <w:tblPrEx>
          <w:tblCellMar>
            <w:top w:w="0" w:type="dxa"/>
            <w:left w:w="0" w:type="dxa"/>
            <w:bottom w:w="0" w:type="dxa"/>
            <w:right w:w="0" w:type="dxa"/>
          </w:tblCellMar>
        </w:tblPrEx>
        <w:trPr>
          <w:trHeight w:val="454" w:hRule="exact"/>
          <w:jc w:val="center"/>
        </w:trPr>
        <w:tc>
          <w:tcPr>
            <w:tcW w:w="5078" w:type="dxa"/>
            <w:vAlign w:val="center"/>
          </w:tcPr>
          <w:p w14:paraId="707FABEC">
            <w:pPr>
              <w:widowControl/>
              <w:adjustRightInd w:val="0"/>
              <w:jc w:val="left"/>
              <w:rPr>
                <w:rFonts w:ascii="宋体" w:hAnsi="宋体" w:cs="宋体"/>
                <w:kern w:val="0"/>
                <w:sz w:val="24"/>
                <w:szCs w:val="24"/>
                <w:highlight w:val="none"/>
                <w:lang w:val="zh-CN"/>
              </w:rPr>
            </w:pPr>
            <w:bookmarkStart w:id="135" w:name="OLE_LINK46"/>
            <w:r>
              <w:rPr>
                <w:rFonts w:hint="eastAsia" w:ascii="宋体" w:hAnsi="宋体" w:cs="宋体"/>
                <w:kern w:val="0"/>
                <w:sz w:val="24"/>
                <w:szCs w:val="24"/>
                <w:highlight w:val="none"/>
              </w:rPr>
              <w:t>发包</w:t>
            </w:r>
            <w:r>
              <w:rPr>
                <w:rFonts w:hint="eastAsia" w:ascii="宋体" w:hAnsi="宋体" w:cs="宋体"/>
                <w:kern w:val="0"/>
                <w:sz w:val="24"/>
                <w:szCs w:val="24"/>
                <w:highlight w:val="none"/>
                <w:lang w:val="zh-CN"/>
              </w:rPr>
              <w:t>方（采购人）：（盖章）</w:t>
            </w:r>
            <w:bookmarkEnd w:id="135"/>
          </w:p>
        </w:tc>
        <w:tc>
          <w:tcPr>
            <w:tcW w:w="4491" w:type="dxa"/>
            <w:vAlign w:val="center"/>
          </w:tcPr>
          <w:p w14:paraId="4415E8A8">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受托</w:t>
            </w:r>
            <w:r>
              <w:rPr>
                <w:rFonts w:hint="eastAsia" w:ascii="宋体" w:hAnsi="宋体" w:cs="宋体"/>
                <w:kern w:val="0"/>
                <w:sz w:val="24"/>
                <w:szCs w:val="24"/>
                <w:highlight w:val="none"/>
              </w:rPr>
              <w:t>方</w:t>
            </w:r>
            <w:r>
              <w:rPr>
                <w:rFonts w:hint="eastAsia" w:ascii="宋体" w:hAnsi="宋体" w:cs="宋体"/>
                <w:kern w:val="0"/>
                <w:sz w:val="24"/>
                <w:szCs w:val="24"/>
                <w:highlight w:val="none"/>
                <w:lang w:val="zh-CN"/>
              </w:rPr>
              <w:t>（供应商）：（盖章）</w:t>
            </w:r>
          </w:p>
        </w:tc>
      </w:tr>
      <w:tr w14:paraId="4F0A2C29">
        <w:tblPrEx>
          <w:tblCellMar>
            <w:top w:w="0" w:type="dxa"/>
            <w:left w:w="0" w:type="dxa"/>
            <w:bottom w:w="0" w:type="dxa"/>
            <w:right w:w="0" w:type="dxa"/>
          </w:tblCellMar>
        </w:tblPrEx>
        <w:trPr>
          <w:trHeight w:val="454" w:hRule="exact"/>
          <w:jc w:val="center"/>
        </w:trPr>
        <w:tc>
          <w:tcPr>
            <w:tcW w:w="5078" w:type="dxa"/>
            <w:vAlign w:val="center"/>
          </w:tcPr>
          <w:p w14:paraId="751429CC">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代表人签字：</w:t>
            </w:r>
          </w:p>
        </w:tc>
        <w:tc>
          <w:tcPr>
            <w:tcW w:w="4491" w:type="dxa"/>
            <w:vAlign w:val="center"/>
          </w:tcPr>
          <w:p w14:paraId="76EA0C01">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代表人签字</w:t>
            </w:r>
            <w:r>
              <w:rPr>
                <w:rFonts w:hint="eastAsia" w:ascii="宋体" w:hAnsi="宋体" w:cs="宋体"/>
                <w:kern w:val="0"/>
                <w:sz w:val="24"/>
                <w:szCs w:val="24"/>
                <w:highlight w:val="none"/>
              </w:rPr>
              <w:t>：</w:t>
            </w:r>
          </w:p>
        </w:tc>
      </w:tr>
      <w:tr w14:paraId="59D242C9">
        <w:tblPrEx>
          <w:tblCellMar>
            <w:top w:w="0" w:type="dxa"/>
            <w:left w:w="0" w:type="dxa"/>
            <w:bottom w:w="0" w:type="dxa"/>
            <w:right w:w="0" w:type="dxa"/>
          </w:tblCellMar>
        </w:tblPrEx>
        <w:trPr>
          <w:trHeight w:val="454" w:hRule="exact"/>
          <w:jc w:val="center"/>
        </w:trPr>
        <w:tc>
          <w:tcPr>
            <w:tcW w:w="5078" w:type="dxa"/>
            <w:vAlign w:val="center"/>
          </w:tcPr>
          <w:p w14:paraId="3667D1D7">
            <w:pPr>
              <w:widowControl/>
              <w:adjustRightInd w:val="0"/>
              <w:jc w:val="left"/>
              <w:rPr>
                <w:rFonts w:ascii="宋体" w:hAnsi="宋体" w:cs="宋体"/>
                <w:kern w:val="0"/>
                <w:sz w:val="24"/>
                <w:szCs w:val="24"/>
                <w:highlight w:val="none"/>
              </w:rPr>
            </w:pPr>
            <w:bookmarkStart w:id="136" w:name="OLE_LINK47"/>
            <w:r>
              <w:rPr>
                <w:rFonts w:hint="eastAsia" w:ascii="宋体" w:hAnsi="宋体" w:cs="宋体"/>
                <w:kern w:val="0"/>
                <w:sz w:val="24"/>
                <w:szCs w:val="24"/>
                <w:highlight w:val="none"/>
                <w:lang w:val="zh-CN"/>
              </w:rPr>
              <w:t>电话：</w:t>
            </w:r>
            <w:bookmarkEnd w:id="136"/>
          </w:p>
        </w:tc>
        <w:tc>
          <w:tcPr>
            <w:tcW w:w="4491" w:type="dxa"/>
            <w:vAlign w:val="center"/>
          </w:tcPr>
          <w:p w14:paraId="461B5DA8">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电话：</w:t>
            </w:r>
          </w:p>
        </w:tc>
      </w:tr>
      <w:tr w14:paraId="36F439CB">
        <w:tblPrEx>
          <w:tblCellMar>
            <w:top w:w="0" w:type="dxa"/>
            <w:left w:w="0" w:type="dxa"/>
            <w:bottom w:w="0" w:type="dxa"/>
            <w:right w:w="0" w:type="dxa"/>
          </w:tblCellMar>
        </w:tblPrEx>
        <w:trPr>
          <w:trHeight w:val="454" w:hRule="exact"/>
          <w:jc w:val="center"/>
        </w:trPr>
        <w:tc>
          <w:tcPr>
            <w:tcW w:w="5078" w:type="dxa"/>
            <w:vAlign w:val="center"/>
          </w:tcPr>
          <w:p w14:paraId="12134B7B">
            <w:pPr>
              <w:widowControl/>
              <w:adjustRightInd w:val="0"/>
              <w:jc w:val="left"/>
              <w:rPr>
                <w:rFonts w:ascii="宋体" w:hAnsi="宋体" w:cs="宋体"/>
                <w:kern w:val="0"/>
                <w:sz w:val="24"/>
                <w:szCs w:val="24"/>
                <w:highlight w:val="none"/>
              </w:rPr>
            </w:pPr>
            <w:bookmarkStart w:id="137" w:name="OLE_LINK50"/>
            <w:r>
              <w:rPr>
                <w:rFonts w:hint="eastAsia" w:ascii="宋体" w:hAnsi="宋体" w:cs="宋体"/>
                <w:kern w:val="0"/>
                <w:sz w:val="24"/>
                <w:szCs w:val="24"/>
                <w:highlight w:val="none"/>
                <w:lang w:val="zh-CN"/>
              </w:rPr>
              <w:t>开户银行：</w:t>
            </w:r>
            <w:bookmarkEnd w:id="137"/>
          </w:p>
        </w:tc>
        <w:tc>
          <w:tcPr>
            <w:tcW w:w="4491" w:type="dxa"/>
            <w:vAlign w:val="center"/>
          </w:tcPr>
          <w:p w14:paraId="442C8A0A">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开户银行：</w:t>
            </w:r>
          </w:p>
        </w:tc>
      </w:tr>
      <w:tr w14:paraId="562A7261">
        <w:tblPrEx>
          <w:tblCellMar>
            <w:top w:w="0" w:type="dxa"/>
            <w:left w:w="0" w:type="dxa"/>
            <w:bottom w:w="0" w:type="dxa"/>
            <w:right w:w="0" w:type="dxa"/>
          </w:tblCellMar>
        </w:tblPrEx>
        <w:trPr>
          <w:trHeight w:val="454" w:hRule="exact"/>
          <w:jc w:val="center"/>
        </w:trPr>
        <w:tc>
          <w:tcPr>
            <w:tcW w:w="5078" w:type="dxa"/>
            <w:vAlign w:val="center"/>
          </w:tcPr>
          <w:p w14:paraId="7510AD2B">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账号：</w:t>
            </w:r>
          </w:p>
        </w:tc>
        <w:tc>
          <w:tcPr>
            <w:tcW w:w="4491" w:type="dxa"/>
            <w:vAlign w:val="center"/>
          </w:tcPr>
          <w:p w14:paraId="15BE54A2">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账号：</w:t>
            </w:r>
          </w:p>
          <w:p w14:paraId="3318BFFC">
            <w:pPr>
              <w:widowControl/>
              <w:adjustRightInd w:val="0"/>
              <w:jc w:val="left"/>
              <w:rPr>
                <w:rFonts w:ascii="宋体" w:hAnsi="宋体" w:cs="宋体"/>
                <w:kern w:val="0"/>
                <w:sz w:val="24"/>
                <w:szCs w:val="24"/>
                <w:highlight w:val="none"/>
                <w:lang w:val="zh-CN"/>
              </w:rPr>
            </w:pPr>
          </w:p>
        </w:tc>
      </w:tr>
      <w:tr w14:paraId="4BF281AD">
        <w:tblPrEx>
          <w:tblCellMar>
            <w:top w:w="0" w:type="dxa"/>
            <w:left w:w="0" w:type="dxa"/>
            <w:bottom w:w="0" w:type="dxa"/>
            <w:right w:w="0" w:type="dxa"/>
          </w:tblCellMar>
        </w:tblPrEx>
        <w:trPr>
          <w:trHeight w:val="454" w:hRule="exact"/>
          <w:jc w:val="center"/>
        </w:trPr>
        <w:tc>
          <w:tcPr>
            <w:tcW w:w="5078" w:type="dxa"/>
            <w:vAlign w:val="center"/>
          </w:tcPr>
          <w:p w14:paraId="42174955">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c>
          <w:tcPr>
            <w:tcW w:w="4491" w:type="dxa"/>
            <w:vAlign w:val="center"/>
          </w:tcPr>
          <w:p w14:paraId="34DC9EA8">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r>
      <w:tr w14:paraId="3A5DF74C">
        <w:tblPrEx>
          <w:tblCellMar>
            <w:top w:w="0" w:type="dxa"/>
            <w:left w:w="0" w:type="dxa"/>
            <w:bottom w:w="0" w:type="dxa"/>
            <w:right w:w="0" w:type="dxa"/>
          </w:tblCellMar>
        </w:tblPrEx>
        <w:trPr>
          <w:trHeight w:val="454" w:hRule="exact"/>
          <w:jc w:val="center"/>
        </w:trPr>
        <w:tc>
          <w:tcPr>
            <w:tcW w:w="5078" w:type="dxa"/>
            <w:vAlign w:val="center"/>
          </w:tcPr>
          <w:p w14:paraId="708DA47A">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c>
          <w:tcPr>
            <w:tcW w:w="4491" w:type="dxa"/>
            <w:vAlign w:val="center"/>
          </w:tcPr>
          <w:p w14:paraId="03693D59">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r>
    </w:tbl>
    <w:p w14:paraId="72A9ABE3">
      <w:pPr>
        <w:autoSpaceDE w:val="0"/>
        <w:autoSpaceDN w:val="0"/>
        <w:adjustRightInd w:val="0"/>
        <w:spacing w:line="560" w:lineRule="exact"/>
        <w:ind w:firstLine="200"/>
        <w:jc w:val="center"/>
        <w:rPr>
          <w:b/>
          <w:sz w:val="24"/>
          <w:szCs w:val="24"/>
          <w:highlight w:val="none"/>
        </w:rPr>
      </w:pPr>
      <w:r>
        <w:rPr>
          <w:rFonts w:eastAsia="黑体"/>
          <w:sz w:val="28"/>
          <w:szCs w:val="22"/>
          <w:highlight w:val="none"/>
        </w:rPr>
        <w:br w:type="page"/>
      </w:r>
      <w:r>
        <w:rPr>
          <w:b/>
          <w:sz w:val="24"/>
          <w:szCs w:val="24"/>
          <w:highlight w:val="none"/>
        </w:rPr>
        <w:t>第二部分 合同一般条款</w:t>
      </w:r>
    </w:p>
    <w:p w14:paraId="360CAB4E">
      <w:pPr>
        <w:spacing w:line="560" w:lineRule="exact"/>
        <w:ind w:firstLine="482" w:firstLineChars="200"/>
        <w:rPr>
          <w:b/>
          <w:sz w:val="24"/>
          <w:szCs w:val="24"/>
          <w:highlight w:val="none"/>
        </w:rPr>
      </w:pPr>
      <w:bookmarkStart w:id="138" w:name="_Toc487900349"/>
      <w:bookmarkStart w:id="139" w:name="_Toc31297"/>
      <w:bookmarkStart w:id="140" w:name="_Ref467379205"/>
      <w:bookmarkStart w:id="141" w:name="_Ref467379109"/>
      <w:bookmarkStart w:id="142" w:name="_Toc5228"/>
      <w:bookmarkStart w:id="143" w:name="_Toc19680"/>
      <w:bookmarkStart w:id="144" w:name="_Ref467378404"/>
      <w:bookmarkStart w:id="145" w:name="_Ref467379101"/>
      <w:bookmarkStart w:id="146" w:name="_Ref467378463"/>
      <w:bookmarkStart w:id="147" w:name="_Ref467379214"/>
      <w:bookmarkStart w:id="148" w:name="_Ref467379195"/>
      <w:bookmarkStart w:id="149" w:name="_Ref467379225"/>
      <w:bookmarkStart w:id="150" w:name="_Toc25079"/>
      <w:bookmarkStart w:id="151" w:name="_Toc14021"/>
      <w:bookmarkStart w:id="152" w:name="_Toc279701240"/>
      <w:bookmarkStart w:id="153" w:name="_Ref467379094"/>
      <w:bookmarkStart w:id="154" w:name="_Toc259093669"/>
      <w:bookmarkStart w:id="155" w:name="_Ref467378499"/>
      <w:r>
        <w:rPr>
          <w:b/>
          <w:sz w:val="24"/>
          <w:szCs w:val="24"/>
          <w:highlight w:val="none"/>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DFFDA08">
      <w:pPr>
        <w:spacing w:line="560" w:lineRule="exact"/>
        <w:ind w:firstLine="480" w:firstLineChars="200"/>
        <w:rPr>
          <w:sz w:val="24"/>
          <w:szCs w:val="24"/>
          <w:highlight w:val="none"/>
        </w:rPr>
      </w:pPr>
      <w:r>
        <w:rPr>
          <w:sz w:val="24"/>
          <w:szCs w:val="24"/>
          <w:highlight w:val="none"/>
        </w:rPr>
        <w:t>本合同中的下列词语应按以下内容进行解释：</w:t>
      </w:r>
    </w:p>
    <w:p w14:paraId="24C9B2E3">
      <w:pPr>
        <w:spacing w:line="560" w:lineRule="exact"/>
        <w:ind w:firstLine="480" w:firstLineChars="200"/>
        <w:rPr>
          <w:sz w:val="24"/>
          <w:szCs w:val="24"/>
          <w:highlight w:val="none"/>
        </w:rPr>
      </w:pPr>
      <w:r>
        <w:rPr>
          <w:sz w:val="24"/>
          <w:szCs w:val="24"/>
          <w:highlight w:val="none"/>
        </w:rPr>
        <w:t>2.1.1 “合同”系指采购人和</w:t>
      </w:r>
      <w:r>
        <w:rPr>
          <w:rFonts w:hint="eastAsia"/>
          <w:sz w:val="24"/>
          <w:szCs w:val="24"/>
          <w:highlight w:val="none"/>
        </w:rPr>
        <w:t>中标供应商</w:t>
      </w:r>
      <w:r>
        <w:rPr>
          <w:sz w:val="24"/>
          <w:szCs w:val="24"/>
          <w:highlight w:val="none"/>
        </w:rPr>
        <w:t>签订的载明双方当事人所达成的协议，并包括所有的附件、附录和构成合同的其他文件。</w:t>
      </w:r>
    </w:p>
    <w:p w14:paraId="5B9EF381">
      <w:pPr>
        <w:spacing w:line="560" w:lineRule="exact"/>
        <w:ind w:firstLine="480" w:firstLineChars="200"/>
        <w:rPr>
          <w:sz w:val="24"/>
          <w:szCs w:val="24"/>
          <w:highlight w:val="none"/>
        </w:rPr>
      </w:pPr>
      <w:r>
        <w:rPr>
          <w:sz w:val="24"/>
          <w:szCs w:val="24"/>
          <w:highlight w:val="none"/>
        </w:rPr>
        <w:t>2.1.2 “合同价”系指根据合同约定，</w:t>
      </w:r>
      <w:r>
        <w:rPr>
          <w:rFonts w:hint="eastAsia"/>
          <w:sz w:val="24"/>
          <w:szCs w:val="24"/>
          <w:highlight w:val="none"/>
        </w:rPr>
        <w:t>中标供应商</w:t>
      </w:r>
      <w:r>
        <w:rPr>
          <w:sz w:val="24"/>
          <w:szCs w:val="24"/>
          <w:highlight w:val="none"/>
        </w:rPr>
        <w:t>在完全履行合同义务后，采购人应支付给</w:t>
      </w:r>
      <w:r>
        <w:rPr>
          <w:rFonts w:hint="eastAsia"/>
          <w:sz w:val="24"/>
          <w:szCs w:val="24"/>
          <w:highlight w:val="none"/>
        </w:rPr>
        <w:t>中标供应商</w:t>
      </w:r>
      <w:r>
        <w:rPr>
          <w:sz w:val="24"/>
          <w:szCs w:val="24"/>
          <w:highlight w:val="none"/>
        </w:rPr>
        <w:t>的价格。</w:t>
      </w:r>
    </w:p>
    <w:p w14:paraId="57FAE41B">
      <w:pPr>
        <w:spacing w:line="560" w:lineRule="exact"/>
        <w:ind w:firstLine="480" w:firstLineChars="200"/>
        <w:rPr>
          <w:sz w:val="24"/>
          <w:szCs w:val="24"/>
          <w:highlight w:val="none"/>
        </w:rPr>
      </w:pPr>
      <w:r>
        <w:rPr>
          <w:sz w:val="24"/>
          <w:szCs w:val="24"/>
          <w:highlight w:val="none"/>
        </w:rPr>
        <w:t>2.1.3 “服务”系指</w:t>
      </w:r>
      <w:r>
        <w:rPr>
          <w:rFonts w:hint="eastAsia"/>
          <w:sz w:val="24"/>
          <w:szCs w:val="24"/>
          <w:highlight w:val="none"/>
        </w:rPr>
        <w:t>中标供应商</w:t>
      </w:r>
      <w:r>
        <w:rPr>
          <w:sz w:val="24"/>
          <w:szCs w:val="24"/>
          <w:highlight w:val="none"/>
        </w:rPr>
        <w:t>根据合同约定应向采购人履行的除货物和工程以外的其他政府采购对象，包括采购人自身需要的服务和向社会公众提供的公共服务。</w:t>
      </w:r>
    </w:p>
    <w:p w14:paraId="7D4F06D0">
      <w:pPr>
        <w:spacing w:line="560" w:lineRule="exact"/>
        <w:ind w:firstLine="480" w:firstLineChars="200"/>
        <w:rPr>
          <w:sz w:val="24"/>
          <w:szCs w:val="24"/>
          <w:highlight w:val="none"/>
        </w:rPr>
      </w:pPr>
      <w:bookmarkStart w:id="156" w:name="_Ref467378840"/>
      <w:r>
        <w:rPr>
          <w:sz w:val="24"/>
          <w:szCs w:val="24"/>
          <w:highlight w:val="none"/>
        </w:rPr>
        <w:t>2.1.4 “甲方”系指与</w:t>
      </w:r>
      <w:r>
        <w:rPr>
          <w:rFonts w:hint="eastAsia"/>
          <w:sz w:val="24"/>
          <w:szCs w:val="24"/>
          <w:highlight w:val="none"/>
        </w:rPr>
        <w:t>中标供应商</w:t>
      </w:r>
      <w:r>
        <w:rPr>
          <w:sz w:val="24"/>
          <w:szCs w:val="24"/>
          <w:highlight w:val="none"/>
        </w:rPr>
        <w:t>签署合同的采购人</w:t>
      </w:r>
      <w:bookmarkEnd w:id="156"/>
      <w:r>
        <w:rPr>
          <w:sz w:val="24"/>
          <w:szCs w:val="24"/>
          <w:highlight w:val="none"/>
        </w:rPr>
        <w:t>；采购人委托采购代理机构代表其与乙方签订合同的，采购人的授权委托书作为合同附件。</w:t>
      </w:r>
    </w:p>
    <w:p w14:paraId="0D810809">
      <w:pPr>
        <w:spacing w:line="560" w:lineRule="exact"/>
        <w:ind w:firstLine="480" w:firstLineChars="200"/>
        <w:rPr>
          <w:sz w:val="24"/>
          <w:szCs w:val="24"/>
          <w:highlight w:val="none"/>
        </w:rPr>
      </w:pPr>
      <w:bookmarkStart w:id="157" w:name="_Ref467379400"/>
      <w:r>
        <w:rPr>
          <w:sz w:val="24"/>
          <w:szCs w:val="24"/>
          <w:highlight w:val="none"/>
        </w:rPr>
        <w:t>2.1.5 “乙方”系指根据合同约定提供服务的</w:t>
      </w:r>
      <w:bookmarkEnd w:id="157"/>
      <w:r>
        <w:rPr>
          <w:rFonts w:hint="eastAsia"/>
          <w:sz w:val="24"/>
          <w:szCs w:val="24"/>
          <w:highlight w:val="none"/>
        </w:rPr>
        <w:t>中标供应商</w:t>
      </w:r>
      <w:r>
        <w:rPr>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13D2892">
      <w:pPr>
        <w:spacing w:line="560" w:lineRule="exact"/>
        <w:ind w:firstLine="480" w:firstLineChars="200"/>
        <w:rPr>
          <w:sz w:val="24"/>
          <w:szCs w:val="24"/>
          <w:highlight w:val="none"/>
        </w:rPr>
      </w:pPr>
      <w:bookmarkStart w:id="158" w:name="_Ref467379436"/>
      <w:r>
        <w:rPr>
          <w:sz w:val="24"/>
          <w:szCs w:val="24"/>
          <w:highlight w:val="none"/>
        </w:rPr>
        <w:t>2.1.6 “现场”系指合同约定提供服务的地点。</w:t>
      </w:r>
      <w:bookmarkEnd w:id="158"/>
    </w:p>
    <w:p w14:paraId="3A008416">
      <w:pPr>
        <w:spacing w:line="560" w:lineRule="exact"/>
        <w:ind w:firstLine="482" w:firstLineChars="200"/>
        <w:rPr>
          <w:b/>
          <w:sz w:val="24"/>
          <w:szCs w:val="24"/>
          <w:highlight w:val="none"/>
        </w:rPr>
      </w:pPr>
      <w:bookmarkStart w:id="159" w:name="_Toc279701241"/>
      <w:bookmarkStart w:id="160" w:name="_Toc31402"/>
      <w:bookmarkStart w:id="161" w:name="_Toc487900350"/>
      <w:bookmarkStart w:id="162" w:name="_Toc259093670"/>
      <w:bookmarkStart w:id="163" w:name="_Toc3769"/>
      <w:bookmarkStart w:id="164" w:name="_Toc23289"/>
      <w:bookmarkStart w:id="165" w:name="_Toc16752"/>
      <w:bookmarkStart w:id="166" w:name="_Toc19539"/>
      <w:r>
        <w:rPr>
          <w:b/>
          <w:sz w:val="24"/>
          <w:szCs w:val="24"/>
          <w:highlight w:val="none"/>
        </w:rPr>
        <w:t>2.2 技术规范</w:t>
      </w:r>
      <w:bookmarkEnd w:id="159"/>
      <w:bookmarkEnd w:id="160"/>
      <w:bookmarkEnd w:id="161"/>
      <w:bookmarkEnd w:id="162"/>
      <w:bookmarkEnd w:id="163"/>
      <w:bookmarkEnd w:id="164"/>
      <w:bookmarkEnd w:id="165"/>
      <w:bookmarkEnd w:id="166"/>
    </w:p>
    <w:p w14:paraId="6A1C6769">
      <w:pPr>
        <w:spacing w:line="560" w:lineRule="exact"/>
        <w:ind w:firstLine="480" w:firstLineChars="200"/>
        <w:rPr>
          <w:sz w:val="24"/>
          <w:szCs w:val="24"/>
          <w:highlight w:val="none"/>
        </w:rPr>
      </w:pPr>
      <w:r>
        <w:rPr>
          <w:sz w:val="24"/>
          <w:szCs w:val="24"/>
          <w:highlight w:val="none"/>
        </w:rPr>
        <w:t>服务所应遵守的技术规范应与</w:t>
      </w:r>
      <w:r>
        <w:rPr>
          <w:rFonts w:hint="eastAsia"/>
          <w:sz w:val="24"/>
          <w:szCs w:val="24"/>
          <w:highlight w:val="none"/>
        </w:rPr>
        <w:t>采购文件</w:t>
      </w:r>
      <w:r>
        <w:rPr>
          <w:sz w:val="24"/>
          <w:szCs w:val="24"/>
          <w:highlight w:val="none"/>
        </w:rPr>
        <w:t>规定的技术规范和技术规范附件(如果有的话)及其技术规范偏差表(如果被甲方接受的话)相一致；如果</w:t>
      </w:r>
      <w:r>
        <w:rPr>
          <w:rFonts w:hint="eastAsia"/>
          <w:sz w:val="24"/>
          <w:szCs w:val="24"/>
          <w:highlight w:val="none"/>
        </w:rPr>
        <w:t>采购文件</w:t>
      </w:r>
      <w:r>
        <w:rPr>
          <w:sz w:val="24"/>
          <w:szCs w:val="24"/>
          <w:highlight w:val="none"/>
        </w:rPr>
        <w:t>中没有技术规范的相应说明，那么应以国家有关部门最新颁布的相应标准和规范为准。</w:t>
      </w:r>
    </w:p>
    <w:p w14:paraId="3CAFB9EC">
      <w:pPr>
        <w:spacing w:line="560" w:lineRule="exact"/>
        <w:ind w:firstLine="482" w:firstLineChars="200"/>
        <w:rPr>
          <w:b/>
          <w:sz w:val="24"/>
          <w:szCs w:val="24"/>
          <w:highlight w:val="none"/>
        </w:rPr>
      </w:pPr>
      <w:bookmarkStart w:id="167" w:name="_Toc259093671"/>
      <w:bookmarkStart w:id="168" w:name="_Toc12412"/>
      <w:bookmarkStart w:id="169" w:name="_Toc487900351"/>
      <w:bookmarkStart w:id="170" w:name="_Toc4133"/>
      <w:bookmarkStart w:id="171" w:name="_Toc27945"/>
      <w:bookmarkStart w:id="172" w:name="_Toc13673"/>
      <w:bookmarkStart w:id="173" w:name="_Toc9161"/>
      <w:bookmarkStart w:id="174" w:name="_Toc279701242"/>
      <w:r>
        <w:rPr>
          <w:b/>
          <w:sz w:val="24"/>
          <w:szCs w:val="24"/>
          <w:highlight w:val="none"/>
        </w:rPr>
        <w:t>2.3 知识产权</w:t>
      </w:r>
      <w:bookmarkEnd w:id="167"/>
      <w:bookmarkEnd w:id="168"/>
      <w:bookmarkEnd w:id="169"/>
      <w:bookmarkEnd w:id="170"/>
      <w:bookmarkEnd w:id="171"/>
      <w:bookmarkEnd w:id="172"/>
      <w:bookmarkEnd w:id="173"/>
      <w:bookmarkEnd w:id="174"/>
    </w:p>
    <w:p w14:paraId="47FDB669">
      <w:pPr>
        <w:spacing w:line="560" w:lineRule="exact"/>
        <w:ind w:firstLine="480" w:firstLineChars="200"/>
        <w:rPr>
          <w:sz w:val="24"/>
          <w:szCs w:val="24"/>
          <w:highlight w:val="none"/>
        </w:rPr>
      </w:pPr>
      <w:r>
        <w:rPr>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B4A6B3B">
      <w:pPr>
        <w:spacing w:line="560" w:lineRule="exact"/>
        <w:ind w:firstLine="480" w:firstLineChars="200"/>
        <w:rPr>
          <w:sz w:val="24"/>
          <w:szCs w:val="24"/>
          <w:highlight w:val="none"/>
        </w:rPr>
      </w:pPr>
      <w:r>
        <w:rPr>
          <w:sz w:val="24"/>
          <w:szCs w:val="24"/>
          <w:highlight w:val="none"/>
        </w:rPr>
        <w:t>2.3.2 技术成果归属甲方。</w:t>
      </w:r>
    </w:p>
    <w:p w14:paraId="6E7000B7">
      <w:pPr>
        <w:spacing w:line="560" w:lineRule="exact"/>
        <w:ind w:firstLine="482" w:firstLineChars="200"/>
        <w:rPr>
          <w:b/>
          <w:sz w:val="24"/>
          <w:szCs w:val="24"/>
          <w:highlight w:val="none"/>
        </w:rPr>
      </w:pPr>
      <w:r>
        <w:rPr>
          <w:b/>
          <w:sz w:val="24"/>
          <w:szCs w:val="24"/>
          <w:highlight w:val="none"/>
        </w:rPr>
        <w:t>2.4 履约检查和问题反馈</w:t>
      </w:r>
    </w:p>
    <w:p w14:paraId="54200194">
      <w:pPr>
        <w:spacing w:line="560" w:lineRule="exact"/>
        <w:ind w:firstLine="480" w:firstLineChars="200"/>
        <w:rPr>
          <w:sz w:val="24"/>
          <w:szCs w:val="24"/>
          <w:highlight w:val="none"/>
        </w:rPr>
      </w:pPr>
      <w:bookmarkStart w:id="175" w:name="_Ref467379657"/>
      <w:r>
        <w:rPr>
          <w:sz w:val="24"/>
          <w:szCs w:val="24"/>
          <w:highlight w:val="none"/>
        </w:rPr>
        <w:t>2.4.1</w:t>
      </w:r>
      <w:bookmarkEnd w:id="175"/>
      <w:bookmarkStart w:id="176" w:name="_Toc186431854"/>
      <w:bookmarkStart w:id="177" w:name="_Toc279701247"/>
      <w:bookmarkStart w:id="178" w:name="_Ref467379807"/>
      <w:bookmarkStart w:id="179" w:name="_Toc259093676"/>
      <w:bookmarkStart w:id="180" w:name="_Toc487900357"/>
      <w:bookmarkStart w:id="181" w:name="_Ref467379793"/>
      <w:r>
        <w:rPr>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356E13A7">
      <w:pPr>
        <w:spacing w:line="560" w:lineRule="exact"/>
        <w:ind w:firstLine="480" w:firstLineChars="200"/>
        <w:rPr>
          <w:sz w:val="24"/>
          <w:szCs w:val="24"/>
          <w:highlight w:val="none"/>
        </w:rPr>
      </w:pPr>
      <w:r>
        <w:rPr>
          <w:sz w:val="24"/>
          <w:szCs w:val="24"/>
          <w:highlight w:val="none"/>
        </w:rPr>
        <w:t>2.4.2 合同履行期间，甲方有权将履行过程中出现的问题反馈给乙方，双方当事人应以书面形式约定需要完善和改进的内容</w:t>
      </w:r>
      <w:bookmarkEnd w:id="176"/>
      <w:bookmarkStart w:id="182" w:name="_Toc186431855"/>
      <w:r>
        <w:rPr>
          <w:sz w:val="24"/>
          <w:szCs w:val="24"/>
          <w:highlight w:val="none"/>
        </w:rPr>
        <w:t>。</w:t>
      </w:r>
    </w:p>
    <w:bookmarkEnd w:id="177"/>
    <w:bookmarkEnd w:id="178"/>
    <w:bookmarkEnd w:id="179"/>
    <w:bookmarkEnd w:id="180"/>
    <w:bookmarkEnd w:id="181"/>
    <w:bookmarkEnd w:id="182"/>
    <w:p w14:paraId="245A4D5E">
      <w:pPr>
        <w:spacing w:line="560" w:lineRule="exact"/>
        <w:ind w:firstLine="482" w:firstLineChars="200"/>
        <w:rPr>
          <w:b/>
          <w:sz w:val="24"/>
          <w:szCs w:val="24"/>
          <w:highlight w:val="none"/>
        </w:rPr>
      </w:pPr>
      <w:bookmarkStart w:id="183" w:name="_Ref467379863"/>
      <w:bookmarkStart w:id="184" w:name="_Toc487900358"/>
      <w:bookmarkStart w:id="185" w:name="_Toc279701248"/>
      <w:bookmarkStart w:id="186" w:name="_Toc259093677"/>
      <w:bookmarkStart w:id="187" w:name="_Ref467379852"/>
      <w:bookmarkStart w:id="188" w:name="_Ref467379923"/>
      <w:bookmarkStart w:id="189" w:name="_Toc16163"/>
      <w:bookmarkStart w:id="190" w:name="_Toc30507"/>
      <w:bookmarkStart w:id="191" w:name="_Toc13154"/>
      <w:bookmarkStart w:id="192" w:name="_Toc13467"/>
      <w:bookmarkStart w:id="193" w:name="_Toc18990"/>
      <w:r>
        <w:rPr>
          <w:b/>
          <w:sz w:val="24"/>
          <w:szCs w:val="24"/>
          <w:highlight w:val="none"/>
        </w:rPr>
        <w:t>2.5 技术资料</w:t>
      </w:r>
      <w:bookmarkEnd w:id="183"/>
      <w:bookmarkEnd w:id="184"/>
      <w:bookmarkEnd w:id="185"/>
      <w:bookmarkEnd w:id="186"/>
      <w:bookmarkEnd w:id="187"/>
      <w:bookmarkEnd w:id="188"/>
      <w:r>
        <w:rPr>
          <w:b/>
          <w:sz w:val="24"/>
          <w:szCs w:val="24"/>
          <w:highlight w:val="none"/>
        </w:rPr>
        <w:t>和保密义务</w:t>
      </w:r>
      <w:bookmarkEnd w:id="189"/>
      <w:bookmarkEnd w:id="190"/>
      <w:bookmarkEnd w:id="191"/>
      <w:bookmarkEnd w:id="192"/>
      <w:bookmarkEnd w:id="193"/>
    </w:p>
    <w:p w14:paraId="4BE30230">
      <w:pPr>
        <w:spacing w:line="560" w:lineRule="exact"/>
        <w:ind w:firstLine="480" w:firstLineChars="200"/>
        <w:rPr>
          <w:sz w:val="24"/>
          <w:szCs w:val="24"/>
          <w:highlight w:val="none"/>
        </w:rPr>
      </w:pPr>
      <w:r>
        <w:rPr>
          <w:sz w:val="24"/>
          <w:szCs w:val="24"/>
          <w:highlight w:val="none"/>
        </w:rPr>
        <w:t>2.5.1 乙方有权依据合同约定和项目需要，向甲方了解有关情况，调阅有关资料等，甲方应予积极配合；</w:t>
      </w:r>
    </w:p>
    <w:p w14:paraId="3C410F16">
      <w:pPr>
        <w:spacing w:line="560" w:lineRule="exact"/>
        <w:ind w:firstLine="480" w:firstLineChars="200"/>
        <w:rPr>
          <w:sz w:val="24"/>
          <w:szCs w:val="24"/>
          <w:highlight w:val="none"/>
        </w:rPr>
      </w:pPr>
      <w:r>
        <w:rPr>
          <w:sz w:val="24"/>
          <w:szCs w:val="24"/>
          <w:highlight w:val="none"/>
        </w:rPr>
        <w:t>2.5.2 乙方有义务妥善保管和保护由甲方提供的前款信息和资料等；</w:t>
      </w:r>
    </w:p>
    <w:p w14:paraId="53CC9FD7">
      <w:pPr>
        <w:spacing w:line="560" w:lineRule="exact"/>
        <w:ind w:firstLine="480" w:firstLineChars="200"/>
        <w:rPr>
          <w:sz w:val="24"/>
          <w:szCs w:val="24"/>
          <w:highlight w:val="none"/>
        </w:rPr>
      </w:pPr>
      <w:r>
        <w:rPr>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F7F597">
      <w:pPr>
        <w:spacing w:line="560" w:lineRule="exact"/>
        <w:ind w:firstLine="482" w:firstLineChars="200"/>
        <w:rPr>
          <w:b/>
          <w:sz w:val="24"/>
          <w:szCs w:val="24"/>
          <w:highlight w:val="none"/>
        </w:rPr>
      </w:pPr>
      <w:bookmarkStart w:id="194" w:name="_Toc19069"/>
      <w:bookmarkStart w:id="195" w:name="_Toc487900362"/>
      <w:bookmarkStart w:id="196" w:name="_Toc279701252"/>
      <w:bookmarkStart w:id="197" w:name="_Toc259093681"/>
      <w:r>
        <w:rPr>
          <w:b/>
          <w:sz w:val="24"/>
          <w:szCs w:val="24"/>
          <w:highlight w:val="none"/>
        </w:rPr>
        <w:t>2.6 质量保证</w:t>
      </w:r>
      <w:bookmarkEnd w:id="194"/>
    </w:p>
    <w:p w14:paraId="2CED67B3">
      <w:pPr>
        <w:spacing w:line="560" w:lineRule="exact"/>
        <w:ind w:firstLine="480" w:firstLineChars="200"/>
        <w:rPr>
          <w:sz w:val="24"/>
          <w:szCs w:val="24"/>
          <w:highlight w:val="none"/>
        </w:rPr>
      </w:pPr>
      <w:r>
        <w:rPr>
          <w:sz w:val="24"/>
          <w:szCs w:val="24"/>
          <w:highlight w:val="none"/>
        </w:rPr>
        <w:t>2.6.1 乙方应建立和完善履行合同的内部质量保证体系，并提供相关内部规章制度给甲方，以便甲方进行监督检查；</w:t>
      </w:r>
    </w:p>
    <w:p w14:paraId="4836CFB4">
      <w:pPr>
        <w:spacing w:line="560" w:lineRule="exact"/>
        <w:ind w:firstLine="480" w:firstLineChars="200"/>
        <w:rPr>
          <w:sz w:val="24"/>
          <w:szCs w:val="24"/>
          <w:highlight w:val="none"/>
        </w:rPr>
      </w:pPr>
      <w:r>
        <w:rPr>
          <w:sz w:val="24"/>
          <w:szCs w:val="24"/>
          <w:highlight w:val="none"/>
        </w:rPr>
        <w:t>2.6.2 乙方应保证履行合同的人员数量和素质、软件和硬件设备的配置、场地、环境和设施等满足全面履行合同的要求，并应接受甲方的监督检查。</w:t>
      </w:r>
    </w:p>
    <w:p w14:paraId="28E15D22">
      <w:pPr>
        <w:spacing w:line="560" w:lineRule="exact"/>
        <w:ind w:firstLine="482" w:firstLineChars="200"/>
        <w:rPr>
          <w:b/>
          <w:sz w:val="24"/>
          <w:szCs w:val="24"/>
          <w:highlight w:val="none"/>
        </w:rPr>
      </w:pPr>
      <w:bookmarkStart w:id="198" w:name="_Toc22267"/>
      <w:r>
        <w:rPr>
          <w:b/>
          <w:sz w:val="24"/>
          <w:szCs w:val="24"/>
          <w:highlight w:val="none"/>
        </w:rPr>
        <w:t>2.7 延迟</w:t>
      </w:r>
      <w:bookmarkEnd w:id="195"/>
      <w:bookmarkEnd w:id="196"/>
      <w:bookmarkEnd w:id="197"/>
      <w:r>
        <w:rPr>
          <w:b/>
          <w:sz w:val="24"/>
          <w:szCs w:val="24"/>
          <w:highlight w:val="none"/>
        </w:rPr>
        <w:t>履行</w:t>
      </w:r>
      <w:bookmarkEnd w:id="198"/>
    </w:p>
    <w:p w14:paraId="5B5D9F33">
      <w:pPr>
        <w:spacing w:line="560" w:lineRule="exact"/>
        <w:ind w:firstLine="480" w:firstLineChars="200"/>
        <w:rPr>
          <w:sz w:val="24"/>
          <w:szCs w:val="24"/>
          <w:highlight w:val="none"/>
        </w:rPr>
      </w:pPr>
      <w:r>
        <w:rPr>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40026F8">
      <w:pPr>
        <w:spacing w:line="560" w:lineRule="exact"/>
        <w:ind w:firstLine="482" w:firstLineChars="200"/>
        <w:rPr>
          <w:b/>
          <w:sz w:val="24"/>
          <w:szCs w:val="24"/>
          <w:highlight w:val="none"/>
        </w:rPr>
      </w:pPr>
      <w:bookmarkStart w:id="199" w:name="_Toc10611"/>
      <w:bookmarkStart w:id="200" w:name="_Toc259093683"/>
      <w:bookmarkStart w:id="201" w:name="_Ref467378121"/>
      <w:bookmarkStart w:id="202" w:name="_Toc487900364"/>
      <w:bookmarkStart w:id="203" w:name="_Toc279701254"/>
      <w:r>
        <w:rPr>
          <w:b/>
          <w:sz w:val="24"/>
          <w:szCs w:val="24"/>
          <w:highlight w:val="none"/>
        </w:rPr>
        <w:t>2.8 合同变更</w:t>
      </w:r>
      <w:bookmarkEnd w:id="199"/>
    </w:p>
    <w:p w14:paraId="39C3B89F">
      <w:pPr>
        <w:spacing w:line="560" w:lineRule="exact"/>
        <w:ind w:firstLine="480" w:firstLineChars="200"/>
        <w:rPr>
          <w:sz w:val="24"/>
          <w:szCs w:val="24"/>
          <w:highlight w:val="none"/>
        </w:rPr>
      </w:pPr>
      <w:r>
        <w:rPr>
          <w:sz w:val="24"/>
          <w:szCs w:val="24"/>
          <w:highlight w:val="none"/>
        </w:rPr>
        <w:t>2.8.1 双方当事人协商一致，可以签订书面补充合同的形式变更合同，但不得违背</w:t>
      </w:r>
      <w:r>
        <w:rPr>
          <w:rFonts w:hint="eastAsia"/>
          <w:sz w:val="24"/>
          <w:szCs w:val="24"/>
          <w:highlight w:val="none"/>
        </w:rPr>
        <w:t>采购文件</w:t>
      </w:r>
      <w:r>
        <w:rPr>
          <w:sz w:val="24"/>
          <w:szCs w:val="24"/>
          <w:highlight w:val="none"/>
        </w:rPr>
        <w:t>确定的事项，且如果系追加与合同标的相同的服务的，那么所有补充合同的采购金额不得超过原合同价的10%；</w:t>
      </w:r>
    </w:p>
    <w:p w14:paraId="5B003115">
      <w:pPr>
        <w:spacing w:line="560" w:lineRule="exact"/>
        <w:ind w:firstLine="480" w:firstLineChars="200"/>
        <w:rPr>
          <w:sz w:val="24"/>
          <w:szCs w:val="24"/>
          <w:highlight w:val="none"/>
        </w:rPr>
      </w:pPr>
      <w:r>
        <w:rPr>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204" w:name="_Toc259093688"/>
      <w:bookmarkStart w:id="205" w:name="_Toc279701259"/>
      <w:bookmarkStart w:id="206" w:name="_Toc487900369"/>
    </w:p>
    <w:p w14:paraId="77C045D9">
      <w:pPr>
        <w:spacing w:line="560" w:lineRule="exact"/>
        <w:ind w:firstLine="482" w:firstLineChars="200"/>
        <w:rPr>
          <w:b/>
          <w:sz w:val="24"/>
          <w:szCs w:val="24"/>
          <w:highlight w:val="none"/>
        </w:rPr>
      </w:pPr>
      <w:bookmarkStart w:id="207" w:name="_Toc21830"/>
      <w:bookmarkStart w:id="208" w:name="_Toc26689"/>
      <w:bookmarkStart w:id="209" w:name="_Toc10663"/>
      <w:bookmarkStart w:id="210" w:name="_Toc23368"/>
      <w:bookmarkStart w:id="211" w:name="_Toc42"/>
      <w:r>
        <w:rPr>
          <w:b/>
          <w:sz w:val="24"/>
          <w:szCs w:val="24"/>
          <w:highlight w:val="none"/>
        </w:rPr>
        <w:t>2.9 合同转让</w:t>
      </w:r>
      <w:bookmarkEnd w:id="204"/>
      <w:bookmarkEnd w:id="205"/>
      <w:bookmarkEnd w:id="206"/>
      <w:r>
        <w:rPr>
          <w:b/>
          <w:sz w:val="24"/>
          <w:szCs w:val="24"/>
          <w:highlight w:val="none"/>
        </w:rPr>
        <w:t>和分包</w:t>
      </w:r>
      <w:bookmarkEnd w:id="207"/>
      <w:bookmarkEnd w:id="208"/>
      <w:bookmarkEnd w:id="209"/>
      <w:bookmarkEnd w:id="210"/>
      <w:bookmarkEnd w:id="211"/>
    </w:p>
    <w:p w14:paraId="77D9EDE1">
      <w:pPr>
        <w:spacing w:line="560" w:lineRule="exact"/>
        <w:ind w:firstLine="480" w:firstLineChars="200"/>
        <w:rPr>
          <w:sz w:val="24"/>
          <w:szCs w:val="24"/>
          <w:highlight w:val="none"/>
        </w:rPr>
      </w:pPr>
      <w:r>
        <w:rPr>
          <w:sz w:val="24"/>
          <w:highlight w:val="none"/>
        </w:rPr>
        <w:t>合同的权利义务依法不得转让，如</w:t>
      </w:r>
      <w:r>
        <w:rPr>
          <w:rFonts w:hint="eastAsia"/>
          <w:sz w:val="24"/>
          <w:highlight w:val="none"/>
        </w:rPr>
        <w:t>采购文件</w:t>
      </w:r>
      <w:r>
        <w:rPr>
          <w:sz w:val="24"/>
          <w:highlight w:val="none"/>
        </w:rPr>
        <w:t>“第一章 报价邀请函”中甲方接受</w:t>
      </w:r>
      <w:r>
        <w:rPr>
          <w:rFonts w:hint="eastAsia"/>
          <w:sz w:val="24"/>
          <w:highlight w:val="none"/>
        </w:rPr>
        <w:t>中标</w:t>
      </w:r>
      <w:r>
        <w:rPr>
          <w:sz w:val="24"/>
          <w:highlight w:val="none"/>
        </w:rPr>
        <w:t>后分包，</w:t>
      </w:r>
      <w:r>
        <w:rPr>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8823525">
      <w:pPr>
        <w:spacing w:line="560" w:lineRule="exact"/>
        <w:ind w:firstLine="482" w:firstLineChars="200"/>
        <w:rPr>
          <w:b/>
          <w:sz w:val="24"/>
          <w:szCs w:val="24"/>
          <w:highlight w:val="none"/>
        </w:rPr>
      </w:pPr>
      <w:bookmarkStart w:id="212" w:name="_Toc25571"/>
      <w:bookmarkStart w:id="213" w:name="_Toc4720"/>
      <w:bookmarkStart w:id="214" w:name="_Toc26633"/>
      <w:bookmarkStart w:id="215" w:name="_Toc32494"/>
      <w:bookmarkStart w:id="216" w:name="_Toc14371"/>
      <w:r>
        <w:rPr>
          <w:b/>
          <w:sz w:val="24"/>
          <w:szCs w:val="24"/>
          <w:highlight w:val="none"/>
        </w:rPr>
        <w:t>2.10 不可抗力</w:t>
      </w:r>
      <w:bookmarkEnd w:id="212"/>
      <w:bookmarkEnd w:id="213"/>
      <w:bookmarkEnd w:id="214"/>
      <w:bookmarkEnd w:id="215"/>
      <w:bookmarkEnd w:id="216"/>
    </w:p>
    <w:p w14:paraId="0B917F61">
      <w:pPr>
        <w:spacing w:line="560" w:lineRule="exact"/>
        <w:ind w:firstLine="480" w:firstLineChars="200"/>
        <w:rPr>
          <w:sz w:val="24"/>
          <w:szCs w:val="24"/>
          <w:highlight w:val="none"/>
        </w:rPr>
      </w:pPr>
      <w:r>
        <w:rPr>
          <w:sz w:val="24"/>
          <w:szCs w:val="24"/>
          <w:highlight w:val="none"/>
        </w:rPr>
        <w:t>2.10.1如果任何一方遭遇法律规定的不可抗力，致使合同履行受阻时，履行合同的期限应予延长，延长的期限应相当于不可抗力所影响的时间；</w:t>
      </w:r>
    </w:p>
    <w:p w14:paraId="5AF9FBCC">
      <w:pPr>
        <w:spacing w:line="560" w:lineRule="exact"/>
        <w:ind w:firstLine="480" w:firstLineChars="200"/>
        <w:rPr>
          <w:sz w:val="24"/>
          <w:szCs w:val="24"/>
          <w:highlight w:val="none"/>
        </w:rPr>
      </w:pPr>
      <w:r>
        <w:rPr>
          <w:sz w:val="24"/>
          <w:szCs w:val="24"/>
          <w:highlight w:val="none"/>
        </w:rPr>
        <w:t>2.10.2 因不可抗力致使不能实现合同目的的，当事人可以解除合同；</w:t>
      </w:r>
    </w:p>
    <w:p w14:paraId="6E48F28A">
      <w:pPr>
        <w:spacing w:line="560" w:lineRule="exact"/>
        <w:ind w:firstLine="480" w:firstLineChars="200"/>
        <w:rPr>
          <w:sz w:val="24"/>
          <w:szCs w:val="24"/>
          <w:highlight w:val="none"/>
        </w:rPr>
      </w:pPr>
      <w:r>
        <w:rPr>
          <w:sz w:val="24"/>
          <w:szCs w:val="24"/>
          <w:highlight w:val="none"/>
        </w:rPr>
        <w:t>2.10.3 因不可抗力致使合同有变更必要的，</w:t>
      </w:r>
      <w:r>
        <w:rPr>
          <w:sz w:val="24"/>
          <w:highlight w:val="none"/>
        </w:rPr>
        <w:t>双方当事人应在约定时间内以书面形式变更合同</w:t>
      </w:r>
      <w:r>
        <w:rPr>
          <w:sz w:val="24"/>
          <w:szCs w:val="24"/>
          <w:highlight w:val="none"/>
        </w:rPr>
        <w:t>；</w:t>
      </w:r>
    </w:p>
    <w:p w14:paraId="31FB4C90">
      <w:pPr>
        <w:spacing w:line="560" w:lineRule="exact"/>
        <w:ind w:firstLine="480" w:firstLineChars="200"/>
        <w:rPr>
          <w:bCs/>
          <w:sz w:val="24"/>
          <w:highlight w:val="none"/>
          <w:lang w:val="zh-CN"/>
        </w:rPr>
      </w:pPr>
      <w:r>
        <w:rPr>
          <w:sz w:val="24"/>
          <w:szCs w:val="24"/>
          <w:highlight w:val="none"/>
        </w:rPr>
        <w:t xml:space="preserve">2.10.4 </w:t>
      </w:r>
      <w:r>
        <w:rPr>
          <w:bCs/>
          <w:sz w:val="24"/>
          <w:highlight w:val="none"/>
          <w:lang w:val="zh-CN"/>
        </w:rPr>
        <w:t>如遭遇不可抗力事件，遭遇不可抗力的一方应尽快以书面形式将不可抗力的情况和原因通知另一方，并</w:t>
      </w:r>
      <w:r>
        <w:rPr>
          <w:sz w:val="24"/>
          <w:highlight w:val="none"/>
        </w:rPr>
        <w:t>将有关部门出具的证明文件送达对方当事人，</w:t>
      </w:r>
      <w:r>
        <w:rPr>
          <w:bCs/>
          <w:sz w:val="24"/>
          <w:highlight w:val="none"/>
          <w:lang w:val="zh-CN"/>
        </w:rPr>
        <w:t>积极采取措施防止损失扩大。因不可抗力造成的损失，甲乙双方按照法律规定处理；</w:t>
      </w:r>
    </w:p>
    <w:p w14:paraId="0B5CE254">
      <w:pPr>
        <w:spacing w:line="560" w:lineRule="exact"/>
        <w:ind w:firstLine="480" w:firstLineChars="200"/>
        <w:rPr>
          <w:sz w:val="24"/>
          <w:szCs w:val="24"/>
          <w:highlight w:val="none"/>
        </w:rPr>
      </w:pPr>
      <w:r>
        <w:rPr>
          <w:sz w:val="24"/>
          <w:highlight w:val="none"/>
        </w:rPr>
        <w:t xml:space="preserve">2.10.5 </w:t>
      </w:r>
      <w:r>
        <w:rPr>
          <w:bCs/>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7A785D8D">
      <w:pPr>
        <w:spacing w:line="560" w:lineRule="exact"/>
        <w:ind w:firstLine="482" w:firstLineChars="200"/>
        <w:rPr>
          <w:b/>
          <w:sz w:val="24"/>
          <w:szCs w:val="24"/>
          <w:highlight w:val="none"/>
        </w:rPr>
      </w:pPr>
      <w:bookmarkStart w:id="217" w:name="_Toc14115"/>
      <w:bookmarkStart w:id="218" w:name="_Toc259093684"/>
      <w:bookmarkStart w:id="219" w:name="_Toc24465"/>
      <w:bookmarkStart w:id="220" w:name="_Toc3638"/>
      <w:bookmarkStart w:id="221" w:name="_Toc487900365"/>
      <w:bookmarkStart w:id="222" w:name="_Toc25783"/>
      <w:bookmarkStart w:id="223" w:name="_Toc279701255"/>
      <w:bookmarkStart w:id="224" w:name="_Toc23854"/>
      <w:r>
        <w:rPr>
          <w:b/>
          <w:sz w:val="24"/>
          <w:szCs w:val="24"/>
          <w:highlight w:val="none"/>
        </w:rPr>
        <w:t>2.11 税费</w:t>
      </w:r>
      <w:bookmarkEnd w:id="217"/>
      <w:bookmarkEnd w:id="218"/>
      <w:bookmarkEnd w:id="219"/>
      <w:bookmarkEnd w:id="220"/>
      <w:bookmarkEnd w:id="221"/>
      <w:bookmarkEnd w:id="222"/>
      <w:bookmarkEnd w:id="223"/>
      <w:bookmarkEnd w:id="224"/>
    </w:p>
    <w:p w14:paraId="044450F2">
      <w:pPr>
        <w:spacing w:line="560" w:lineRule="exact"/>
        <w:ind w:firstLine="480" w:firstLineChars="200"/>
        <w:rPr>
          <w:sz w:val="24"/>
          <w:szCs w:val="24"/>
          <w:highlight w:val="none"/>
        </w:rPr>
      </w:pPr>
      <w:r>
        <w:rPr>
          <w:sz w:val="24"/>
          <w:szCs w:val="24"/>
          <w:highlight w:val="none"/>
        </w:rPr>
        <w:t>与合同有关的一切税费，均按照中华人民共和国法律的相关规定缴纳。</w:t>
      </w:r>
    </w:p>
    <w:p w14:paraId="3A4AB698">
      <w:pPr>
        <w:spacing w:line="560" w:lineRule="exact"/>
        <w:ind w:firstLine="482" w:firstLineChars="200"/>
        <w:rPr>
          <w:b/>
          <w:sz w:val="24"/>
          <w:szCs w:val="24"/>
          <w:highlight w:val="none"/>
        </w:rPr>
      </w:pPr>
      <w:bookmarkStart w:id="225" w:name="_Toc14814"/>
      <w:bookmarkStart w:id="226" w:name="_Toc30105"/>
      <w:bookmarkStart w:id="227" w:name="_Toc487900368"/>
      <w:bookmarkStart w:id="228" w:name="_Toc25525"/>
      <w:bookmarkStart w:id="229" w:name="_Toc26883"/>
      <w:bookmarkStart w:id="230" w:name="_Toc7315"/>
      <w:bookmarkStart w:id="231" w:name="_Toc279701258"/>
      <w:bookmarkStart w:id="232" w:name="_Toc259093687"/>
      <w:r>
        <w:rPr>
          <w:b/>
          <w:sz w:val="24"/>
          <w:szCs w:val="24"/>
          <w:highlight w:val="none"/>
        </w:rPr>
        <w:t>2.12 乙方破产</w:t>
      </w:r>
      <w:bookmarkEnd w:id="225"/>
      <w:bookmarkEnd w:id="226"/>
      <w:bookmarkEnd w:id="227"/>
      <w:bookmarkEnd w:id="228"/>
      <w:bookmarkEnd w:id="229"/>
      <w:bookmarkEnd w:id="230"/>
      <w:bookmarkEnd w:id="231"/>
      <w:bookmarkEnd w:id="232"/>
    </w:p>
    <w:p w14:paraId="598ABE87">
      <w:pPr>
        <w:spacing w:line="560" w:lineRule="exact"/>
        <w:ind w:firstLine="480" w:firstLineChars="200"/>
        <w:rPr>
          <w:sz w:val="24"/>
          <w:szCs w:val="24"/>
          <w:highlight w:val="none"/>
        </w:rPr>
      </w:pPr>
      <w:r>
        <w:rPr>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F6EFF9">
      <w:pPr>
        <w:spacing w:line="560" w:lineRule="exact"/>
        <w:ind w:firstLine="482" w:firstLineChars="200"/>
        <w:rPr>
          <w:b/>
          <w:sz w:val="24"/>
          <w:szCs w:val="24"/>
          <w:highlight w:val="none"/>
        </w:rPr>
      </w:pPr>
      <w:bookmarkStart w:id="233" w:name="_Toc23323"/>
      <w:bookmarkStart w:id="234" w:name="_Toc2016"/>
      <w:bookmarkStart w:id="235" w:name="_Toc1123"/>
      <w:r>
        <w:rPr>
          <w:b/>
          <w:sz w:val="24"/>
          <w:szCs w:val="24"/>
          <w:highlight w:val="none"/>
        </w:rPr>
        <w:t>2.13 合同中止、终止</w:t>
      </w:r>
      <w:bookmarkEnd w:id="233"/>
      <w:bookmarkEnd w:id="234"/>
      <w:bookmarkEnd w:id="235"/>
    </w:p>
    <w:p w14:paraId="42D864A2">
      <w:pPr>
        <w:spacing w:line="560" w:lineRule="exact"/>
        <w:ind w:firstLine="480" w:firstLineChars="200"/>
        <w:rPr>
          <w:sz w:val="24"/>
          <w:szCs w:val="24"/>
          <w:highlight w:val="none"/>
        </w:rPr>
      </w:pPr>
      <w:r>
        <w:rPr>
          <w:sz w:val="24"/>
          <w:szCs w:val="24"/>
          <w:highlight w:val="none"/>
        </w:rPr>
        <w:t>2.13.1 双方当事人不得擅自中止或者终止合同；</w:t>
      </w:r>
    </w:p>
    <w:p w14:paraId="24298526">
      <w:pPr>
        <w:spacing w:line="560" w:lineRule="exact"/>
        <w:ind w:firstLine="480" w:firstLineChars="200"/>
        <w:rPr>
          <w:sz w:val="24"/>
          <w:szCs w:val="24"/>
          <w:highlight w:val="none"/>
        </w:rPr>
      </w:pPr>
      <w:r>
        <w:rPr>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2B2D279E">
      <w:pPr>
        <w:spacing w:line="560" w:lineRule="exact"/>
        <w:ind w:firstLine="482" w:firstLineChars="200"/>
        <w:rPr>
          <w:b/>
          <w:sz w:val="24"/>
          <w:szCs w:val="24"/>
          <w:highlight w:val="none"/>
        </w:rPr>
      </w:pPr>
      <w:bookmarkStart w:id="236" w:name="_Toc14525"/>
      <w:bookmarkStart w:id="237" w:name="_Toc1969"/>
      <w:bookmarkStart w:id="238" w:name="_Toc17363"/>
      <w:r>
        <w:rPr>
          <w:b/>
          <w:sz w:val="24"/>
          <w:szCs w:val="24"/>
          <w:highlight w:val="none"/>
        </w:rPr>
        <w:t>2.14 检验和验收</w:t>
      </w:r>
      <w:bookmarkEnd w:id="236"/>
      <w:bookmarkEnd w:id="237"/>
      <w:bookmarkEnd w:id="238"/>
    </w:p>
    <w:p w14:paraId="0CC8B9A7">
      <w:pPr>
        <w:tabs>
          <w:tab w:val="left" w:pos="360"/>
          <w:tab w:val="left" w:pos="540"/>
          <w:tab w:val="left" w:pos="1080"/>
        </w:tabs>
        <w:spacing w:line="560" w:lineRule="exact"/>
        <w:ind w:firstLine="480" w:firstLineChars="200"/>
        <w:rPr>
          <w:sz w:val="24"/>
          <w:szCs w:val="24"/>
          <w:highlight w:val="none"/>
        </w:rPr>
      </w:pPr>
      <w:r>
        <w:rPr>
          <w:sz w:val="24"/>
          <w:szCs w:val="24"/>
          <w:highlight w:val="none"/>
        </w:rPr>
        <w:t>2.14.1 乙方按照约定，定期提交服务报告，甲方定期进行验收；</w:t>
      </w:r>
    </w:p>
    <w:p w14:paraId="0922AD83">
      <w:pPr>
        <w:tabs>
          <w:tab w:val="left" w:pos="360"/>
          <w:tab w:val="left" w:pos="540"/>
          <w:tab w:val="left" w:pos="1080"/>
        </w:tabs>
        <w:spacing w:line="560" w:lineRule="exact"/>
        <w:ind w:firstLine="480" w:firstLineChars="200"/>
        <w:rPr>
          <w:sz w:val="24"/>
          <w:szCs w:val="24"/>
          <w:highlight w:val="none"/>
        </w:rPr>
      </w:pPr>
      <w:r>
        <w:rPr>
          <w:sz w:val="24"/>
          <w:szCs w:val="24"/>
          <w:highlight w:val="none"/>
        </w:rPr>
        <w:t>2.14.2 合同期满或者履行完毕后，甲方有权组织（包括依法邀请国家认可的质量检测机构参加）对乙方履约的验收；</w:t>
      </w:r>
    </w:p>
    <w:bookmarkEnd w:id="200"/>
    <w:bookmarkEnd w:id="201"/>
    <w:bookmarkEnd w:id="202"/>
    <w:bookmarkEnd w:id="203"/>
    <w:p w14:paraId="6CD82805">
      <w:pPr>
        <w:spacing w:line="560" w:lineRule="exact"/>
        <w:ind w:firstLine="482" w:firstLineChars="200"/>
        <w:rPr>
          <w:b/>
          <w:sz w:val="24"/>
          <w:szCs w:val="24"/>
          <w:highlight w:val="none"/>
        </w:rPr>
      </w:pPr>
      <w:bookmarkStart w:id="239" w:name="_Toc279701261"/>
      <w:bookmarkStart w:id="240" w:name="_Toc259093690"/>
      <w:bookmarkStart w:id="241" w:name="_Toc487900371"/>
      <w:bookmarkStart w:id="242" w:name="_Toc25198"/>
      <w:bookmarkStart w:id="243" w:name="_Toc9808"/>
      <w:bookmarkStart w:id="244" w:name="_Toc2308"/>
      <w:bookmarkStart w:id="245" w:name="_Toc12666"/>
      <w:bookmarkStart w:id="246" w:name="_Toc31892"/>
      <w:r>
        <w:rPr>
          <w:b/>
          <w:sz w:val="24"/>
          <w:szCs w:val="24"/>
          <w:highlight w:val="none"/>
        </w:rPr>
        <w:t>2.15 通知</w:t>
      </w:r>
      <w:bookmarkEnd w:id="239"/>
      <w:bookmarkEnd w:id="240"/>
      <w:bookmarkEnd w:id="241"/>
      <w:r>
        <w:rPr>
          <w:b/>
          <w:sz w:val="24"/>
          <w:szCs w:val="24"/>
          <w:highlight w:val="none"/>
        </w:rPr>
        <w:t>和送达</w:t>
      </w:r>
      <w:bookmarkEnd w:id="242"/>
      <w:bookmarkEnd w:id="243"/>
      <w:bookmarkEnd w:id="244"/>
      <w:bookmarkEnd w:id="245"/>
      <w:bookmarkEnd w:id="246"/>
    </w:p>
    <w:p w14:paraId="413DD427">
      <w:pPr>
        <w:spacing w:line="560" w:lineRule="exact"/>
        <w:ind w:firstLine="480" w:firstLineChars="200"/>
        <w:rPr>
          <w:sz w:val="24"/>
          <w:szCs w:val="24"/>
          <w:highlight w:val="none"/>
        </w:rPr>
      </w:pPr>
      <w:bookmarkStart w:id="247" w:name="_Toc29220"/>
      <w:bookmarkStart w:id="248" w:name="_Toc7073"/>
      <w:bookmarkStart w:id="249" w:name="_Toc487900372"/>
      <w:bookmarkStart w:id="250" w:name="_Toc259093691"/>
      <w:bookmarkStart w:id="251" w:name="_Toc279701262"/>
      <w:r>
        <w:rPr>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sz w:val="24"/>
          <w:szCs w:val="24"/>
          <w:highlight w:val="none"/>
          <w:u w:val="single"/>
        </w:rPr>
        <w:t xml:space="preserve">  </w:t>
      </w:r>
      <w:r>
        <w:rPr>
          <w:sz w:val="24"/>
          <w:szCs w:val="24"/>
          <w:highlight w:val="none"/>
        </w:rPr>
        <w:t>工作日内书面通知对方当事人，在对方当事人收到有关变更通知之前，变更前的约定送达方式或者地址仍视为有效。</w:t>
      </w:r>
      <w:bookmarkEnd w:id="247"/>
      <w:bookmarkEnd w:id="248"/>
    </w:p>
    <w:p w14:paraId="63FE22EA">
      <w:pPr>
        <w:spacing w:line="560" w:lineRule="exact"/>
        <w:ind w:firstLine="480" w:firstLineChars="200"/>
        <w:rPr>
          <w:sz w:val="24"/>
          <w:szCs w:val="24"/>
          <w:highlight w:val="none"/>
        </w:rPr>
      </w:pPr>
      <w:bookmarkStart w:id="252" w:name="_Toc18401"/>
      <w:bookmarkStart w:id="253" w:name="_Toc27674"/>
      <w:r>
        <w:rPr>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2"/>
      <w:bookmarkEnd w:id="253"/>
    </w:p>
    <w:bookmarkEnd w:id="249"/>
    <w:bookmarkEnd w:id="250"/>
    <w:bookmarkEnd w:id="251"/>
    <w:p w14:paraId="118342AE">
      <w:pPr>
        <w:spacing w:line="560" w:lineRule="exact"/>
        <w:ind w:firstLine="482" w:firstLineChars="200"/>
        <w:rPr>
          <w:b/>
          <w:sz w:val="24"/>
          <w:szCs w:val="24"/>
          <w:highlight w:val="none"/>
        </w:rPr>
      </w:pPr>
      <w:bookmarkStart w:id="254" w:name="_Toc279701263"/>
      <w:bookmarkStart w:id="255" w:name="_Toc12254"/>
      <w:bookmarkStart w:id="256" w:name="_Toc27644"/>
      <w:bookmarkStart w:id="257" w:name="_Toc259093692"/>
      <w:bookmarkStart w:id="258" w:name="_Toc487900373"/>
      <w:bookmarkStart w:id="259" w:name="_Toc28906"/>
      <w:bookmarkStart w:id="260" w:name="_Toc20808"/>
      <w:bookmarkStart w:id="261" w:name="_Toc5063"/>
      <w:r>
        <w:rPr>
          <w:b/>
          <w:sz w:val="24"/>
          <w:szCs w:val="24"/>
          <w:highlight w:val="none"/>
        </w:rPr>
        <w:t>2.16 合同使用的文字和适用的法律</w:t>
      </w:r>
      <w:bookmarkEnd w:id="254"/>
      <w:bookmarkEnd w:id="255"/>
      <w:bookmarkEnd w:id="256"/>
      <w:bookmarkEnd w:id="257"/>
      <w:bookmarkEnd w:id="258"/>
      <w:bookmarkEnd w:id="259"/>
      <w:bookmarkEnd w:id="260"/>
      <w:bookmarkEnd w:id="261"/>
    </w:p>
    <w:p w14:paraId="5383F863">
      <w:pPr>
        <w:spacing w:line="560" w:lineRule="exact"/>
        <w:ind w:firstLine="480" w:firstLineChars="200"/>
        <w:rPr>
          <w:sz w:val="24"/>
          <w:szCs w:val="24"/>
          <w:highlight w:val="none"/>
        </w:rPr>
      </w:pPr>
      <w:r>
        <w:rPr>
          <w:sz w:val="24"/>
          <w:szCs w:val="24"/>
          <w:highlight w:val="none"/>
        </w:rPr>
        <w:t>2.16.1 合同使用汉语书就、变更和解释；</w:t>
      </w:r>
    </w:p>
    <w:p w14:paraId="5D221D4E">
      <w:pPr>
        <w:spacing w:line="560" w:lineRule="exact"/>
        <w:ind w:firstLine="480" w:firstLineChars="200"/>
        <w:rPr>
          <w:sz w:val="24"/>
          <w:szCs w:val="24"/>
          <w:highlight w:val="none"/>
        </w:rPr>
      </w:pPr>
      <w:r>
        <w:rPr>
          <w:sz w:val="24"/>
          <w:szCs w:val="24"/>
          <w:highlight w:val="none"/>
        </w:rPr>
        <w:t>2.16.2 合同适用中华人民共和国法律。</w:t>
      </w:r>
    </w:p>
    <w:p w14:paraId="11A2C8E7">
      <w:pPr>
        <w:spacing w:line="56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2.17 履约保证金</w:t>
      </w:r>
    </w:p>
    <w:p w14:paraId="0621072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2.17.1 签订合同前，中标供应商须按下表要求交纳中标合同总金额</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4168"/>
        <w:gridCol w:w="1308"/>
        <w:gridCol w:w="1584"/>
      </w:tblGrid>
      <w:tr w14:paraId="2F2A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shd w:val="clear" w:color="auto" w:fill="auto"/>
            <w:vAlign w:val="center"/>
          </w:tcPr>
          <w:p w14:paraId="2BDB1D11">
            <w:pPr>
              <w:spacing w:line="560" w:lineRule="exact"/>
              <w:jc w:val="center"/>
              <w:rPr>
                <w:rFonts w:ascii="宋体" w:hAnsi="宋体" w:cs="宋体"/>
                <w:sz w:val="24"/>
                <w:szCs w:val="24"/>
                <w:highlight w:val="none"/>
              </w:rPr>
            </w:pPr>
            <w:r>
              <w:rPr>
                <w:rFonts w:hint="eastAsia" w:ascii="宋体" w:hAnsi="宋体" w:cs="宋体"/>
                <w:sz w:val="24"/>
                <w:szCs w:val="24"/>
                <w:highlight w:val="none"/>
              </w:rPr>
              <w:t>收款单位</w:t>
            </w:r>
          </w:p>
        </w:tc>
        <w:tc>
          <w:tcPr>
            <w:tcW w:w="4168" w:type="dxa"/>
            <w:shd w:val="clear" w:color="auto" w:fill="auto"/>
            <w:vAlign w:val="center"/>
          </w:tcPr>
          <w:p w14:paraId="4000261D">
            <w:pPr>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宜兴市宜蓝环境科技有限公司</w:t>
            </w:r>
          </w:p>
        </w:tc>
        <w:tc>
          <w:tcPr>
            <w:tcW w:w="1308" w:type="dxa"/>
            <w:vMerge w:val="restart"/>
            <w:shd w:val="clear" w:color="auto" w:fill="auto"/>
            <w:vAlign w:val="center"/>
          </w:tcPr>
          <w:p w14:paraId="55028F80">
            <w:pPr>
              <w:spacing w:line="560" w:lineRule="exact"/>
              <w:jc w:val="center"/>
              <w:rPr>
                <w:rFonts w:ascii="宋体" w:hAnsi="宋体" w:cs="宋体"/>
                <w:sz w:val="24"/>
                <w:szCs w:val="24"/>
                <w:highlight w:val="none"/>
              </w:rPr>
            </w:pPr>
            <w:r>
              <w:rPr>
                <w:rFonts w:hint="eastAsia" w:ascii="宋体" w:hAnsi="宋体" w:cs="宋体"/>
                <w:sz w:val="24"/>
                <w:szCs w:val="24"/>
                <w:highlight w:val="none"/>
              </w:rPr>
              <w:t>交纳形式</w:t>
            </w:r>
          </w:p>
        </w:tc>
        <w:tc>
          <w:tcPr>
            <w:tcW w:w="1584" w:type="dxa"/>
            <w:vMerge w:val="restart"/>
            <w:shd w:val="clear" w:color="auto" w:fill="auto"/>
            <w:vAlign w:val="center"/>
          </w:tcPr>
          <w:p w14:paraId="785D53E5">
            <w:pPr>
              <w:spacing w:line="560" w:lineRule="exact"/>
              <w:jc w:val="center"/>
              <w:rPr>
                <w:rFonts w:ascii="宋体" w:hAnsi="宋体" w:cs="宋体"/>
                <w:sz w:val="24"/>
                <w:szCs w:val="24"/>
                <w:highlight w:val="none"/>
              </w:rPr>
            </w:pPr>
          </w:p>
        </w:tc>
      </w:tr>
      <w:tr w14:paraId="0FCB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60" w:type="dxa"/>
            <w:shd w:val="clear" w:color="auto" w:fill="auto"/>
            <w:vAlign w:val="center"/>
          </w:tcPr>
          <w:p w14:paraId="25C89467">
            <w:pPr>
              <w:spacing w:line="560" w:lineRule="exact"/>
              <w:jc w:val="center"/>
              <w:rPr>
                <w:rFonts w:ascii="宋体" w:hAnsi="宋体" w:cs="宋体"/>
                <w:sz w:val="24"/>
                <w:szCs w:val="24"/>
                <w:highlight w:val="none"/>
              </w:rPr>
            </w:pPr>
            <w:r>
              <w:rPr>
                <w:rFonts w:hint="eastAsia" w:ascii="宋体" w:hAnsi="宋体" w:cs="宋体"/>
                <w:sz w:val="24"/>
                <w:szCs w:val="24"/>
                <w:highlight w:val="none"/>
              </w:rPr>
              <w:t>开户行</w:t>
            </w:r>
          </w:p>
        </w:tc>
        <w:tc>
          <w:tcPr>
            <w:tcW w:w="4168" w:type="dxa"/>
            <w:shd w:val="clear" w:color="auto" w:fill="auto"/>
            <w:vAlign w:val="center"/>
          </w:tcPr>
          <w:p w14:paraId="10E4EFA2">
            <w:pPr>
              <w:jc w:val="center"/>
              <w:rPr>
                <w:rFonts w:hint="eastAsia" w:ascii="宋体" w:hAnsi="宋体" w:cs="宋体"/>
                <w:sz w:val="24"/>
                <w:szCs w:val="24"/>
                <w:highlight w:val="none"/>
                <w:lang w:eastAsia="zh-CN"/>
              </w:rPr>
            </w:pPr>
            <w:r>
              <w:rPr>
                <w:rFonts w:hint="eastAsia" w:ascii="宋体" w:hAnsi="宋体" w:cs="宋体"/>
                <w:sz w:val="24"/>
                <w:szCs w:val="24"/>
                <w:highlight w:val="none"/>
                <w:lang w:val="zh-CN" w:eastAsia="zh-CN"/>
              </w:rPr>
              <w:t>交通银行股份有限公司宜兴支行</w:t>
            </w:r>
          </w:p>
        </w:tc>
        <w:tc>
          <w:tcPr>
            <w:tcW w:w="1308" w:type="dxa"/>
            <w:vMerge w:val="continue"/>
            <w:shd w:val="clear" w:color="auto" w:fill="auto"/>
            <w:vAlign w:val="center"/>
          </w:tcPr>
          <w:p w14:paraId="11184A90">
            <w:pPr>
              <w:spacing w:line="560" w:lineRule="exact"/>
              <w:jc w:val="center"/>
              <w:rPr>
                <w:rFonts w:ascii="宋体" w:hAnsi="宋体" w:cs="宋体"/>
                <w:sz w:val="24"/>
                <w:szCs w:val="24"/>
                <w:highlight w:val="none"/>
              </w:rPr>
            </w:pPr>
          </w:p>
        </w:tc>
        <w:tc>
          <w:tcPr>
            <w:tcW w:w="1584" w:type="dxa"/>
            <w:vMerge w:val="continue"/>
            <w:shd w:val="clear" w:color="auto" w:fill="auto"/>
            <w:vAlign w:val="center"/>
          </w:tcPr>
          <w:p w14:paraId="3F6F23CC">
            <w:pPr>
              <w:spacing w:line="560" w:lineRule="exact"/>
              <w:jc w:val="center"/>
              <w:rPr>
                <w:rFonts w:ascii="宋体" w:hAnsi="宋体" w:cs="宋体"/>
                <w:sz w:val="24"/>
                <w:szCs w:val="24"/>
                <w:highlight w:val="none"/>
              </w:rPr>
            </w:pPr>
          </w:p>
        </w:tc>
      </w:tr>
      <w:tr w14:paraId="78E5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0" w:type="dxa"/>
            <w:shd w:val="clear" w:color="auto" w:fill="auto"/>
            <w:vAlign w:val="center"/>
          </w:tcPr>
          <w:p w14:paraId="080F676B">
            <w:pPr>
              <w:spacing w:line="560" w:lineRule="exact"/>
              <w:jc w:val="center"/>
              <w:rPr>
                <w:rFonts w:ascii="宋体" w:hAnsi="宋体" w:cs="宋体"/>
                <w:sz w:val="24"/>
                <w:szCs w:val="24"/>
                <w:highlight w:val="none"/>
              </w:rPr>
            </w:pPr>
            <w:r>
              <w:rPr>
                <w:rFonts w:hint="eastAsia" w:ascii="宋体" w:hAnsi="宋体" w:cs="宋体"/>
                <w:sz w:val="24"/>
                <w:szCs w:val="24"/>
                <w:highlight w:val="none"/>
              </w:rPr>
              <w:t>账 号</w:t>
            </w:r>
          </w:p>
        </w:tc>
        <w:tc>
          <w:tcPr>
            <w:tcW w:w="4168" w:type="dxa"/>
            <w:shd w:val="clear" w:color="auto" w:fill="auto"/>
            <w:vAlign w:val="center"/>
          </w:tcPr>
          <w:p w14:paraId="79ADD487">
            <w:pPr>
              <w:jc w:val="center"/>
              <w:rPr>
                <w:rFonts w:hint="eastAsia" w:ascii="宋体" w:hAnsi="宋体" w:cs="宋体"/>
                <w:sz w:val="24"/>
                <w:szCs w:val="24"/>
                <w:highlight w:val="none"/>
                <w:lang w:eastAsia="zh-CN"/>
              </w:rPr>
            </w:pPr>
            <w:r>
              <w:rPr>
                <w:rFonts w:hint="eastAsia" w:ascii="宋体" w:hAnsi="宋体" w:cs="宋体"/>
                <w:sz w:val="24"/>
                <w:szCs w:val="24"/>
                <w:highlight w:val="none"/>
                <w:lang w:val="zh-CN" w:eastAsia="zh-CN"/>
              </w:rPr>
              <w:t>394000690015003011511</w:t>
            </w:r>
          </w:p>
        </w:tc>
        <w:tc>
          <w:tcPr>
            <w:tcW w:w="1308" w:type="dxa"/>
            <w:vMerge w:val="continue"/>
            <w:shd w:val="clear" w:color="auto" w:fill="auto"/>
            <w:vAlign w:val="center"/>
          </w:tcPr>
          <w:p w14:paraId="4D191056">
            <w:pPr>
              <w:spacing w:line="560" w:lineRule="exact"/>
              <w:jc w:val="center"/>
              <w:rPr>
                <w:rFonts w:ascii="宋体" w:hAnsi="宋体" w:cs="宋体"/>
                <w:sz w:val="24"/>
                <w:szCs w:val="24"/>
                <w:highlight w:val="none"/>
              </w:rPr>
            </w:pPr>
          </w:p>
        </w:tc>
        <w:tc>
          <w:tcPr>
            <w:tcW w:w="1584" w:type="dxa"/>
            <w:vMerge w:val="continue"/>
            <w:shd w:val="clear" w:color="auto" w:fill="auto"/>
            <w:vAlign w:val="center"/>
          </w:tcPr>
          <w:p w14:paraId="0C41E9B7">
            <w:pPr>
              <w:spacing w:line="560" w:lineRule="exact"/>
              <w:jc w:val="center"/>
              <w:rPr>
                <w:rFonts w:ascii="宋体" w:hAnsi="宋体" w:cs="宋体"/>
                <w:sz w:val="24"/>
                <w:szCs w:val="24"/>
                <w:highlight w:val="none"/>
              </w:rPr>
            </w:pPr>
          </w:p>
        </w:tc>
      </w:tr>
    </w:tbl>
    <w:p w14:paraId="1A1246C3">
      <w:pPr>
        <w:spacing w:line="560" w:lineRule="exact"/>
        <w:ind w:firstLine="480" w:firstLineChars="200"/>
        <w:rPr>
          <w:sz w:val="24"/>
          <w:szCs w:val="24"/>
          <w:highlight w:val="none"/>
        </w:rPr>
      </w:pPr>
      <w:r>
        <w:rPr>
          <w:rFonts w:hint="eastAsia"/>
          <w:sz w:val="24"/>
          <w:szCs w:val="24"/>
          <w:highlight w:val="none"/>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09AE87E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5064DA6">
      <w:pPr>
        <w:spacing w:line="560" w:lineRule="exact"/>
        <w:ind w:firstLine="480" w:firstLineChars="200"/>
        <w:rPr>
          <w:rFonts w:ascii="黑体" w:hAnsi="黑体" w:eastAsia="黑体"/>
          <w:sz w:val="28"/>
          <w:highlight w:val="none"/>
        </w:rPr>
      </w:pPr>
      <w:r>
        <w:rPr>
          <w:rFonts w:hint="eastAsia" w:ascii="宋体" w:hAnsi="宋体" w:cs="宋体"/>
          <w:sz w:val="24"/>
          <w:szCs w:val="24"/>
          <w:highlight w:val="none"/>
        </w:rPr>
        <w:t>2.17.4 如果甲方未及时退还履约保证金，相关责任由甲乙双方在合同中自行约定。</w:t>
      </w:r>
    </w:p>
    <w:p w14:paraId="4A64C356">
      <w:pPr>
        <w:pStyle w:val="14"/>
        <w:rPr>
          <w:rFonts w:ascii="宋体" w:hAnsi="宋体"/>
          <w:color w:val="000000"/>
          <w:sz w:val="24"/>
          <w:szCs w:val="24"/>
          <w:highlight w:val="none"/>
        </w:rPr>
      </w:pPr>
    </w:p>
    <w:p w14:paraId="65D9CA6C">
      <w:pPr>
        <w:pStyle w:val="19"/>
        <w:numPr>
          <w:ilvl w:val="0"/>
          <w:numId w:val="0"/>
        </w:numPr>
        <w:rPr>
          <w:rFonts w:ascii="宋体" w:hAnsi="宋体"/>
          <w:color w:val="000000"/>
          <w:sz w:val="24"/>
          <w:szCs w:val="24"/>
          <w:highlight w:val="none"/>
        </w:rPr>
      </w:pPr>
    </w:p>
    <w:p w14:paraId="3D318636">
      <w:pPr>
        <w:pStyle w:val="19"/>
        <w:numPr>
          <w:ilvl w:val="0"/>
          <w:numId w:val="0"/>
        </w:numPr>
        <w:rPr>
          <w:rFonts w:ascii="宋体" w:hAnsi="宋体"/>
          <w:color w:val="000000"/>
          <w:sz w:val="24"/>
          <w:szCs w:val="24"/>
          <w:highlight w:val="none"/>
        </w:rPr>
      </w:pPr>
    </w:p>
    <w:p w14:paraId="19235689">
      <w:pPr>
        <w:pStyle w:val="19"/>
        <w:numPr>
          <w:ilvl w:val="0"/>
          <w:numId w:val="0"/>
        </w:numPr>
        <w:rPr>
          <w:rFonts w:hint="eastAsia" w:ascii="宋体" w:hAnsi="宋体"/>
          <w:color w:val="000000"/>
          <w:sz w:val="24"/>
          <w:szCs w:val="24"/>
          <w:highlight w:val="none"/>
        </w:rPr>
      </w:pPr>
    </w:p>
    <w:p w14:paraId="698064AE">
      <w:pPr>
        <w:pStyle w:val="19"/>
        <w:numPr>
          <w:ilvl w:val="0"/>
          <w:numId w:val="0"/>
        </w:numPr>
        <w:rPr>
          <w:rFonts w:hint="eastAsia" w:ascii="宋体" w:hAnsi="宋体"/>
          <w:color w:val="000000"/>
          <w:sz w:val="24"/>
          <w:szCs w:val="24"/>
          <w:highlight w:val="none"/>
        </w:rPr>
      </w:pPr>
    </w:p>
    <w:p w14:paraId="3531954F">
      <w:pPr>
        <w:pStyle w:val="19"/>
        <w:numPr>
          <w:ilvl w:val="0"/>
          <w:numId w:val="0"/>
        </w:numPr>
        <w:rPr>
          <w:rFonts w:hint="eastAsia" w:ascii="宋体" w:hAnsi="宋体"/>
          <w:color w:val="000000"/>
          <w:sz w:val="24"/>
          <w:szCs w:val="24"/>
          <w:highlight w:val="none"/>
        </w:rPr>
      </w:pPr>
    </w:p>
    <w:p w14:paraId="42581691">
      <w:pPr>
        <w:pStyle w:val="19"/>
        <w:numPr>
          <w:ilvl w:val="0"/>
          <w:numId w:val="0"/>
        </w:numPr>
        <w:rPr>
          <w:rFonts w:hint="eastAsia" w:ascii="宋体" w:hAnsi="宋体"/>
          <w:color w:val="000000"/>
          <w:sz w:val="24"/>
          <w:szCs w:val="24"/>
          <w:highlight w:val="none"/>
        </w:rPr>
      </w:pPr>
    </w:p>
    <w:p w14:paraId="0CDC75CE">
      <w:pPr>
        <w:pStyle w:val="19"/>
        <w:numPr>
          <w:ilvl w:val="0"/>
          <w:numId w:val="0"/>
        </w:numPr>
        <w:rPr>
          <w:rFonts w:hint="eastAsia" w:ascii="宋体" w:hAnsi="宋体"/>
          <w:color w:val="000000"/>
          <w:sz w:val="24"/>
          <w:szCs w:val="24"/>
          <w:highlight w:val="none"/>
        </w:rPr>
      </w:pPr>
    </w:p>
    <w:p w14:paraId="4BA60796">
      <w:pPr>
        <w:pStyle w:val="19"/>
        <w:numPr>
          <w:ilvl w:val="0"/>
          <w:numId w:val="0"/>
        </w:numPr>
        <w:rPr>
          <w:rFonts w:hint="eastAsia" w:ascii="宋体" w:hAnsi="宋体"/>
          <w:color w:val="000000"/>
          <w:sz w:val="24"/>
          <w:szCs w:val="24"/>
          <w:highlight w:val="none"/>
        </w:rPr>
      </w:pPr>
    </w:p>
    <w:p w14:paraId="1A3C547A">
      <w:pPr>
        <w:pStyle w:val="19"/>
        <w:numPr>
          <w:ilvl w:val="0"/>
          <w:numId w:val="0"/>
        </w:numPr>
        <w:rPr>
          <w:rFonts w:hint="eastAsia" w:ascii="宋体" w:hAnsi="宋体"/>
          <w:color w:val="000000"/>
          <w:sz w:val="24"/>
          <w:szCs w:val="24"/>
          <w:highlight w:val="none"/>
        </w:rPr>
      </w:pPr>
    </w:p>
    <w:p w14:paraId="29BCAED1">
      <w:pPr>
        <w:pStyle w:val="19"/>
        <w:numPr>
          <w:ilvl w:val="0"/>
          <w:numId w:val="0"/>
        </w:numPr>
        <w:rPr>
          <w:rFonts w:hint="eastAsia" w:ascii="宋体" w:hAnsi="宋体"/>
          <w:color w:val="000000"/>
          <w:sz w:val="24"/>
          <w:szCs w:val="24"/>
          <w:highlight w:val="none"/>
        </w:rPr>
      </w:pPr>
    </w:p>
    <w:p w14:paraId="3D3F8497">
      <w:pPr>
        <w:pStyle w:val="19"/>
        <w:numPr>
          <w:ilvl w:val="0"/>
          <w:numId w:val="0"/>
        </w:numPr>
        <w:rPr>
          <w:rFonts w:hint="eastAsia" w:ascii="宋体" w:hAnsi="宋体"/>
          <w:color w:val="000000"/>
          <w:sz w:val="24"/>
          <w:szCs w:val="24"/>
          <w:highlight w:val="none"/>
        </w:rPr>
      </w:pPr>
    </w:p>
    <w:p w14:paraId="7C243627">
      <w:pPr>
        <w:pStyle w:val="19"/>
        <w:numPr>
          <w:ilvl w:val="0"/>
          <w:numId w:val="0"/>
        </w:numPr>
        <w:rPr>
          <w:rFonts w:hint="eastAsia" w:ascii="宋体" w:hAnsi="宋体"/>
          <w:color w:val="000000"/>
          <w:sz w:val="24"/>
          <w:szCs w:val="24"/>
          <w:highlight w:val="none"/>
        </w:rPr>
      </w:pPr>
    </w:p>
    <w:p w14:paraId="6B50379E">
      <w:pPr>
        <w:pStyle w:val="19"/>
        <w:numPr>
          <w:ilvl w:val="0"/>
          <w:numId w:val="0"/>
        </w:numPr>
        <w:rPr>
          <w:rFonts w:hint="eastAsia" w:ascii="宋体" w:hAnsi="宋体"/>
          <w:color w:val="000000"/>
          <w:sz w:val="24"/>
          <w:szCs w:val="24"/>
          <w:highlight w:val="none"/>
        </w:rPr>
      </w:pPr>
    </w:p>
    <w:p w14:paraId="52A749BE">
      <w:pPr>
        <w:pStyle w:val="19"/>
        <w:numPr>
          <w:ilvl w:val="0"/>
          <w:numId w:val="0"/>
        </w:numPr>
        <w:rPr>
          <w:rFonts w:hint="eastAsia" w:ascii="宋体" w:hAnsi="宋体"/>
          <w:color w:val="000000"/>
          <w:sz w:val="24"/>
          <w:szCs w:val="24"/>
          <w:highlight w:val="none"/>
        </w:rPr>
      </w:pPr>
    </w:p>
    <w:p w14:paraId="474CD8C7">
      <w:pPr>
        <w:pStyle w:val="19"/>
        <w:numPr>
          <w:ilvl w:val="0"/>
          <w:numId w:val="0"/>
        </w:numPr>
        <w:rPr>
          <w:rFonts w:hint="eastAsia" w:ascii="宋体" w:hAnsi="宋体"/>
          <w:color w:val="000000"/>
          <w:sz w:val="24"/>
          <w:szCs w:val="24"/>
          <w:highlight w:val="none"/>
        </w:rPr>
      </w:pPr>
    </w:p>
    <w:p w14:paraId="5F3B695B">
      <w:pPr>
        <w:pStyle w:val="19"/>
        <w:numPr>
          <w:ilvl w:val="0"/>
          <w:numId w:val="0"/>
        </w:numPr>
        <w:rPr>
          <w:rFonts w:hint="eastAsia" w:ascii="宋体" w:hAnsi="宋体"/>
          <w:color w:val="000000"/>
          <w:sz w:val="24"/>
          <w:szCs w:val="24"/>
          <w:highlight w:val="none"/>
        </w:rPr>
      </w:pPr>
    </w:p>
    <w:p w14:paraId="4F862E4C">
      <w:pPr>
        <w:pStyle w:val="19"/>
        <w:numPr>
          <w:ilvl w:val="0"/>
          <w:numId w:val="0"/>
        </w:numPr>
        <w:rPr>
          <w:rFonts w:hint="eastAsia" w:ascii="宋体" w:hAnsi="宋体"/>
          <w:color w:val="000000"/>
          <w:sz w:val="24"/>
          <w:szCs w:val="24"/>
          <w:highlight w:val="none"/>
        </w:rPr>
      </w:pPr>
    </w:p>
    <w:p w14:paraId="788213C5">
      <w:pPr>
        <w:pStyle w:val="19"/>
        <w:numPr>
          <w:ilvl w:val="0"/>
          <w:numId w:val="0"/>
        </w:numPr>
        <w:rPr>
          <w:rFonts w:hint="eastAsia" w:ascii="宋体" w:hAnsi="宋体"/>
          <w:color w:val="000000"/>
          <w:sz w:val="24"/>
          <w:szCs w:val="24"/>
          <w:highlight w:val="none"/>
        </w:rPr>
      </w:pPr>
    </w:p>
    <w:p w14:paraId="17B1116D">
      <w:pPr>
        <w:pStyle w:val="19"/>
        <w:numPr>
          <w:ilvl w:val="0"/>
          <w:numId w:val="0"/>
        </w:numPr>
        <w:rPr>
          <w:rFonts w:hint="eastAsia" w:ascii="宋体" w:hAnsi="宋体"/>
          <w:color w:val="000000"/>
          <w:sz w:val="24"/>
          <w:szCs w:val="24"/>
          <w:highlight w:val="none"/>
        </w:rPr>
      </w:pPr>
    </w:p>
    <w:p w14:paraId="24CFD0B4">
      <w:pPr>
        <w:pStyle w:val="19"/>
        <w:numPr>
          <w:ilvl w:val="0"/>
          <w:numId w:val="0"/>
        </w:numPr>
        <w:rPr>
          <w:rFonts w:hint="eastAsia" w:ascii="宋体" w:hAnsi="宋体"/>
          <w:color w:val="000000"/>
          <w:sz w:val="24"/>
          <w:szCs w:val="24"/>
          <w:highlight w:val="none"/>
        </w:rPr>
      </w:pPr>
    </w:p>
    <w:p w14:paraId="4152B13A">
      <w:pPr>
        <w:pStyle w:val="19"/>
        <w:numPr>
          <w:ilvl w:val="0"/>
          <w:numId w:val="0"/>
        </w:numPr>
        <w:rPr>
          <w:rFonts w:hint="eastAsia" w:ascii="宋体" w:hAnsi="宋体"/>
          <w:color w:val="000000"/>
          <w:sz w:val="24"/>
          <w:szCs w:val="24"/>
          <w:highlight w:val="none"/>
        </w:rPr>
      </w:pPr>
    </w:p>
    <w:p w14:paraId="7121C230">
      <w:pPr>
        <w:pStyle w:val="19"/>
        <w:numPr>
          <w:ilvl w:val="0"/>
          <w:numId w:val="0"/>
        </w:numPr>
        <w:rPr>
          <w:rFonts w:hint="eastAsia" w:ascii="宋体" w:hAnsi="宋体"/>
          <w:color w:val="000000"/>
          <w:sz w:val="24"/>
          <w:szCs w:val="24"/>
          <w:highlight w:val="none"/>
        </w:rPr>
      </w:pPr>
    </w:p>
    <w:p w14:paraId="2CBD2FC0">
      <w:pPr>
        <w:pStyle w:val="19"/>
        <w:numPr>
          <w:ilvl w:val="0"/>
          <w:numId w:val="0"/>
        </w:numPr>
        <w:rPr>
          <w:rFonts w:hint="eastAsia" w:ascii="宋体" w:hAnsi="宋体"/>
          <w:color w:val="000000"/>
          <w:sz w:val="24"/>
          <w:szCs w:val="24"/>
          <w:highlight w:val="none"/>
        </w:rPr>
      </w:pPr>
    </w:p>
    <w:p w14:paraId="5917B8FA">
      <w:pPr>
        <w:pStyle w:val="19"/>
        <w:numPr>
          <w:ilvl w:val="0"/>
          <w:numId w:val="0"/>
        </w:numPr>
        <w:rPr>
          <w:rFonts w:hint="eastAsia" w:ascii="宋体" w:hAnsi="宋体"/>
          <w:color w:val="000000"/>
          <w:sz w:val="24"/>
          <w:szCs w:val="24"/>
          <w:highlight w:val="none"/>
        </w:rPr>
      </w:pPr>
    </w:p>
    <w:p w14:paraId="1044A4CD">
      <w:pPr>
        <w:pStyle w:val="19"/>
        <w:numPr>
          <w:ilvl w:val="0"/>
          <w:numId w:val="0"/>
        </w:numPr>
        <w:rPr>
          <w:rFonts w:hint="eastAsia" w:ascii="宋体" w:hAnsi="宋体"/>
          <w:color w:val="000000"/>
          <w:sz w:val="24"/>
          <w:szCs w:val="24"/>
          <w:highlight w:val="none"/>
        </w:rPr>
      </w:pPr>
    </w:p>
    <w:p w14:paraId="77D40B70">
      <w:pPr>
        <w:pStyle w:val="19"/>
        <w:numPr>
          <w:ilvl w:val="0"/>
          <w:numId w:val="0"/>
        </w:numPr>
        <w:rPr>
          <w:rFonts w:hint="eastAsia" w:ascii="宋体" w:hAnsi="宋体"/>
          <w:color w:val="000000"/>
          <w:sz w:val="24"/>
          <w:szCs w:val="24"/>
          <w:highlight w:val="none"/>
        </w:rPr>
      </w:pPr>
    </w:p>
    <w:p w14:paraId="3B276420">
      <w:pPr>
        <w:pStyle w:val="19"/>
        <w:numPr>
          <w:ilvl w:val="0"/>
          <w:numId w:val="0"/>
        </w:numPr>
        <w:rPr>
          <w:rFonts w:hint="eastAsia" w:ascii="宋体" w:hAnsi="宋体"/>
          <w:color w:val="000000"/>
          <w:sz w:val="24"/>
          <w:szCs w:val="24"/>
          <w:highlight w:val="none"/>
        </w:rPr>
      </w:pPr>
    </w:p>
    <w:p w14:paraId="583B017A">
      <w:pPr>
        <w:pStyle w:val="19"/>
        <w:numPr>
          <w:ilvl w:val="0"/>
          <w:numId w:val="0"/>
        </w:numPr>
        <w:rPr>
          <w:rFonts w:hint="eastAsia" w:ascii="宋体" w:hAnsi="宋体"/>
          <w:color w:val="000000"/>
          <w:sz w:val="24"/>
          <w:szCs w:val="24"/>
          <w:highlight w:val="none"/>
        </w:rPr>
      </w:pPr>
    </w:p>
    <w:p w14:paraId="699CD33F">
      <w:pPr>
        <w:pStyle w:val="19"/>
        <w:numPr>
          <w:ilvl w:val="0"/>
          <w:numId w:val="0"/>
        </w:numPr>
        <w:rPr>
          <w:rFonts w:hint="eastAsia" w:ascii="宋体" w:hAnsi="宋体"/>
          <w:color w:val="000000"/>
          <w:sz w:val="24"/>
          <w:szCs w:val="24"/>
          <w:highlight w:val="none"/>
        </w:rPr>
      </w:pPr>
    </w:p>
    <w:p w14:paraId="4FCA6459">
      <w:pPr>
        <w:pStyle w:val="19"/>
        <w:numPr>
          <w:ilvl w:val="0"/>
          <w:numId w:val="0"/>
        </w:numPr>
        <w:rPr>
          <w:rFonts w:hint="eastAsia" w:ascii="宋体" w:hAnsi="宋体"/>
          <w:color w:val="000000"/>
          <w:sz w:val="24"/>
          <w:szCs w:val="24"/>
          <w:highlight w:val="none"/>
        </w:rPr>
      </w:pPr>
    </w:p>
    <w:p w14:paraId="08BE9212">
      <w:pPr>
        <w:pStyle w:val="19"/>
        <w:numPr>
          <w:ilvl w:val="0"/>
          <w:numId w:val="0"/>
        </w:numPr>
        <w:rPr>
          <w:rFonts w:hint="eastAsia" w:ascii="宋体" w:hAnsi="宋体"/>
          <w:color w:val="000000"/>
          <w:sz w:val="24"/>
          <w:szCs w:val="24"/>
          <w:highlight w:val="none"/>
        </w:rPr>
      </w:pPr>
    </w:p>
    <w:p w14:paraId="7D9EA08C">
      <w:pPr>
        <w:pStyle w:val="19"/>
        <w:numPr>
          <w:ilvl w:val="0"/>
          <w:numId w:val="0"/>
        </w:numPr>
        <w:rPr>
          <w:rFonts w:hint="eastAsia" w:ascii="宋体" w:hAnsi="宋体"/>
          <w:color w:val="000000"/>
          <w:sz w:val="24"/>
          <w:szCs w:val="24"/>
          <w:highlight w:val="none"/>
        </w:rPr>
      </w:pPr>
    </w:p>
    <w:p w14:paraId="6190572C">
      <w:pPr>
        <w:pStyle w:val="19"/>
        <w:numPr>
          <w:ilvl w:val="0"/>
          <w:numId w:val="0"/>
        </w:numPr>
        <w:rPr>
          <w:rFonts w:hint="eastAsia" w:ascii="宋体" w:hAnsi="宋体"/>
          <w:color w:val="000000"/>
          <w:sz w:val="24"/>
          <w:szCs w:val="24"/>
          <w:highlight w:val="none"/>
        </w:rPr>
      </w:pPr>
    </w:p>
    <w:p w14:paraId="23BE36EE">
      <w:pPr>
        <w:pStyle w:val="19"/>
        <w:numPr>
          <w:ilvl w:val="0"/>
          <w:numId w:val="0"/>
        </w:numPr>
        <w:rPr>
          <w:rFonts w:hint="eastAsia" w:ascii="宋体" w:hAnsi="宋体"/>
          <w:color w:val="000000"/>
          <w:sz w:val="24"/>
          <w:szCs w:val="24"/>
          <w:highlight w:val="none"/>
        </w:rPr>
      </w:pPr>
    </w:p>
    <w:p w14:paraId="390C70F6">
      <w:pPr>
        <w:pStyle w:val="19"/>
        <w:numPr>
          <w:ilvl w:val="0"/>
          <w:numId w:val="0"/>
        </w:numPr>
        <w:rPr>
          <w:rFonts w:hint="eastAsia" w:ascii="宋体" w:hAnsi="宋体"/>
          <w:color w:val="000000"/>
          <w:sz w:val="24"/>
          <w:szCs w:val="24"/>
          <w:highlight w:val="none"/>
        </w:rPr>
      </w:pPr>
    </w:p>
    <w:p w14:paraId="376B1B59">
      <w:pPr>
        <w:pStyle w:val="19"/>
        <w:numPr>
          <w:ilvl w:val="0"/>
          <w:numId w:val="0"/>
        </w:numPr>
        <w:rPr>
          <w:rFonts w:hint="eastAsia" w:ascii="宋体" w:hAnsi="宋体"/>
          <w:color w:val="000000"/>
          <w:sz w:val="24"/>
          <w:szCs w:val="24"/>
          <w:highlight w:val="none"/>
        </w:rPr>
      </w:pPr>
    </w:p>
    <w:p w14:paraId="71C59800">
      <w:pPr>
        <w:pStyle w:val="19"/>
        <w:numPr>
          <w:ilvl w:val="0"/>
          <w:numId w:val="0"/>
        </w:numPr>
        <w:rPr>
          <w:rFonts w:hint="eastAsia" w:ascii="宋体" w:hAnsi="宋体"/>
          <w:color w:val="000000"/>
          <w:sz w:val="24"/>
          <w:szCs w:val="24"/>
          <w:highlight w:val="none"/>
        </w:rPr>
      </w:pPr>
    </w:p>
    <w:p w14:paraId="050F2A85">
      <w:pPr>
        <w:pStyle w:val="19"/>
        <w:numPr>
          <w:ilvl w:val="0"/>
          <w:numId w:val="0"/>
        </w:numPr>
        <w:rPr>
          <w:rFonts w:hint="eastAsia" w:ascii="宋体" w:hAnsi="宋体"/>
          <w:color w:val="000000"/>
          <w:sz w:val="24"/>
          <w:szCs w:val="24"/>
          <w:highlight w:val="none"/>
        </w:rPr>
      </w:pPr>
    </w:p>
    <w:p w14:paraId="2DB02788">
      <w:pPr>
        <w:pStyle w:val="19"/>
        <w:numPr>
          <w:ilvl w:val="0"/>
          <w:numId w:val="0"/>
        </w:numPr>
        <w:rPr>
          <w:rFonts w:ascii="宋体" w:hAnsi="宋体"/>
          <w:color w:val="000000"/>
          <w:sz w:val="24"/>
          <w:szCs w:val="24"/>
          <w:highlight w:val="none"/>
        </w:rPr>
      </w:pPr>
    </w:p>
    <w:p w14:paraId="458D718F">
      <w:pPr>
        <w:pStyle w:val="19"/>
        <w:numPr>
          <w:ilvl w:val="0"/>
          <w:numId w:val="0"/>
        </w:numPr>
        <w:rPr>
          <w:rFonts w:ascii="宋体" w:hAnsi="宋体"/>
          <w:color w:val="000000"/>
          <w:sz w:val="24"/>
          <w:szCs w:val="24"/>
          <w:highlight w:val="none"/>
        </w:rPr>
      </w:pPr>
    </w:p>
    <w:p w14:paraId="5B2AFDDC">
      <w:pPr>
        <w:pStyle w:val="33"/>
        <w:ind w:firstLine="240"/>
        <w:rPr>
          <w:rFonts w:ascii="宋体" w:hAnsi="宋体"/>
          <w:color w:val="000000"/>
          <w:kern w:val="0"/>
          <w:sz w:val="24"/>
          <w:szCs w:val="24"/>
          <w:highlight w:val="none"/>
        </w:rPr>
      </w:pPr>
    </w:p>
    <w:p w14:paraId="6D6EDB84">
      <w:pPr>
        <w:rPr>
          <w:highlight w:val="none"/>
        </w:rPr>
      </w:pPr>
    </w:p>
    <w:p w14:paraId="1F12AEE6">
      <w:pPr>
        <w:spacing w:line="360" w:lineRule="auto"/>
        <w:jc w:val="center"/>
        <w:outlineLvl w:val="0"/>
        <w:rPr>
          <w:rFonts w:ascii="宋体" w:hAnsi="宋体"/>
          <w:b/>
          <w:sz w:val="36"/>
          <w:szCs w:val="36"/>
          <w:highlight w:val="none"/>
        </w:rPr>
      </w:pPr>
      <w:bookmarkStart w:id="262" w:name="_Toc167975514"/>
      <w:r>
        <w:rPr>
          <w:rFonts w:hint="eastAsia" w:ascii="宋体" w:hAnsi="宋体"/>
          <w:b/>
          <w:sz w:val="36"/>
          <w:szCs w:val="36"/>
          <w:highlight w:val="none"/>
        </w:rPr>
        <w:t>第六章</w:t>
      </w:r>
      <w:r>
        <w:rPr>
          <w:rFonts w:ascii="宋体" w:hAnsi="宋体"/>
          <w:b/>
          <w:sz w:val="36"/>
          <w:szCs w:val="36"/>
          <w:highlight w:val="none"/>
        </w:rPr>
        <w:t xml:space="preserve"> </w:t>
      </w:r>
      <w:r>
        <w:rPr>
          <w:rFonts w:hint="eastAsia" w:ascii="宋体" w:hAnsi="宋体"/>
          <w:b/>
          <w:sz w:val="36"/>
          <w:szCs w:val="36"/>
          <w:highlight w:val="none"/>
        </w:rPr>
        <w:t>附件（投标文件格式）</w:t>
      </w:r>
      <w:bookmarkEnd w:id="78"/>
      <w:bookmarkEnd w:id="79"/>
      <w:bookmarkEnd w:id="80"/>
      <w:bookmarkEnd w:id="262"/>
    </w:p>
    <w:p w14:paraId="7C38EAFA">
      <w:pPr>
        <w:spacing w:line="360" w:lineRule="auto"/>
        <w:rPr>
          <w:rFonts w:ascii="宋体" w:hAnsi="宋体"/>
          <w:b/>
          <w:sz w:val="24"/>
          <w:szCs w:val="24"/>
          <w:highlight w:val="none"/>
        </w:rPr>
      </w:pPr>
      <w:bookmarkStart w:id="263" w:name="_Toc29240"/>
    </w:p>
    <w:p w14:paraId="7A743099">
      <w:pPr>
        <w:spacing w:line="480" w:lineRule="auto"/>
        <w:jc w:val="center"/>
        <w:rPr>
          <w:rFonts w:ascii="宋体" w:hAnsi="宋体"/>
          <w:b/>
          <w:sz w:val="32"/>
          <w:szCs w:val="24"/>
          <w:highlight w:val="none"/>
        </w:rPr>
      </w:pPr>
      <w:r>
        <w:rPr>
          <w:rFonts w:hint="eastAsia" w:ascii="宋体" w:hAnsi="宋体"/>
          <w:b/>
          <w:sz w:val="32"/>
          <w:szCs w:val="24"/>
          <w:highlight w:val="none"/>
        </w:rPr>
        <w:t>投标文件</w:t>
      </w:r>
      <w:bookmarkEnd w:id="263"/>
    </w:p>
    <w:p w14:paraId="1CDFBD59">
      <w:pPr>
        <w:spacing w:line="360" w:lineRule="auto"/>
        <w:jc w:val="center"/>
        <w:outlineLvl w:val="0"/>
        <w:rPr>
          <w:rFonts w:hint="eastAsia" w:ascii="宋体" w:hAnsi="宋体" w:eastAsia="宋体"/>
          <w:b/>
          <w:sz w:val="32"/>
          <w:szCs w:val="24"/>
          <w:highlight w:val="none"/>
          <w:lang w:eastAsia="zh-CN"/>
        </w:rPr>
      </w:pPr>
      <w:bookmarkStart w:id="264" w:name="_Toc2400"/>
      <w:r>
        <w:rPr>
          <w:rFonts w:hint="eastAsia" w:ascii="宋体" w:hAnsi="宋体"/>
          <w:b/>
          <w:sz w:val="32"/>
          <w:szCs w:val="24"/>
          <w:highlight w:val="none"/>
        </w:rPr>
        <w:t>项目编号：</w:t>
      </w:r>
      <w:bookmarkEnd w:id="264"/>
      <w:r>
        <w:rPr>
          <w:rFonts w:hint="eastAsia" w:ascii="宋体" w:hAnsi="宋体"/>
          <w:b/>
          <w:sz w:val="36"/>
          <w:szCs w:val="36"/>
          <w:highlight w:val="none"/>
          <w:lang w:eastAsia="zh-CN"/>
        </w:rPr>
        <w:t>YXGYJT202601009</w:t>
      </w:r>
    </w:p>
    <w:p w14:paraId="42A53860">
      <w:pPr>
        <w:spacing w:line="360" w:lineRule="auto"/>
        <w:jc w:val="center"/>
        <w:rPr>
          <w:rFonts w:ascii="宋体" w:hAnsi="宋体"/>
          <w:b/>
          <w:sz w:val="24"/>
          <w:szCs w:val="24"/>
          <w:highlight w:val="none"/>
        </w:rPr>
      </w:pPr>
    </w:p>
    <w:p w14:paraId="5F91ECBD">
      <w:pPr>
        <w:spacing w:line="360" w:lineRule="auto"/>
        <w:rPr>
          <w:rFonts w:ascii="宋体" w:hAnsi="宋体"/>
          <w:b/>
          <w:sz w:val="24"/>
          <w:szCs w:val="24"/>
          <w:highlight w:val="none"/>
        </w:rPr>
      </w:pPr>
    </w:p>
    <w:p w14:paraId="13A2B6C2">
      <w:pPr>
        <w:spacing w:line="360" w:lineRule="auto"/>
        <w:rPr>
          <w:rFonts w:ascii="宋体" w:hAnsi="宋体"/>
          <w:b/>
          <w:sz w:val="28"/>
          <w:szCs w:val="24"/>
          <w:highlight w:val="none"/>
        </w:rPr>
      </w:pPr>
    </w:p>
    <w:p w14:paraId="06CAAFEA">
      <w:pPr>
        <w:spacing w:line="720" w:lineRule="auto"/>
        <w:rPr>
          <w:rFonts w:hint="eastAsia" w:ascii="宋体" w:hAnsi="宋体" w:eastAsia="宋体"/>
          <w:b/>
          <w:sz w:val="28"/>
          <w:szCs w:val="24"/>
          <w:highlight w:val="none"/>
          <w:u w:val="single"/>
          <w:lang w:eastAsia="zh-CN"/>
        </w:rPr>
      </w:pPr>
      <w:bookmarkStart w:id="265" w:name="_Toc10010"/>
      <w:r>
        <w:rPr>
          <w:rFonts w:hint="eastAsia" w:ascii="宋体" w:hAnsi="宋体"/>
          <w:b/>
          <w:sz w:val="28"/>
          <w:szCs w:val="24"/>
          <w:highlight w:val="none"/>
        </w:rPr>
        <w:t>项目名称：</w:t>
      </w:r>
      <w:bookmarkEnd w:id="265"/>
      <w:r>
        <w:rPr>
          <w:rFonts w:hint="eastAsia" w:ascii="宋体" w:hAnsi="宋体"/>
          <w:b/>
          <w:sz w:val="28"/>
          <w:szCs w:val="24"/>
          <w:highlight w:val="none"/>
          <w:u w:val="single"/>
          <w:lang w:eastAsia="zh-CN"/>
        </w:rPr>
        <w:t>宜兴市喷涂绿岛项目节能评估服务</w:t>
      </w:r>
    </w:p>
    <w:p w14:paraId="23550ECB">
      <w:pPr>
        <w:spacing w:line="720" w:lineRule="auto"/>
        <w:rPr>
          <w:rFonts w:ascii="宋体" w:hAnsi="宋体"/>
          <w:b/>
          <w:sz w:val="28"/>
          <w:szCs w:val="24"/>
          <w:highlight w:val="none"/>
        </w:rPr>
      </w:pPr>
      <w:bookmarkStart w:id="266" w:name="_Toc8670"/>
      <w:r>
        <w:rPr>
          <w:rFonts w:hint="eastAsia" w:ascii="宋体" w:hAnsi="宋体"/>
          <w:b/>
          <w:sz w:val="28"/>
          <w:szCs w:val="24"/>
          <w:highlight w:val="none"/>
        </w:rPr>
        <w:t>供应商名称：</w:t>
      </w:r>
      <w:r>
        <w:rPr>
          <w:rFonts w:ascii="宋体" w:hAnsi="宋体"/>
          <w:b/>
          <w:sz w:val="28"/>
          <w:szCs w:val="24"/>
          <w:highlight w:val="none"/>
          <w:u w:val="single"/>
        </w:rPr>
        <w:t xml:space="preserve">                                （盖公章）</w:t>
      </w:r>
      <w:bookmarkEnd w:id="266"/>
    </w:p>
    <w:p w14:paraId="0917210F">
      <w:pPr>
        <w:spacing w:line="720" w:lineRule="auto"/>
        <w:rPr>
          <w:rFonts w:ascii="宋体" w:hAnsi="宋体"/>
          <w:sz w:val="28"/>
          <w:szCs w:val="24"/>
          <w:highlight w:val="none"/>
        </w:rPr>
      </w:pPr>
      <w:bookmarkStart w:id="267" w:name="_Toc24371"/>
      <w:r>
        <w:rPr>
          <w:rFonts w:hint="eastAsia" w:ascii="宋体" w:hAnsi="宋体"/>
          <w:b/>
          <w:sz w:val="28"/>
          <w:szCs w:val="24"/>
          <w:highlight w:val="none"/>
        </w:rPr>
        <w:t>法定代表人或其被授权代表人：</w:t>
      </w:r>
      <w:r>
        <w:rPr>
          <w:rFonts w:ascii="宋体" w:hAnsi="宋体"/>
          <w:b/>
          <w:sz w:val="28"/>
          <w:szCs w:val="24"/>
          <w:highlight w:val="none"/>
          <w:u w:val="single"/>
        </w:rPr>
        <w:t xml:space="preserve">                 （签名）</w:t>
      </w:r>
      <w:bookmarkEnd w:id="267"/>
    </w:p>
    <w:p w14:paraId="279B76D9">
      <w:pPr>
        <w:spacing w:line="360" w:lineRule="auto"/>
        <w:rPr>
          <w:rFonts w:ascii="宋体" w:hAnsi="宋体"/>
          <w:b/>
          <w:sz w:val="24"/>
          <w:szCs w:val="24"/>
          <w:highlight w:val="none"/>
        </w:rPr>
      </w:pPr>
    </w:p>
    <w:p w14:paraId="4A5F1E8E">
      <w:pPr>
        <w:spacing w:line="360" w:lineRule="auto"/>
        <w:rPr>
          <w:rFonts w:ascii="宋体" w:hAnsi="宋体"/>
          <w:b/>
          <w:sz w:val="24"/>
          <w:szCs w:val="24"/>
          <w:highlight w:val="none"/>
        </w:rPr>
      </w:pPr>
    </w:p>
    <w:p w14:paraId="3AF30243">
      <w:pPr>
        <w:spacing w:line="360" w:lineRule="auto"/>
        <w:rPr>
          <w:rFonts w:ascii="宋体" w:hAnsi="宋体"/>
          <w:b/>
          <w:sz w:val="24"/>
          <w:szCs w:val="24"/>
          <w:highlight w:val="none"/>
        </w:rPr>
      </w:pPr>
    </w:p>
    <w:p w14:paraId="67372C17">
      <w:pPr>
        <w:spacing w:line="360" w:lineRule="auto"/>
        <w:jc w:val="center"/>
        <w:rPr>
          <w:rFonts w:ascii="宋体" w:hAnsi="宋体"/>
          <w:b/>
          <w:sz w:val="28"/>
          <w:szCs w:val="28"/>
          <w:highlight w:val="none"/>
        </w:rPr>
      </w:pPr>
      <w:bookmarkStart w:id="268" w:name="_Toc1179"/>
      <w:r>
        <w:rPr>
          <w:rFonts w:hint="eastAsia" w:ascii="宋体" w:hAnsi="宋体"/>
          <w:b/>
          <w:sz w:val="28"/>
          <w:szCs w:val="28"/>
          <w:highlight w:val="none"/>
        </w:rPr>
        <w:t>日期：</w:t>
      </w:r>
      <w:r>
        <w:rPr>
          <w:rFonts w:ascii="宋体" w:hAnsi="宋体"/>
          <w:b/>
          <w:sz w:val="28"/>
          <w:szCs w:val="28"/>
          <w:highlight w:val="none"/>
          <w:u w:val="single"/>
        </w:rPr>
        <w:t xml:space="preserve">      年    月    日</w:t>
      </w:r>
      <w:bookmarkEnd w:id="268"/>
    </w:p>
    <w:p w14:paraId="37D4A062">
      <w:pPr>
        <w:spacing w:line="360" w:lineRule="auto"/>
        <w:rPr>
          <w:rFonts w:ascii="宋体" w:hAnsi="宋体"/>
          <w:b/>
          <w:sz w:val="24"/>
          <w:szCs w:val="24"/>
          <w:highlight w:val="none"/>
        </w:rPr>
      </w:pPr>
    </w:p>
    <w:p w14:paraId="34DCE388">
      <w:pPr>
        <w:spacing w:line="360" w:lineRule="auto"/>
        <w:rPr>
          <w:rFonts w:ascii="宋体" w:hAnsi="宋体"/>
          <w:b/>
          <w:sz w:val="24"/>
          <w:szCs w:val="24"/>
          <w:highlight w:val="none"/>
        </w:rPr>
      </w:pPr>
    </w:p>
    <w:p w14:paraId="128A71DA">
      <w:pPr>
        <w:pStyle w:val="14"/>
        <w:spacing w:line="360" w:lineRule="auto"/>
        <w:rPr>
          <w:rFonts w:ascii="宋体" w:hAnsi="宋体"/>
          <w:sz w:val="24"/>
          <w:szCs w:val="24"/>
          <w:highlight w:val="none"/>
        </w:rPr>
      </w:pPr>
    </w:p>
    <w:p w14:paraId="676BFD8E">
      <w:pPr>
        <w:pStyle w:val="14"/>
        <w:rPr>
          <w:highlight w:val="none"/>
        </w:rPr>
      </w:pPr>
    </w:p>
    <w:p w14:paraId="2AFEDDB8">
      <w:pPr>
        <w:pStyle w:val="14"/>
        <w:rPr>
          <w:highlight w:val="none"/>
        </w:rPr>
      </w:pPr>
    </w:p>
    <w:p w14:paraId="3F91D2B2">
      <w:pPr>
        <w:pStyle w:val="19"/>
        <w:widowControl w:val="0"/>
        <w:numPr>
          <w:ilvl w:val="0"/>
          <w:numId w:val="0"/>
        </w:numPr>
        <w:jc w:val="both"/>
        <w:rPr>
          <w:highlight w:val="none"/>
        </w:rPr>
      </w:pPr>
    </w:p>
    <w:p w14:paraId="5CFFF4D6">
      <w:pPr>
        <w:pStyle w:val="19"/>
        <w:widowControl w:val="0"/>
        <w:numPr>
          <w:ilvl w:val="0"/>
          <w:numId w:val="0"/>
        </w:numPr>
        <w:jc w:val="both"/>
        <w:rPr>
          <w:highlight w:val="none"/>
        </w:rPr>
      </w:pPr>
    </w:p>
    <w:p w14:paraId="0EABCE01">
      <w:pPr>
        <w:pStyle w:val="19"/>
        <w:widowControl w:val="0"/>
        <w:numPr>
          <w:ilvl w:val="0"/>
          <w:numId w:val="0"/>
        </w:numPr>
        <w:jc w:val="both"/>
        <w:rPr>
          <w:highlight w:val="none"/>
        </w:rPr>
      </w:pPr>
    </w:p>
    <w:p w14:paraId="77BEE41C">
      <w:pPr>
        <w:pStyle w:val="19"/>
        <w:widowControl w:val="0"/>
        <w:numPr>
          <w:ilvl w:val="0"/>
          <w:numId w:val="0"/>
        </w:numPr>
        <w:jc w:val="both"/>
        <w:rPr>
          <w:highlight w:val="none"/>
        </w:rPr>
      </w:pPr>
    </w:p>
    <w:p w14:paraId="5DCC682D">
      <w:pPr>
        <w:pStyle w:val="14"/>
        <w:rPr>
          <w:highlight w:val="none"/>
        </w:rPr>
      </w:pPr>
    </w:p>
    <w:p w14:paraId="7441211A">
      <w:pPr>
        <w:pStyle w:val="14"/>
        <w:rPr>
          <w:highlight w:val="none"/>
        </w:rPr>
      </w:pPr>
    </w:p>
    <w:p w14:paraId="451D96BA">
      <w:pPr>
        <w:pStyle w:val="33"/>
        <w:ind w:firstLine="200"/>
        <w:rPr>
          <w:highlight w:val="none"/>
        </w:rPr>
      </w:pPr>
    </w:p>
    <w:p w14:paraId="20863CEF">
      <w:pPr>
        <w:pStyle w:val="33"/>
        <w:ind w:firstLine="200"/>
        <w:rPr>
          <w:highlight w:val="none"/>
        </w:rPr>
      </w:pPr>
    </w:p>
    <w:p w14:paraId="63C75A05">
      <w:pPr>
        <w:spacing w:line="360" w:lineRule="auto"/>
        <w:rPr>
          <w:rFonts w:ascii="宋体" w:hAnsi="宋体"/>
          <w:b/>
          <w:bCs/>
          <w:sz w:val="24"/>
          <w:szCs w:val="24"/>
          <w:highlight w:val="none"/>
        </w:rPr>
      </w:pPr>
      <w:bookmarkStart w:id="269" w:name="OLE_LINK24"/>
      <w:bookmarkStart w:id="270" w:name="_Toc24602"/>
      <w:r>
        <w:rPr>
          <w:rFonts w:hint="eastAsia" w:ascii="宋体" w:hAnsi="宋体"/>
          <w:bCs/>
          <w:sz w:val="24"/>
          <w:szCs w:val="24"/>
          <w:highlight w:val="none"/>
        </w:rPr>
        <w:t>（一）投标函（格式）：</w:t>
      </w:r>
    </w:p>
    <w:bookmarkEnd w:id="269"/>
    <w:p w14:paraId="254B8321">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投标函</w:t>
      </w:r>
    </w:p>
    <w:p w14:paraId="0226938E">
      <w:pPr>
        <w:spacing w:line="360" w:lineRule="auto"/>
        <w:rPr>
          <w:rFonts w:ascii="宋体" w:hAnsi="宋体"/>
          <w:bCs/>
          <w:sz w:val="24"/>
          <w:szCs w:val="24"/>
          <w:highlight w:val="none"/>
          <w:lang w:val="zh-CN"/>
        </w:rPr>
      </w:pPr>
      <w:r>
        <w:rPr>
          <w:rFonts w:hint="eastAsia" w:ascii="宋体" w:hAnsi="宋体"/>
          <w:bCs/>
          <w:sz w:val="24"/>
          <w:szCs w:val="24"/>
          <w:highlight w:val="none"/>
          <w:lang w:val="zh-CN"/>
        </w:rPr>
        <w:t>致宜兴市宜蓝环境科技有限公司、江苏鸿成工程项目管理有限公司：</w:t>
      </w:r>
    </w:p>
    <w:p w14:paraId="0506E99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我方收到你们YXGYJT202601009招标文件，经仔细阅读和研究，我方决定参加投标。</w:t>
      </w:r>
    </w:p>
    <w:p w14:paraId="489CEF85">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我方愿意按照招标文件的一切要求，提供服务，投标总价详见《开标一览表》。</w:t>
      </w:r>
    </w:p>
    <w:p w14:paraId="1C97A97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我方同意按招标文件中的规定，本投标文件的有效期为</w:t>
      </w:r>
      <w:r>
        <w:rPr>
          <w:rFonts w:hint="eastAsia" w:ascii="宋体" w:hAnsi="宋体"/>
          <w:bCs/>
          <w:color w:val="000000"/>
          <w:sz w:val="24"/>
          <w:szCs w:val="24"/>
          <w:highlight w:val="none"/>
        </w:rPr>
        <w:t>投标</w:t>
      </w:r>
      <w:r>
        <w:rPr>
          <w:rFonts w:hint="eastAsia" w:ascii="宋体" w:hAnsi="宋体"/>
          <w:bCs/>
          <w:color w:val="000000"/>
          <w:sz w:val="24"/>
          <w:highlight w:val="none"/>
          <w:lang w:val="zh-CN"/>
        </w:rPr>
        <w:t>截止之日起的60天（含提交当日）。在特殊情况下，可与贵方协商延长投标文件的有效期。</w:t>
      </w:r>
    </w:p>
    <w:p w14:paraId="07E43AB4">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如果我方的投标文件被接受，我方将履行招投标文件中规定的每一项要求，按期、按质、按量、按地点，完成服务任务。</w:t>
      </w:r>
    </w:p>
    <w:p w14:paraId="117B2896">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我方愿意根据贵方及评标委员会的要求，提供投标文件中所有材料的原件及相关证明性资料。</w:t>
      </w:r>
    </w:p>
    <w:p w14:paraId="5BBA2D7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我方认为采购人有权确定中标供应商。</w:t>
      </w:r>
      <w:r>
        <w:rPr>
          <w:rFonts w:hint="eastAsia" w:ascii="宋体" w:hAnsi="宋体"/>
          <w:bCs/>
          <w:color w:val="000000"/>
          <w:sz w:val="24"/>
          <w:szCs w:val="24"/>
          <w:highlight w:val="none"/>
          <w:lang w:val="zh-CN"/>
        </w:rPr>
        <w:t>除因不可抗力或招标文件认可的情形以外，我方绝不放弃中标资格</w:t>
      </w:r>
      <w:r>
        <w:rPr>
          <w:rFonts w:hint="eastAsia" w:ascii="宋体" w:hAnsi="宋体"/>
          <w:bCs/>
          <w:color w:val="000000"/>
          <w:sz w:val="24"/>
          <w:highlight w:val="none"/>
          <w:lang w:val="zh-CN"/>
        </w:rPr>
        <w:t>。</w:t>
      </w:r>
    </w:p>
    <w:p w14:paraId="2907132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w:t>
      </w:r>
      <w:r>
        <w:rPr>
          <w:rFonts w:hint="eastAsia" w:ascii="宋体" w:hAnsi="宋体" w:cs="宋体"/>
          <w:color w:val="000000"/>
          <w:sz w:val="24"/>
          <w:highlight w:val="none"/>
          <w:lang w:val="zh-CN"/>
        </w:rPr>
        <w:t>《中华人民共和国民法典》</w:t>
      </w:r>
      <w:r>
        <w:rPr>
          <w:rFonts w:hint="eastAsia" w:ascii="宋体" w:hAnsi="宋体"/>
          <w:bCs/>
          <w:color w:val="000000"/>
          <w:sz w:val="24"/>
          <w:highlight w:val="none"/>
          <w:lang w:val="zh-CN"/>
        </w:rPr>
        <w:t>和合同条款履行自己的全部责任。</w:t>
      </w:r>
    </w:p>
    <w:p w14:paraId="686E97A2">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我方愿意按招标文件的规定交纳投标保证金。</w:t>
      </w:r>
    </w:p>
    <w:p w14:paraId="63AEA3A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如果我方中标，我方愿意遵守招标文件和中标通知书的规定，在指定时间和地点与采购人签订合同，并在签订合同前按招标文件的规定交纳履约保证金。</w:t>
      </w:r>
    </w:p>
    <w:p w14:paraId="2E058D0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75D5494E">
      <w:pPr>
        <w:numPr>
          <w:ilvl w:val="0"/>
          <w:numId w:val="15"/>
        </w:numPr>
        <w:spacing w:line="360" w:lineRule="auto"/>
        <w:ind w:firstLine="480" w:firstLineChars="200"/>
        <w:rPr>
          <w:rFonts w:ascii="宋体" w:hAnsi="宋体"/>
          <w:bCs/>
          <w:color w:val="000000"/>
          <w:sz w:val="24"/>
          <w:highlight w:val="none"/>
          <w:lang w:val="zh-CN"/>
        </w:rPr>
      </w:pPr>
      <w:bookmarkStart w:id="271" w:name="OLE_LINK231"/>
      <w:bookmarkStart w:id="272" w:name="OLE_LINK281"/>
      <w:r>
        <w:rPr>
          <w:rFonts w:hint="eastAsia" w:ascii="宋体" w:hAnsi="宋体"/>
          <w:bCs/>
          <w:color w:val="000000"/>
          <w:sz w:val="24"/>
          <w:highlight w:val="none"/>
          <w:lang w:val="zh-CN"/>
        </w:rPr>
        <w:t>我方不是为本项目提供整体设计、规范编制或者项目管理、监理、检测等服务的供应商。</w:t>
      </w:r>
      <w:bookmarkEnd w:id="271"/>
    </w:p>
    <w:p w14:paraId="3EFD3DCE">
      <w:pPr>
        <w:numPr>
          <w:ilvl w:val="0"/>
          <w:numId w:val="15"/>
        </w:numPr>
        <w:spacing w:line="360" w:lineRule="auto"/>
        <w:ind w:firstLine="480" w:firstLineChars="200"/>
        <w:rPr>
          <w:rFonts w:ascii="宋体" w:hAnsi="宋体"/>
          <w:bCs/>
          <w:color w:val="000000"/>
          <w:sz w:val="24"/>
          <w:highlight w:val="none"/>
          <w:lang w:val="zh-CN"/>
        </w:rPr>
      </w:pPr>
      <w:bookmarkStart w:id="273" w:name="OLE_LINK233"/>
      <w:r>
        <w:rPr>
          <w:rFonts w:hint="eastAsia" w:ascii="宋体" w:hAnsi="宋体"/>
          <w:bCs/>
          <w:color w:val="000000"/>
          <w:sz w:val="24"/>
          <w:highlight w:val="none"/>
          <w:lang w:val="zh-CN"/>
        </w:rPr>
        <w:t>关联单位情况说明：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669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4707" w:type="dxa"/>
            <w:vAlign w:val="center"/>
          </w:tcPr>
          <w:p w14:paraId="484C8C45">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单位负责人为同一人的其他单位</w:t>
            </w:r>
          </w:p>
        </w:tc>
        <w:tc>
          <w:tcPr>
            <w:tcW w:w="4680" w:type="dxa"/>
            <w:vAlign w:val="center"/>
          </w:tcPr>
          <w:p w14:paraId="60A57295">
            <w:pPr>
              <w:spacing w:line="360" w:lineRule="auto"/>
              <w:rPr>
                <w:rFonts w:ascii="宋体" w:hAnsi="宋体"/>
                <w:bCs/>
                <w:color w:val="000000"/>
                <w:sz w:val="24"/>
                <w:highlight w:val="none"/>
                <w:lang w:val="zh-CN"/>
              </w:rPr>
            </w:pPr>
          </w:p>
        </w:tc>
      </w:tr>
      <w:tr w14:paraId="009F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17ECDB75">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存在直接控股、管理关系的其他单位</w:t>
            </w:r>
          </w:p>
        </w:tc>
        <w:tc>
          <w:tcPr>
            <w:tcW w:w="4680" w:type="dxa"/>
            <w:vAlign w:val="center"/>
          </w:tcPr>
          <w:p w14:paraId="28CEC9EF">
            <w:pPr>
              <w:spacing w:line="360" w:lineRule="auto"/>
              <w:rPr>
                <w:rFonts w:ascii="宋体" w:hAnsi="宋体"/>
                <w:bCs/>
                <w:color w:val="000000"/>
                <w:sz w:val="24"/>
                <w:highlight w:val="none"/>
                <w:lang w:val="zh-CN"/>
              </w:rPr>
            </w:pPr>
          </w:p>
        </w:tc>
      </w:tr>
    </w:tbl>
    <w:p w14:paraId="47F4D0E4">
      <w:pPr>
        <w:spacing w:line="360" w:lineRule="auto"/>
        <w:ind w:left="480"/>
        <w:rPr>
          <w:rFonts w:ascii="宋体" w:hAnsi="宋体"/>
          <w:bCs/>
          <w:color w:val="000000"/>
          <w:sz w:val="24"/>
          <w:highlight w:val="none"/>
          <w:lang w:val="zh-CN"/>
        </w:rPr>
      </w:pPr>
      <w:r>
        <w:rPr>
          <w:rFonts w:hint="eastAsia" w:ascii="宋体" w:hAnsi="宋体"/>
          <w:bCs/>
          <w:color w:val="000000"/>
          <w:sz w:val="24"/>
          <w:highlight w:val="none"/>
          <w:lang w:val="zh-CN"/>
        </w:rPr>
        <w:t>注：没有请填无。</w:t>
      </w:r>
    </w:p>
    <w:p w14:paraId="043A2FA5">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与本投标有关的一切正式往来函电，请联系：</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7B34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4828C8">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地址</w:t>
            </w:r>
          </w:p>
        </w:tc>
        <w:tc>
          <w:tcPr>
            <w:tcW w:w="2823" w:type="dxa"/>
            <w:vAlign w:val="center"/>
          </w:tcPr>
          <w:p w14:paraId="2BA8B79B">
            <w:pPr>
              <w:spacing w:line="360" w:lineRule="auto"/>
              <w:jc w:val="center"/>
              <w:rPr>
                <w:rFonts w:ascii="宋体" w:hAnsi="宋体"/>
                <w:bCs/>
                <w:color w:val="000000"/>
                <w:sz w:val="24"/>
                <w:highlight w:val="none"/>
                <w:lang w:val="zh-CN"/>
              </w:rPr>
            </w:pPr>
          </w:p>
        </w:tc>
        <w:tc>
          <w:tcPr>
            <w:tcW w:w="1252" w:type="dxa"/>
            <w:vAlign w:val="center"/>
          </w:tcPr>
          <w:p w14:paraId="6AF27345">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邮编</w:t>
            </w:r>
          </w:p>
        </w:tc>
        <w:tc>
          <w:tcPr>
            <w:tcW w:w="3675" w:type="dxa"/>
            <w:vAlign w:val="center"/>
          </w:tcPr>
          <w:p w14:paraId="05A592D2">
            <w:pPr>
              <w:spacing w:line="360" w:lineRule="auto"/>
              <w:jc w:val="center"/>
              <w:rPr>
                <w:rFonts w:ascii="宋体" w:hAnsi="宋体"/>
                <w:bCs/>
                <w:color w:val="000000"/>
                <w:sz w:val="24"/>
                <w:highlight w:val="none"/>
                <w:lang w:val="zh-CN"/>
              </w:rPr>
            </w:pPr>
          </w:p>
        </w:tc>
      </w:tr>
      <w:tr w14:paraId="0573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67895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传真</w:t>
            </w:r>
          </w:p>
        </w:tc>
        <w:tc>
          <w:tcPr>
            <w:tcW w:w="2823" w:type="dxa"/>
            <w:vAlign w:val="center"/>
          </w:tcPr>
          <w:p w14:paraId="26317298">
            <w:pPr>
              <w:spacing w:line="360" w:lineRule="auto"/>
              <w:jc w:val="center"/>
              <w:rPr>
                <w:rFonts w:ascii="宋体" w:hAnsi="宋体"/>
                <w:bCs/>
                <w:color w:val="000000"/>
                <w:sz w:val="24"/>
                <w:highlight w:val="none"/>
                <w:lang w:val="zh-CN"/>
              </w:rPr>
            </w:pPr>
          </w:p>
        </w:tc>
        <w:tc>
          <w:tcPr>
            <w:tcW w:w="1252" w:type="dxa"/>
            <w:vAlign w:val="center"/>
          </w:tcPr>
          <w:p w14:paraId="2B981DF6">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办公电话</w:t>
            </w:r>
          </w:p>
        </w:tc>
        <w:tc>
          <w:tcPr>
            <w:tcW w:w="3675" w:type="dxa"/>
            <w:vAlign w:val="center"/>
          </w:tcPr>
          <w:p w14:paraId="1D58E9E5">
            <w:pPr>
              <w:spacing w:line="360" w:lineRule="auto"/>
              <w:jc w:val="center"/>
              <w:rPr>
                <w:rFonts w:ascii="宋体" w:hAnsi="宋体"/>
                <w:bCs/>
                <w:color w:val="000000"/>
                <w:sz w:val="24"/>
                <w:highlight w:val="none"/>
                <w:lang w:val="zh-CN"/>
              </w:rPr>
            </w:pPr>
          </w:p>
        </w:tc>
      </w:tr>
      <w:tr w14:paraId="612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3756880">
            <w:pPr>
              <w:spacing w:line="360" w:lineRule="auto"/>
              <w:jc w:val="center"/>
              <w:rPr>
                <w:rFonts w:ascii="宋体" w:hAnsi="宋体"/>
                <w:bCs/>
                <w:color w:val="000000"/>
                <w:sz w:val="24"/>
                <w:highlight w:val="none"/>
              </w:rPr>
            </w:pPr>
            <w:r>
              <w:rPr>
                <w:rFonts w:hint="eastAsia" w:ascii="宋体" w:hAnsi="宋体"/>
                <w:bCs/>
                <w:color w:val="000000"/>
                <w:sz w:val="24"/>
                <w:highlight w:val="none"/>
              </w:rPr>
              <w:t>法定代表人</w:t>
            </w:r>
          </w:p>
        </w:tc>
        <w:tc>
          <w:tcPr>
            <w:tcW w:w="2823" w:type="dxa"/>
            <w:vAlign w:val="center"/>
          </w:tcPr>
          <w:p w14:paraId="38B0504E">
            <w:pPr>
              <w:spacing w:line="360" w:lineRule="auto"/>
              <w:jc w:val="center"/>
              <w:rPr>
                <w:rFonts w:ascii="宋体" w:hAnsi="宋体"/>
                <w:bCs/>
                <w:color w:val="000000"/>
                <w:sz w:val="24"/>
                <w:highlight w:val="none"/>
                <w:lang w:val="zh-CN"/>
              </w:rPr>
            </w:pPr>
          </w:p>
        </w:tc>
        <w:tc>
          <w:tcPr>
            <w:tcW w:w="1252" w:type="dxa"/>
            <w:vAlign w:val="center"/>
          </w:tcPr>
          <w:p w14:paraId="1AB4D7FC">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3BDB3E51">
            <w:pPr>
              <w:spacing w:line="360" w:lineRule="auto"/>
              <w:jc w:val="center"/>
              <w:rPr>
                <w:rFonts w:ascii="宋体" w:hAnsi="宋体"/>
                <w:bCs/>
                <w:color w:val="000000"/>
                <w:sz w:val="24"/>
                <w:highlight w:val="none"/>
                <w:lang w:val="zh-CN"/>
              </w:rPr>
            </w:pPr>
          </w:p>
        </w:tc>
      </w:tr>
      <w:tr w14:paraId="715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30A5F8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联系人</w:t>
            </w:r>
          </w:p>
        </w:tc>
        <w:tc>
          <w:tcPr>
            <w:tcW w:w="2823" w:type="dxa"/>
            <w:vAlign w:val="center"/>
          </w:tcPr>
          <w:p w14:paraId="1576927D">
            <w:pPr>
              <w:spacing w:line="360" w:lineRule="auto"/>
              <w:jc w:val="center"/>
              <w:rPr>
                <w:rFonts w:ascii="宋体" w:hAnsi="宋体"/>
                <w:bCs/>
                <w:color w:val="000000"/>
                <w:sz w:val="24"/>
                <w:highlight w:val="none"/>
                <w:lang w:val="zh-CN"/>
              </w:rPr>
            </w:pPr>
          </w:p>
        </w:tc>
        <w:tc>
          <w:tcPr>
            <w:tcW w:w="1252" w:type="dxa"/>
            <w:vAlign w:val="center"/>
          </w:tcPr>
          <w:p w14:paraId="5F42BDF2">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336D4FC1">
            <w:pPr>
              <w:spacing w:line="360" w:lineRule="auto"/>
              <w:jc w:val="center"/>
              <w:rPr>
                <w:rFonts w:ascii="宋体" w:hAnsi="宋体"/>
                <w:bCs/>
                <w:color w:val="000000"/>
                <w:sz w:val="24"/>
                <w:highlight w:val="none"/>
                <w:lang w:val="zh-CN"/>
              </w:rPr>
            </w:pPr>
          </w:p>
        </w:tc>
      </w:tr>
      <w:tr w14:paraId="7BC7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A37E4A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开户名称</w:t>
            </w:r>
          </w:p>
        </w:tc>
        <w:tc>
          <w:tcPr>
            <w:tcW w:w="7750" w:type="dxa"/>
            <w:gridSpan w:val="3"/>
            <w:vAlign w:val="center"/>
          </w:tcPr>
          <w:p w14:paraId="77FDE0FB">
            <w:pPr>
              <w:spacing w:line="360" w:lineRule="auto"/>
              <w:jc w:val="center"/>
              <w:rPr>
                <w:rFonts w:ascii="宋体" w:hAnsi="宋体"/>
                <w:bCs/>
                <w:color w:val="000000"/>
                <w:sz w:val="24"/>
                <w:highlight w:val="none"/>
                <w:lang w:val="zh-CN"/>
              </w:rPr>
            </w:pPr>
          </w:p>
        </w:tc>
      </w:tr>
      <w:tr w14:paraId="1C31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9EDAE5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开户银行</w:t>
            </w:r>
          </w:p>
        </w:tc>
        <w:tc>
          <w:tcPr>
            <w:tcW w:w="2823" w:type="dxa"/>
            <w:vAlign w:val="center"/>
          </w:tcPr>
          <w:p w14:paraId="6F91DD5F">
            <w:pPr>
              <w:spacing w:line="360" w:lineRule="auto"/>
              <w:jc w:val="center"/>
              <w:rPr>
                <w:rFonts w:ascii="宋体" w:hAnsi="宋体"/>
                <w:bCs/>
                <w:color w:val="000000"/>
                <w:sz w:val="24"/>
                <w:highlight w:val="none"/>
                <w:lang w:val="zh-CN"/>
              </w:rPr>
            </w:pPr>
          </w:p>
        </w:tc>
        <w:tc>
          <w:tcPr>
            <w:tcW w:w="1252" w:type="dxa"/>
            <w:vAlign w:val="center"/>
          </w:tcPr>
          <w:p w14:paraId="58535F6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开户账号</w:t>
            </w:r>
          </w:p>
        </w:tc>
        <w:tc>
          <w:tcPr>
            <w:tcW w:w="3675" w:type="dxa"/>
            <w:vAlign w:val="center"/>
          </w:tcPr>
          <w:p w14:paraId="668AAEF5">
            <w:pPr>
              <w:spacing w:line="360" w:lineRule="auto"/>
              <w:jc w:val="center"/>
              <w:rPr>
                <w:rFonts w:ascii="宋体" w:hAnsi="宋体"/>
                <w:bCs/>
                <w:color w:val="000000"/>
                <w:sz w:val="24"/>
                <w:highlight w:val="none"/>
                <w:lang w:val="zh-CN"/>
              </w:rPr>
            </w:pPr>
          </w:p>
        </w:tc>
      </w:tr>
      <w:bookmarkEnd w:id="272"/>
      <w:bookmarkEnd w:id="273"/>
    </w:tbl>
    <w:p w14:paraId="6D93DC35">
      <w:pPr>
        <w:rPr>
          <w:rFonts w:ascii="黑体" w:hAnsi="宋体" w:eastAsia="黑体"/>
          <w:bCs/>
          <w:color w:val="000000"/>
          <w:sz w:val="24"/>
          <w:szCs w:val="24"/>
          <w:highlight w:val="none"/>
        </w:rPr>
      </w:pPr>
      <w:bookmarkStart w:id="274" w:name="OLE_LINK146"/>
    </w:p>
    <w:p w14:paraId="1F526353">
      <w:pPr>
        <w:rPr>
          <w:rFonts w:ascii="黑体" w:hAnsi="宋体" w:eastAsia="黑体"/>
          <w:bCs/>
          <w:color w:val="000000"/>
          <w:sz w:val="24"/>
          <w:szCs w:val="24"/>
          <w:highlight w:val="none"/>
        </w:rPr>
      </w:pPr>
    </w:p>
    <w:p w14:paraId="26D367CC">
      <w:pPr>
        <w:rPr>
          <w:rFonts w:ascii="黑体" w:hAnsi="宋体" w:eastAsia="黑体"/>
          <w:bCs/>
          <w:color w:val="000000"/>
          <w:sz w:val="24"/>
          <w:szCs w:val="24"/>
          <w:highlight w:val="none"/>
        </w:rPr>
      </w:pPr>
    </w:p>
    <w:p w14:paraId="5C5C5D10">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7F533F86">
      <w:pPr>
        <w:rPr>
          <w:sz w:val="20"/>
          <w:highlight w:val="none"/>
          <w:lang w:val="zh-CN"/>
        </w:rPr>
      </w:pPr>
    </w:p>
    <w:p w14:paraId="57F58C22">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bookmarkEnd w:id="274"/>
    <w:p w14:paraId="66AC5961">
      <w:pPr>
        <w:spacing w:line="360" w:lineRule="auto"/>
        <w:rPr>
          <w:rFonts w:ascii="宋体" w:hAnsi="宋体"/>
          <w:bCs/>
          <w:sz w:val="24"/>
          <w:szCs w:val="24"/>
          <w:highlight w:val="none"/>
        </w:rPr>
        <w:sectPr>
          <w:footerReference r:id="rId8" w:type="default"/>
          <w:pgSz w:w="11906" w:h="16838"/>
          <w:pgMar w:top="1134" w:right="1134" w:bottom="1134" w:left="1134" w:header="567" w:footer="567" w:gutter="0"/>
          <w:pgNumType w:fmt="numberInDash"/>
          <w:cols w:space="720" w:num="1"/>
          <w:docGrid w:linePitch="312" w:charSpace="0"/>
        </w:sectPr>
      </w:pPr>
    </w:p>
    <w:p w14:paraId="5B227821">
      <w:pPr>
        <w:rPr>
          <w:rFonts w:ascii="宋体" w:hAnsi="宋体"/>
          <w:bCs/>
          <w:sz w:val="24"/>
          <w:szCs w:val="24"/>
          <w:highlight w:val="none"/>
        </w:rPr>
      </w:pPr>
      <w:r>
        <w:rPr>
          <w:rFonts w:hint="eastAsia" w:ascii="宋体" w:hAnsi="宋体"/>
          <w:bCs/>
          <w:sz w:val="24"/>
          <w:szCs w:val="24"/>
          <w:highlight w:val="none"/>
        </w:rPr>
        <w:t>（二）报价文件：</w:t>
      </w:r>
    </w:p>
    <w:p w14:paraId="3C8F0BB0">
      <w:pPr>
        <w:ind w:firstLine="480" w:firstLineChars="200"/>
        <w:jc w:val="left"/>
        <w:rPr>
          <w:rFonts w:ascii="宋体" w:hAnsi="宋体"/>
          <w:sz w:val="24"/>
          <w:szCs w:val="24"/>
          <w:highlight w:val="none"/>
        </w:rPr>
      </w:pPr>
      <w:r>
        <w:rPr>
          <w:rFonts w:hint="eastAsia" w:ascii="宋体" w:hAnsi="宋体" w:cs="宋体"/>
          <w:bCs/>
          <w:sz w:val="24"/>
          <w:szCs w:val="24"/>
          <w:highlight w:val="none"/>
        </w:rPr>
        <w:t>1、</w:t>
      </w:r>
      <w:r>
        <w:rPr>
          <w:rFonts w:hint="eastAsia" w:ascii="宋体" w:hAnsi="宋体"/>
          <w:bCs/>
          <w:sz w:val="24"/>
          <w:szCs w:val="24"/>
          <w:highlight w:val="none"/>
        </w:rPr>
        <w:t>开标一览表（格式）：</w:t>
      </w:r>
      <w:bookmarkEnd w:id="270"/>
    </w:p>
    <w:p w14:paraId="0CCAB170">
      <w:pPr>
        <w:tabs>
          <w:tab w:val="left" w:pos="3105"/>
          <w:tab w:val="center" w:pos="4819"/>
        </w:tabs>
        <w:spacing w:before="120" w:beforeLines="50" w:after="120" w:afterLines="50"/>
        <w:jc w:val="center"/>
        <w:rPr>
          <w:rFonts w:ascii="宋体" w:hAnsi="宋体"/>
          <w:sz w:val="24"/>
          <w:szCs w:val="24"/>
          <w:highlight w:val="none"/>
        </w:rPr>
      </w:pPr>
      <w:bookmarkStart w:id="275" w:name="_Toc32423"/>
      <w:r>
        <w:rPr>
          <w:rFonts w:hint="eastAsia" w:ascii="宋体" w:hAnsi="宋体"/>
          <w:bCs/>
          <w:sz w:val="24"/>
          <w:szCs w:val="24"/>
          <w:highlight w:val="none"/>
        </w:rPr>
        <w:t>开标一览表</w:t>
      </w:r>
      <w:bookmarkEnd w:id="275"/>
    </w:p>
    <w:p w14:paraId="00615383">
      <w:pPr>
        <w:spacing w:before="120" w:beforeLines="50" w:after="120" w:afterLines="50"/>
        <w:rPr>
          <w:rFonts w:ascii="宋体" w:hAnsi="宋体"/>
          <w:sz w:val="24"/>
          <w:szCs w:val="24"/>
          <w:highlight w:val="none"/>
        </w:rPr>
      </w:pPr>
      <w:bookmarkStart w:id="276" w:name="OLE_LINK31"/>
      <w:r>
        <w:rPr>
          <w:rFonts w:hint="eastAsia" w:ascii="宋体" w:hAnsi="宋体"/>
          <w:sz w:val="24"/>
          <w:szCs w:val="24"/>
          <w:highlight w:val="none"/>
        </w:rPr>
        <w:t>项目名称：</w:t>
      </w:r>
      <w:r>
        <w:rPr>
          <w:rFonts w:hint="eastAsia" w:ascii="宋体" w:hAnsi="宋体"/>
          <w:sz w:val="24"/>
          <w:szCs w:val="24"/>
          <w:highlight w:val="none"/>
          <w:lang w:eastAsia="zh-CN"/>
        </w:rPr>
        <w:t>宜兴市喷涂绿岛项目节能评估服务</w:t>
      </w:r>
      <w:r>
        <w:rPr>
          <w:rFonts w:ascii="宋体" w:hAnsi="宋体"/>
          <w:sz w:val="24"/>
          <w:szCs w:val="24"/>
          <w:highlight w:val="none"/>
        </w:rPr>
        <w:t xml:space="preserve">                     </w:t>
      </w:r>
    </w:p>
    <w:p w14:paraId="2C7DFF04">
      <w:pPr>
        <w:rPr>
          <w:rFonts w:hint="eastAsia" w:ascii="宋体" w:hAnsi="宋体" w:eastAsia="宋体"/>
          <w:sz w:val="28"/>
          <w:szCs w:val="28"/>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YXGYJT202601009</w:t>
      </w:r>
    </w:p>
    <w:p w14:paraId="30D9C59A">
      <w:pPr>
        <w:spacing w:line="360" w:lineRule="auto"/>
        <w:ind w:left="1"/>
        <w:jc w:val="center"/>
        <w:rPr>
          <w:rFonts w:ascii="宋体" w:hAnsi="宋体"/>
          <w:sz w:val="24"/>
          <w:szCs w:val="24"/>
          <w:highlight w:val="none"/>
        </w:rPr>
      </w:pPr>
      <w:r>
        <w:rPr>
          <w:rFonts w:hint="eastAsia" w:ascii="宋体" w:hAnsi="宋体"/>
          <w:sz w:val="24"/>
          <w:szCs w:val="24"/>
          <w:highlight w:val="none"/>
        </w:rPr>
        <w:t xml:space="preserve">                                                                         单位：元</w:t>
      </w:r>
      <w:bookmarkEnd w:id="276"/>
      <w:r>
        <w:rPr>
          <w:rFonts w:hint="eastAsia" w:ascii="宋体" w:hAnsi="宋体"/>
          <w:sz w:val="24"/>
          <w:szCs w:val="24"/>
          <w:highlight w:val="none"/>
        </w:rPr>
        <w:t xml:space="preserve"> </w:t>
      </w:r>
    </w:p>
    <w:tbl>
      <w:tblPr>
        <w:tblStyle w:val="35"/>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599"/>
        <w:gridCol w:w="2702"/>
        <w:gridCol w:w="2759"/>
      </w:tblGrid>
      <w:tr w14:paraId="2FD8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9" w:type="dxa"/>
            <w:vAlign w:val="center"/>
          </w:tcPr>
          <w:p w14:paraId="3E7ADAF9">
            <w:pPr>
              <w:autoSpaceDE w:val="0"/>
              <w:autoSpaceDN w:val="0"/>
              <w:adjustRightInd w:val="0"/>
              <w:jc w:val="center"/>
              <w:rPr>
                <w:rFonts w:ascii="宋体" w:hAnsi="宋体"/>
                <w:b/>
                <w:bCs/>
                <w:color w:val="000000"/>
                <w:sz w:val="24"/>
                <w:szCs w:val="24"/>
                <w:highlight w:val="none"/>
              </w:rPr>
            </w:pPr>
            <w:bookmarkStart w:id="277" w:name="OLE_LINK32"/>
            <w:r>
              <w:rPr>
                <w:rFonts w:hint="eastAsia" w:ascii="宋体" w:hAnsi="宋体"/>
                <w:b/>
                <w:bCs/>
                <w:color w:val="000000"/>
                <w:sz w:val="24"/>
                <w:szCs w:val="24"/>
                <w:highlight w:val="none"/>
              </w:rPr>
              <w:t>标题</w:t>
            </w:r>
          </w:p>
        </w:tc>
        <w:tc>
          <w:tcPr>
            <w:tcW w:w="2599" w:type="dxa"/>
            <w:vAlign w:val="center"/>
          </w:tcPr>
          <w:p w14:paraId="48BF2987">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不含税报价</w:t>
            </w:r>
          </w:p>
        </w:tc>
        <w:tc>
          <w:tcPr>
            <w:tcW w:w="2702" w:type="dxa"/>
            <w:vAlign w:val="center"/>
          </w:tcPr>
          <w:p w14:paraId="27A49CAF">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含税报价</w:t>
            </w:r>
          </w:p>
        </w:tc>
        <w:tc>
          <w:tcPr>
            <w:tcW w:w="2759" w:type="dxa"/>
            <w:vAlign w:val="center"/>
          </w:tcPr>
          <w:p w14:paraId="582C7E63">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增值税税额</w:t>
            </w:r>
          </w:p>
        </w:tc>
      </w:tr>
      <w:tr w14:paraId="5BA2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1969" w:type="dxa"/>
            <w:vAlign w:val="center"/>
          </w:tcPr>
          <w:p w14:paraId="7398CC66">
            <w:pPr>
              <w:spacing w:line="400" w:lineRule="exact"/>
              <w:jc w:val="center"/>
              <w:rPr>
                <w:rFonts w:ascii="宋体" w:hAnsi="宋体"/>
                <w:bCs/>
                <w:color w:val="000000"/>
                <w:kern w:val="0"/>
                <w:sz w:val="24"/>
                <w:szCs w:val="24"/>
                <w:highlight w:val="none"/>
                <w:u w:color="000000"/>
              </w:rPr>
            </w:pPr>
            <w:r>
              <w:rPr>
                <w:rFonts w:hint="eastAsia" w:ascii="宋体" w:hAnsi="宋体"/>
                <w:bCs/>
                <w:color w:val="000000"/>
                <w:kern w:val="0"/>
                <w:sz w:val="24"/>
                <w:szCs w:val="24"/>
                <w:highlight w:val="none"/>
                <w:u w:color="000000"/>
              </w:rPr>
              <w:t>报价</w:t>
            </w:r>
          </w:p>
        </w:tc>
        <w:tc>
          <w:tcPr>
            <w:tcW w:w="2599" w:type="dxa"/>
            <w:vAlign w:val="center"/>
          </w:tcPr>
          <w:p w14:paraId="2824CB36">
            <w:pPr>
              <w:ind w:firstLine="482" w:firstLineChars="200"/>
              <w:rPr>
                <w:rFonts w:ascii="宋体" w:hAnsi="宋体"/>
                <w:b/>
                <w:color w:val="000000"/>
                <w:kern w:val="0"/>
                <w:sz w:val="24"/>
                <w:szCs w:val="24"/>
                <w:highlight w:val="none"/>
                <w:u w:color="000000"/>
              </w:rPr>
            </w:pPr>
          </w:p>
        </w:tc>
        <w:tc>
          <w:tcPr>
            <w:tcW w:w="2702" w:type="dxa"/>
            <w:vAlign w:val="center"/>
          </w:tcPr>
          <w:p w14:paraId="101AA67A">
            <w:pPr>
              <w:ind w:firstLine="482" w:firstLineChars="200"/>
              <w:rPr>
                <w:rFonts w:ascii="宋体" w:hAnsi="宋体"/>
                <w:b/>
                <w:color w:val="000000"/>
                <w:kern w:val="0"/>
                <w:sz w:val="24"/>
                <w:szCs w:val="24"/>
                <w:highlight w:val="none"/>
                <w:u w:color="000000"/>
              </w:rPr>
            </w:pPr>
          </w:p>
        </w:tc>
        <w:tc>
          <w:tcPr>
            <w:tcW w:w="2759" w:type="dxa"/>
            <w:vAlign w:val="center"/>
          </w:tcPr>
          <w:p w14:paraId="2332614E">
            <w:pPr>
              <w:ind w:firstLine="560" w:firstLineChars="200"/>
              <w:rPr>
                <w:rFonts w:ascii="宋体" w:hAnsi="宋体"/>
                <w:color w:val="000000"/>
                <w:kern w:val="0"/>
                <w:sz w:val="28"/>
                <w:szCs w:val="28"/>
                <w:highlight w:val="none"/>
                <w:u w:val="single" w:color="000000"/>
              </w:rPr>
            </w:pPr>
          </w:p>
        </w:tc>
      </w:tr>
      <w:tr w14:paraId="5F7B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62CC528C">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合计（小写）</w:t>
            </w:r>
          </w:p>
        </w:tc>
        <w:tc>
          <w:tcPr>
            <w:tcW w:w="5461" w:type="dxa"/>
            <w:gridSpan w:val="2"/>
            <w:vAlign w:val="center"/>
          </w:tcPr>
          <w:p w14:paraId="3EF2D06E">
            <w:pPr>
              <w:ind w:firstLine="560" w:firstLineChars="200"/>
              <w:rPr>
                <w:rFonts w:ascii="宋体" w:hAnsi="宋体"/>
                <w:color w:val="000000"/>
                <w:kern w:val="0"/>
                <w:sz w:val="28"/>
                <w:szCs w:val="28"/>
                <w:highlight w:val="none"/>
                <w:u w:val="single" w:color="000000"/>
              </w:rPr>
            </w:pPr>
          </w:p>
        </w:tc>
      </w:tr>
      <w:tr w14:paraId="7DA5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46485A55">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合计（大写）</w:t>
            </w:r>
          </w:p>
        </w:tc>
        <w:tc>
          <w:tcPr>
            <w:tcW w:w="5461" w:type="dxa"/>
            <w:gridSpan w:val="2"/>
            <w:vAlign w:val="center"/>
          </w:tcPr>
          <w:p w14:paraId="2023070B">
            <w:pPr>
              <w:ind w:firstLine="560" w:firstLineChars="200"/>
              <w:rPr>
                <w:rFonts w:ascii="宋体" w:hAnsi="宋体"/>
                <w:color w:val="000000"/>
                <w:kern w:val="0"/>
                <w:sz w:val="28"/>
                <w:szCs w:val="28"/>
                <w:highlight w:val="none"/>
                <w:u w:val="single" w:color="000000"/>
              </w:rPr>
            </w:pPr>
          </w:p>
        </w:tc>
      </w:tr>
    </w:tbl>
    <w:p w14:paraId="63ECB8AF">
      <w:pPr>
        <w:spacing w:line="360" w:lineRule="auto"/>
        <w:ind w:right="720"/>
        <w:jc w:val="right"/>
        <w:rPr>
          <w:rFonts w:ascii="宋体" w:hAnsi="宋体"/>
          <w:bCs/>
          <w:sz w:val="24"/>
          <w:highlight w:val="none"/>
          <w:lang w:val="zh-CN"/>
        </w:rPr>
      </w:pPr>
    </w:p>
    <w:p w14:paraId="5CF43C7A">
      <w:pPr>
        <w:spacing w:line="360" w:lineRule="auto"/>
        <w:ind w:right="72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商（签章）</w:t>
      </w:r>
    </w:p>
    <w:p w14:paraId="2FABD63B">
      <w:pPr>
        <w:pStyle w:val="14"/>
        <w:spacing w:line="360" w:lineRule="auto"/>
        <w:ind w:left="4550" w:hanging="4550" w:hangingChars="2275"/>
        <w:rPr>
          <w:highlight w:val="none"/>
          <w:lang w:val="zh-CN"/>
        </w:rPr>
      </w:pPr>
    </w:p>
    <w:p w14:paraId="4064DC9E">
      <w:pPr>
        <w:spacing w:line="360" w:lineRule="auto"/>
        <w:ind w:right="48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商（签名）：</w:t>
      </w:r>
    </w:p>
    <w:p w14:paraId="6ED48AFC">
      <w:pPr>
        <w:spacing w:line="360" w:lineRule="auto"/>
        <w:jc w:val="left"/>
        <w:rPr>
          <w:rFonts w:ascii="宋体" w:hAnsi="宋体"/>
          <w:bCs/>
          <w:sz w:val="24"/>
          <w:szCs w:val="24"/>
          <w:highlight w:val="none"/>
          <w:lang w:val="zh-CN"/>
        </w:rPr>
      </w:pPr>
    </w:p>
    <w:bookmarkEnd w:id="277"/>
    <w:p w14:paraId="117B581F">
      <w:pPr>
        <w:spacing w:line="360" w:lineRule="auto"/>
        <w:ind w:left="1" w:firstLine="480" w:firstLineChars="200"/>
        <w:jc w:val="left"/>
        <w:rPr>
          <w:rFonts w:ascii="宋体" w:hAnsi="宋体"/>
          <w:sz w:val="24"/>
          <w:szCs w:val="24"/>
          <w:highlight w:val="none"/>
          <w:lang w:val="zh-CN"/>
        </w:rPr>
      </w:pPr>
      <w:r>
        <w:rPr>
          <w:rFonts w:hint="eastAsia" w:ascii="宋体" w:hAnsi="宋体"/>
          <w:sz w:val="24"/>
          <w:szCs w:val="24"/>
          <w:highlight w:val="none"/>
          <w:lang w:val="zh-CN"/>
        </w:rPr>
        <w:t>注：</w:t>
      </w:r>
    </w:p>
    <w:p w14:paraId="5A64197E">
      <w:pPr>
        <w:spacing w:line="360" w:lineRule="auto"/>
        <w:ind w:firstLine="480" w:firstLineChars="200"/>
        <w:rPr>
          <w:rFonts w:ascii="宋体" w:hAnsi="宋体"/>
          <w:bCs/>
          <w:sz w:val="24"/>
          <w:szCs w:val="24"/>
          <w:highlight w:val="none"/>
        </w:rPr>
      </w:pPr>
      <w:r>
        <w:rPr>
          <w:rFonts w:hint="eastAsia" w:asciiTheme="minorEastAsia" w:hAnsiTheme="minorEastAsia" w:eastAsiaTheme="minorEastAsia"/>
          <w:bCs/>
          <w:sz w:val="24"/>
          <w:szCs w:val="24"/>
          <w:highlight w:val="none"/>
        </w:rPr>
        <w:fldChar w:fldCharType="begin"/>
      </w:r>
      <w:r>
        <w:rPr>
          <w:rFonts w:hint="eastAsia" w:asciiTheme="minorEastAsia" w:hAnsiTheme="minorEastAsia" w:eastAsiaTheme="minorEastAsia"/>
          <w:bCs/>
          <w:sz w:val="24"/>
          <w:szCs w:val="24"/>
          <w:highlight w:val="none"/>
        </w:rPr>
        <w:instrText xml:space="preserve"> = 1 \* GB3 \* MERGEFORMAT </w:instrText>
      </w:r>
      <w:r>
        <w:rPr>
          <w:rFonts w:hint="eastAsia" w:asciiTheme="minorEastAsia" w:hAnsiTheme="minorEastAsia" w:eastAsiaTheme="minorEastAsia"/>
          <w:bCs/>
          <w:sz w:val="24"/>
          <w:szCs w:val="24"/>
          <w:highlight w:val="none"/>
        </w:rPr>
        <w:fldChar w:fldCharType="separate"/>
      </w:r>
      <w:r>
        <w:rPr>
          <w:rFonts w:asciiTheme="minorEastAsia" w:hAnsiTheme="minorEastAsia" w:eastAsiaTheme="minorEastAsia"/>
          <w:sz w:val="24"/>
          <w:szCs w:val="24"/>
          <w:highlight w:val="none"/>
        </w:rPr>
        <w:t>①</w:t>
      </w:r>
      <w:r>
        <w:rPr>
          <w:rFonts w:hint="eastAsia" w:asciiTheme="minorEastAsia" w:hAnsiTheme="minorEastAsia" w:eastAsiaTheme="minorEastAsia"/>
          <w:bCs/>
          <w:sz w:val="24"/>
          <w:szCs w:val="24"/>
          <w:highlight w:val="none"/>
        </w:rPr>
        <w:fldChar w:fldCharType="end"/>
      </w:r>
      <w:r>
        <w:rPr>
          <w:rFonts w:hint="eastAsia" w:ascii="宋体" w:hAnsi="宋体"/>
          <w:bCs/>
          <w:sz w:val="24"/>
          <w:szCs w:val="24"/>
          <w:highlight w:val="none"/>
        </w:rPr>
        <w:t>本项目投标报价包括供应商承担该项目全部项目所需的劳务费、管理费、评估费、利润、税金、保险、政策性文件规定费用、参与此次项目所有人员的住宿费、交通费、通讯费、编制评估报告、专家咨询等以及合同明示或暗示的一般风险、责任和义务等一切因实施本项目产生的全部费用。本项目的费用总价在合同实施期间不因项目的服务期延长等因素而调整。中标价一经确定，不作调整。</w:t>
      </w:r>
    </w:p>
    <w:p w14:paraId="28001004">
      <w:pPr>
        <w:pStyle w:val="137"/>
        <w:spacing w:line="360" w:lineRule="auto"/>
        <w:ind w:left="426"/>
        <w:rPr>
          <w:rFonts w:ascii="宋体" w:hAnsi="宋体"/>
          <w:kern w:val="2"/>
          <w:sz w:val="24"/>
          <w:highlight w:val="none"/>
          <w:lang w:val="zh-CN"/>
        </w:rPr>
      </w:pPr>
      <w:r>
        <w:rPr>
          <w:rFonts w:hint="eastAsia" w:asciiTheme="minorEastAsia" w:hAnsiTheme="minorEastAsia" w:eastAsiaTheme="minorEastAsia"/>
          <w:kern w:val="2"/>
          <w:sz w:val="24"/>
          <w:highlight w:val="none"/>
        </w:rPr>
        <w:fldChar w:fldCharType="begin"/>
      </w:r>
      <w:r>
        <w:rPr>
          <w:rFonts w:hint="eastAsia" w:asciiTheme="minorEastAsia" w:hAnsiTheme="minorEastAsia" w:eastAsiaTheme="minorEastAsia"/>
          <w:kern w:val="2"/>
          <w:sz w:val="24"/>
          <w:highlight w:val="none"/>
        </w:rPr>
        <w:instrText xml:space="preserve"> = 2 \* GB3 \* MERGEFORMAT </w:instrText>
      </w:r>
      <w:r>
        <w:rPr>
          <w:rFonts w:hint="eastAsia" w:asciiTheme="minorEastAsia" w:hAnsiTheme="minorEastAsia" w:eastAsiaTheme="minorEastAsia"/>
          <w:kern w:val="2"/>
          <w:sz w:val="24"/>
          <w:highlight w:val="none"/>
        </w:rPr>
        <w:fldChar w:fldCharType="separate"/>
      </w:r>
      <w:r>
        <w:rPr>
          <w:rFonts w:asciiTheme="minorEastAsia" w:hAnsiTheme="minorEastAsia" w:eastAsiaTheme="minorEastAsia"/>
          <w:kern w:val="2"/>
          <w:sz w:val="24"/>
          <w:highlight w:val="none"/>
        </w:rPr>
        <w:t>②</w:t>
      </w:r>
      <w:r>
        <w:rPr>
          <w:rFonts w:hint="eastAsia" w:asciiTheme="minorEastAsia" w:hAnsiTheme="minorEastAsia" w:eastAsiaTheme="minorEastAsia"/>
          <w:kern w:val="2"/>
          <w:sz w:val="24"/>
          <w:highlight w:val="none"/>
        </w:rPr>
        <w:fldChar w:fldCharType="end"/>
      </w:r>
      <w:r>
        <w:rPr>
          <w:rFonts w:hint="eastAsia" w:ascii="宋体" w:hAnsi="宋体"/>
          <w:kern w:val="2"/>
          <w:sz w:val="24"/>
          <w:highlight w:val="none"/>
          <w:lang w:val="zh-CN"/>
        </w:rPr>
        <w:t>每一项服务仅接受一个价格，投标文件应对《报价一览表》中的全部项目进行报价，</w:t>
      </w:r>
    </w:p>
    <w:p w14:paraId="21F8E81E">
      <w:pPr>
        <w:pStyle w:val="137"/>
        <w:spacing w:line="360" w:lineRule="auto"/>
        <w:rPr>
          <w:rFonts w:ascii="宋体" w:hAnsi="宋体"/>
          <w:kern w:val="2"/>
          <w:sz w:val="24"/>
          <w:highlight w:val="none"/>
          <w:lang w:val="zh-CN"/>
        </w:rPr>
      </w:pPr>
      <w:r>
        <w:rPr>
          <w:rFonts w:hint="eastAsia" w:ascii="宋体" w:hAnsi="宋体"/>
          <w:kern w:val="2"/>
          <w:sz w:val="24"/>
          <w:highlight w:val="none"/>
          <w:lang w:val="zh-CN"/>
        </w:rPr>
        <w:t>只投其中部分项目者，报价无效</w:t>
      </w:r>
    </w:p>
    <w:p w14:paraId="16E8438A">
      <w:pPr>
        <w:pStyle w:val="137"/>
        <w:tabs>
          <w:tab w:val="left" w:pos="3105"/>
          <w:tab w:val="center" w:pos="4819"/>
        </w:tabs>
        <w:spacing w:before="120" w:beforeLines="50" w:after="120" w:afterLines="50"/>
        <w:jc w:val="left"/>
        <w:rPr>
          <w:bCs/>
          <w:highlight w:val="none"/>
        </w:rPr>
        <w:sectPr>
          <w:pgSz w:w="11906" w:h="16838"/>
          <w:pgMar w:top="851" w:right="1134" w:bottom="851" w:left="1134" w:header="397" w:footer="397" w:gutter="0"/>
          <w:pgNumType w:fmt="numberInDash"/>
          <w:cols w:space="720" w:num="1"/>
          <w:docGrid w:linePitch="312" w:charSpace="0"/>
        </w:sectPr>
      </w:pPr>
      <w:bookmarkStart w:id="278" w:name="_Toc4946"/>
    </w:p>
    <w:p w14:paraId="5526F156">
      <w:pPr>
        <w:tabs>
          <w:tab w:val="left" w:pos="3105"/>
          <w:tab w:val="center" w:pos="4819"/>
        </w:tabs>
        <w:spacing w:before="120" w:beforeLines="50" w:after="120" w:afterLines="50" w:line="360" w:lineRule="auto"/>
        <w:jc w:val="left"/>
        <w:rPr>
          <w:rFonts w:ascii="宋体" w:hAnsi="宋体"/>
          <w:bCs/>
          <w:sz w:val="24"/>
          <w:szCs w:val="24"/>
          <w:highlight w:val="none"/>
        </w:rPr>
      </w:pPr>
      <w:r>
        <w:rPr>
          <w:rFonts w:ascii="宋体" w:hAnsi="宋体"/>
          <w:bCs/>
          <w:sz w:val="24"/>
          <w:szCs w:val="24"/>
          <w:highlight w:val="none"/>
        </w:rPr>
        <w:t>2、投标明细报价表（格式）：</w:t>
      </w:r>
      <w:bookmarkEnd w:id="278"/>
    </w:p>
    <w:p w14:paraId="3440AE6E">
      <w:pPr>
        <w:spacing w:before="120" w:beforeLines="50" w:line="360" w:lineRule="auto"/>
        <w:jc w:val="center"/>
        <w:rPr>
          <w:rFonts w:ascii="宋体" w:hAnsi="宋体"/>
          <w:sz w:val="24"/>
          <w:szCs w:val="24"/>
          <w:highlight w:val="none"/>
        </w:rPr>
      </w:pPr>
      <w:r>
        <w:rPr>
          <w:rFonts w:hint="eastAsia" w:ascii="宋体" w:hAnsi="宋体"/>
          <w:sz w:val="24"/>
          <w:szCs w:val="24"/>
          <w:highlight w:val="none"/>
        </w:rPr>
        <w:t>投标明细报价表</w:t>
      </w:r>
    </w:p>
    <w:p w14:paraId="7EBD0D5F">
      <w:pPr>
        <w:spacing w:before="120" w:beforeLines="50" w:after="120" w:afterLines="50"/>
        <w:rPr>
          <w:rFonts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lang w:eastAsia="zh-CN"/>
        </w:rPr>
        <w:t>宜兴市喷涂绿岛项目节能评估服务</w:t>
      </w:r>
      <w:r>
        <w:rPr>
          <w:rFonts w:ascii="宋体" w:hAnsi="宋体"/>
          <w:sz w:val="24"/>
          <w:szCs w:val="24"/>
          <w:highlight w:val="none"/>
        </w:rPr>
        <w:t xml:space="preserve">                        </w:t>
      </w:r>
    </w:p>
    <w:p w14:paraId="50BD0895">
      <w:pPr>
        <w:rPr>
          <w:rFonts w:hint="eastAsia" w:ascii="宋体" w:hAnsi="宋体" w:eastAsia="宋体"/>
          <w:sz w:val="28"/>
          <w:szCs w:val="28"/>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YXGYJT202601009</w:t>
      </w:r>
    </w:p>
    <w:p w14:paraId="29D05518">
      <w:pPr>
        <w:spacing w:before="120" w:beforeLines="50" w:line="360" w:lineRule="auto"/>
        <w:jc w:val="center"/>
        <w:rPr>
          <w:rFonts w:ascii="宋体" w:hAnsi="宋体"/>
          <w:sz w:val="24"/>
          <w:szCs w:val="24"/>
          <w:highlight w:val="none"/>
        </w:rPr>
      </w:pPr>
      <w:r>
        <w:rPr>
          <w:rFonts w:hint="eastAsia" w:ascii="宋体" w:hAnsi="宋体"/>
          <w:sz w:val="24"/>
          <w:szCs w:val="24"/>
          <w:highlight w:val="none"/>
        </w:rPr>
        <w:t xml:space="preserve">                                                                   单位：元</w:t>
      </w:r>
    </w:p>
    <w:tbl>
      <w:tblPr>
        <w:tblStyle w:val="35"/>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16"/>
        <w:gridCol w:w="1560"/>
        <w:gridCol w:w="1417"/>
        <w:gridCol w:w="1418"/>
        <w:gridCol w:w="1418"/>
        <w:gridCol w:w="1418"/>
      </w:tblGrid>
      <w:tr w14:paraId="092A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8" w:type="dxa"/>
            <w:vAlign w:val="center"/>
          </w:tcPr>
          <w:p w14:paraId="427E8F01">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116" w:type="dxa"/>
            <w:vAlign w:val="center"/>
          </w:tcPr>
          <w:p w14:paraId="6AD9B7B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560" w:type="dxa"/>
            <w:vAlign w:val="center"/>
          </w:tcPr>
          <w:p w14:paraId="0B03DDE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数量</w:t>
            </w:r>
          </w:p>
        </w:tc>
        <w:tc>
          <w:tcPr>
            <w:tcW w:w="1417" w:type="dxa"/>
            <w:vAlign w:val="center"/>
          </w:tcPr>
          <w:p w14:paraId="72A8EAC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含税单价</w:t>
            </w:r>
          </w:p>
        </w:tc>
        <w:tc>
          <w:tcPr>
            <w:tcW w:w="1418" w:type="dxa"/>
            <w:vAlign w:val="center"/>
          </w:tcPr>
          <w:p w14:paraId="1CCAC94C">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含税总价</w:t>
            </w:r>
          </w:p>
        </w:tc>
        <w:tc>
          <w:tcPr>
            <w:tcW w:w="1418" w:type="dxa"/>
            <w:vAlign w:val="center"/>
          </w:tcPr>
          <w:p w14:paraId="4338DDE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不含税总价</w:t>
            </w:r>
          </w:p>
        </w:tc>
        <w:tc>
          <w:tcPr>
            <w:tcW w:w="1418" w:type="dxa"/>
            <w:vAlign w:val="center"/>
          </w:tcPr>
          <w:p w14:paraId="2638A53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增值税税额</w:t>
            </w:r>
          </w:p>
        </w:tc>
      </w:tr>
      <w:tr w14:paraId="03BF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11165506">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26353575">
            <w:pPr>
              <w:jc w:val="center"/>
              <w:rPr>
                <w:rFonts w:asciiTheme="minorEastAsia" w:hAnsiTheme="minorEastAsia" w:eastAsiaTheme="minorEastAsia"/>
                <w:sz w:val="24"/>
                <w:szCs w:val="24"/>
                <w:highlight w:val="none"/>
              </w:rPr>
            </w:pPr>
          </w:p>
        </w:tc>
        <w:tc>
          <w:tcPr>
            <w:tcW w:w="1560" w:type="dxa"/>
            <w:vAlign w:val="center"/>
          </w:tcPr>
          <w:p w14:paraId="636147BD">
            <w:pPr>
              <w:jc w:val="center"/>
              <w:rPr>
                <w:rFonts w:asciiTheme="minorEastAsia" w:hAnsiTheme="minorEastAsia" w:eastAsiaTheme="minorEastAsia"/>
                <w:sz w:val="24"/>
                <w:szCs w:val="24"/>
                <w:highlight w:val="none"/>
              </w:rPr>
            </w:pPr>
          </w:p>
        </w:tc>
        <w:tc>
          <w:tcPr>
            <w:tcW w:w="1417" w:type="dxa"/>
            <w:vAlign w:val="center"/>
          </w:tcPr>
          <w:p w14:paraId="793B9D80">
            <w:pPr>
              <w:jc w:val="center"/>
              <w:rPr>
                <w:rFonts w:asciiTheme="minorEastAsia" w:hAnsiTheme="minorEastAsia" w:eastAsiaTheme="minorEastAsia"/>
                <w:sz w:val="24"/>
                <w:szCs w:val="24"/>
                <w:highlight w:val="none"/>
              </w:rPr>
            </w:pPr>
          </w:p>
        </w:tc>
        <w:tc>
          <w:tcPr>
            <w:tcW w:w="1418" w:type="dxa"/>
            <w:vAlign w:val="center"/>
          </w:tcPr>
          <w:p w14:paraId="6D8A0FBC">
            <w:pPr>
              <w:jc w:val="center"/>
              <w:rPr>
                <w:rFonts w:asciiTheme="minorEastAsia" w:hAnsiTheme="minorEastAsia" w:eastAsiaTheme="minorEastAsia"/>
                <w:sz w:val="24"/>
                <w:szCs w:val="24"/>
                <w:highlight w:val="none"/>
              </w:rPr>
            </w:pPr>
          </w:p>
        </w:tc>
        <w:tc>
          <w:tcPr>
            <w:tcW w:w="1418" w:type="dxa"/>
          </w:tcPr>
          <w:p w14:paraId="2B7E76D7">
            <w:pPr>
              <w:jc w:val="center"/>
              <w:rPr>
                <w:rFonts w:asciiTheme="minorEastAsia" w:hAnsiTheme="minorEastAsia" w:eastAsiaTheme="minorEastAsia"/>
                <w:sz w:val="24"/>
                <w:szCs w:val="24"/>
                <w:highlight w:val="none"/>
              </w:rPr>
            </w:pPr>
          </w:p>
        </w:tc>
        <w:tc>
          <w:tcPr>
            <w:tcW w:w="1418" w:type="dxa"/>
          </w:tcPr>
          <w:p w14:paraId="3EB4DA80">
            <w:pPr>
              <w:jc w:val="center"/>
              <w:rPr>
                <w:rFonts w:asciiTheme="minorEastAsia" w:hAnsiTheme="minorEastAsia" w:eastAsiaTheme="minorEastAsia"/>
                <w:sz w:val="24"/>
                <w:szCs w:val="24"/>
                <w:highlight w:val="none"/>
              </w:rPr>
            </w:pPr>
          </w:p>
        </w:tc>
      </w:tr>
      <w:tr w14:paraId="644E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4C02EE19">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6E0A4958">
            <w:pPr>
              <w:jc w:val="center"/>
              <w:rPr>
                <w:rFonts w:asciiTheme="minorEastAsia" w:hAnsiTheme="minorEastAsia" w:eastAsiaTheme="minorEastAsia"/>
                <w:sz w:val="24"/>
                <w:szCs w:val="24"/>
                <w:highlight w:val="none"/>
              </w:rPr>
            </w:pPr>
          </w:p>
        </w:tc>
        <w:tc>
          <w:tcPr>
            <w:tcW w:w="1560" w:type="dxa"/>
            <w:vAlign w:val="center"/>
          </w:tcPr>
          <w:p w14:paraId="09E2D090">
            <w:pPr>
              <w:jc w:val="center"/>
              <w:rPr>
                <w:rFonts w:asciiTheme="minorEastAsia" w:hAnsiTheme="minorEastAsia" w:eastAsiaTheme="minorEastAsia"/>
                <w:sz w:val="24"/>
                <w:szCs w:val="24"/>
                <w:highlight w:val="none"/>
              </w:rPr>
            </w:pPr>
          </w:p>
        </w:tc>
        <w:tc>
          <w:tcPr>
            <w:tcW w:w="1417" w:type="dxa"/>
            <w:vAlign w:val="center"/>
          </w:tcPr>
          <w:p w14:paraId="2503EC82">
            <w:pPr>
              <w:jc w:val="center"/>
              <w:rPr>
                <w:rFonts w:asciiTheme="minorEastAsia" w:hAnsiTheme="minorEastAsia" w:eastAsiaTheme="minorEastAsia"/>
                <w:sz w:val="24"/>
                <w:szCs w:val="24"/>
                <w:highlight w:val="none"/>
              </w:rPr>
            </w:pPr>
          </w:p>
        </w:tc>
        <w:tc>
          <w:tcPr>
            <w:tcW w:w="1418" w:type="dxa"/>
            <w:vAlign w:val="center"/>
          </w:tcPr>
          <w:p w14:paraId="657924E3">
            <w:pPr>
              <w:jc w:val="center"/>
              <w:rPr>
                <w:rFonts w:asciiTheme="minorEastAsia" w:hAnsiTheme="minorEastAsia" w:eastAsiaTheme="minorEastAsia"/>
                <w:sz w:val="24"/>
                <w:szCs w:val="24"/>
                <w:highlight w:val="none"/>
              </w:rPr>
            </w:pPr>
          </w:p>
        </w:tc>
        <w:tc>
          <w:tcPr>
            <w:tcW w:w="1418" w:type="dxa"/>
          </w:tcPr>
          <w:p w14:paraId="455DD970">
            <w:pPr>
              <w:jc w:val="center"/>
              <w:rPr>
                <w:rFonts w:asciiTheme="minorEastAsia" w:hAnsiTheme="minorEastAsia" w:eastAsiaTheme="minorEastAsia"/>
                <w:sz w:val="24"/>
                <w:szCs w:val="24"/>
                <w:highlight w:val="none"/>
              </w:rPr>
            </w:pPr>
          </w:p>
        </w:tc>
        <w:tc>
          <w:tcPr>
            <w:tcW w:w="1418" w:type="dxa"/>
          </w:tcPr>
          <w:p w14:paraId="3992C253">
            <w:pPr>
              <w:jc w:val="center"/>
              <w:rPr>
                <w:rFonts w:asciiTheme="minorEastAsia" w:hAnsiTheme="minorEastAsia" w:eastAsiaTheme="minorEastAsia"/>
                <w:sz w:val="24"/>
                <w:szCs w:val="24"/>
                <w:highlight w:val="none"/>
              </w:rPr>
            </w:pPr>
          </w:p>
        </w:tc>
      </w:tr>
      <w:tr w14:paraId="15AD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2B7886AC">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0BC439F0">
            <w:pPr>
              <w:jc w:val="center"/>
              <w:rPr>
                <w:rFonts w:asciiTheme="minorEastAsia" w:hAnsiTheme="minorEastAsia" w:eastAsiaTheme="minorEastAsia"/>
                <w:sz w:val="24"/>
                <w:szCs w:val="24"/>
                <w:highlight w:val="none"/>
              </w:rPr>
            </w:pPr>
          </w:p>
        </w:tc>
        <w:tc>
          <w:tcPr>
            <w:tcW w:w="1560" w:type="dxa"/>
            <w:vAlign w:val="center"/>
          </w:tcPr>
          <w:p w14:paraId="1F4D3F47">
            <w:pPr>
              <w:jc w:val="center"/>
              <w:rPr>
                <w:rFonts w:asciiTheme="minorEastAsia" w:hAnsiTheme="minorEastAsia" w:eastAsiaTheme="minorEastAsia"/>
                <w:sz w:val="24"/>
                <w:szCs w:val="24"/>
                <w:highlight w:val="none"/>
              </w:rPr>
            </w:pPr>
          </w:p>
        </w:tc>
        <w:tc>
          <w:tcPr>
            <w:tcW w:w="1417" w:type="dxa"/>
            <w:vAlign w:val="center"/>
          </w:tcPr>
          <w:p w14:paraId="33848210">
            <w:pPr>
              <w:jc w:val="center"/>
              <w:rPr>
                <w:rFonts w:asciiTheme="minorEastAsia" w:hAnsiTheme="minorEastAsia" w:eastAsiaTheme="minorEastAsia"/>
                <w:sz w:val="24"/>
                <w:szCs w:val="24"/>
                <w:highlight w:val="none"/>
              </w:rPr>
            </w:pPr>
          </w:p>
        </w:tc>
        <w:tc>
          <w:tcPr>
            <w:tcW w:w="1418" w:type="dxa"/>
            <w:vAlign w:val="center"/>
          </w:tcPr>
          <w:p w14:paraId="1C05DC5C">
            <w:pPr>
              <w:jc w:val="center"/>
              <w:rPr>
                <w:rFonts w:asciiTheme="minorEastAsia" w:hAnsiTheme="minorEastAsia" w:eastAsiaTheme="minorEastAsia"/>
                <w:sz w:val="24"/>
                <w:szCs w:val="24"/>
                <w:highlight w:val="none"/>
              </w:rPr>
            </w:pPr>
          </w:p>
        </w:tc>
        <w:tc>
          <w:tcPr>
            <w:tcW w:w="1418" w:type="dxa"/>
          </w:tcPr>
          <w:p w14:paraId="72631DB7">
            <w:pPr>
              <w:jc w:val="center"/>
              <w:rPr>
                <w:rFonts w:asciiTheme="minorEastAsia" w:hAnsiTheme="minorEastAsia" w:eastAsiaTheme="minorEastAsia"/>
                <w:sz w:val="24"/>
                <w:szCs w:val="24"/>
                <w:highlight w:val="none"/>
              </w:rPr>
            </w:pPr>
          </w:p>
        </w:tc>
        <w:tc>
          <w:tcPr>
            <w:tcW w:w="1418" w:type="dxa"/>
          </w:tcPr>
          <w:p w14:paraId="0C43DB9A">
            <w:pPr>
              <w:jc w:val="center"/>
              <w:rPr>
                <w:rFonts w:asciiTheme="minorEastAsia" w:hAnsiTheme="minorEastAsia" w:eastAsiaTheme="minorEastAsia"/>
                <w:sz w:val="24"/>
                <w:szCs w:val="24"/>
                <w:highlight w:val="none"/>
              </w:rPr>
            </w:pPr>
          </w:p>
        </w:tc>
      </w:tr>
      <w:tr w14:paraId="4F9B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restart"/>
            <w:vAlign w:val="center"/>
          </w:tcPr>
          <w:p w14:paraId="47F7333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合计（含税）</w:t>
            </w:r>
          </w:p>
        </w:tc>
        <w:tc>
          <w:tcPr>
            <w:tcW w:w="7231" w:type="dxa"/>
            <w:gridSpan w:val="5"/>
            <w:vAlign w:val="center"/>
          </w:tcPr>
          <w:p w14:paraId="2A9525A4">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（小写）</w:t>
            </w:r>
          </w:p>
        </w:tc>
      </w:tr>
      <w:tr w14:paraId="45C7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continue"/>
            <w:vAlign w:val="center"/>
          </w:tcPr>
          <w:p w14:paraId="438FB385">
            <w:pPr>
              <w:jc w:val="center"/>
              <w:rPr>
                <w:rFonts w:asciiTheme="minorEastAsia" w:hAnsiTheme="minorEastAsia" w:eastAsiaTheme="minorEastAsia"/>
                <w:sz w:val="24"/>
                <w:szCs w:val="24"/>
                <w:highlight w:val="none"/>
              </w:rPr>
            </w:pPr>
          </w:p>
        </w:tc>
        <w:tc>
          <w:tcPr>
            <w:tcW w:w="7231" w:type="dxa"/>
            <w:gridSpan w:val="5"/>
            <w:vAlign w:val="center"/>
          </w:tcPr>
          <w:p w14:paraId="54B65BCA">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（大写）</w:t>
            </w:r>
          </w:p>
        </w:tc>
      </w:tr>
    </w:tbl>
    <w:p w14:paraId="2174475E">
      <w:pPr>
        <w:spacing w:line="360" w:lineRule="auto"/>
        <w:rPr>
          <w:rFonts w:ascii="宋体" w:hAnsi="宋体"/>
          <w:bCs/>
          <w:sz w:val="24"/>
          <w:szCs w:val="24"/>
          <w:highlight w:val="none"/>
          <w:lang w:val="zh-CN"/>
        </w:rPr>
      </w:pPr>
    </w:p>
    <w:p w14:paraId="05EF98D5">
      <w:pPr>
        <w:spacing w:line="360" w:lineRule="auto"/>
        <w:jc w:val="center"/>
        <w:rPr>
          <w:rFonts w:ascii="宋体" w:hAnsi="宋体"/>
          <w:bCs/>
          <w:sz w:val="24"/>
          <w:szCs w:val="24"/>
          <w:highlight w:val="none"/>
          <w:lang w:val="zh-CN"/>
        </w:rPr>
      </w:pPr>
      <w:r>
        <w:rPr>
          <w:rFonts w:ascii="宋体" w:hAnsi="宋体"/>
          <w:bCs/>
          <w:sz w:val="24"/>
          <w:szCs w:val="24"/>
          <w:highlight w:val="none"/>
          <w:lang w:val="zh-CN"/>
        </w:rPr>
        <w:t xml:space="preserve">  </w:t>
      </w:r>
      <w:r>
        <w:rPr>
          <w:rFonts w:hint="eastAsia" w:ascii="宋体" w:hAnsi="宋体"/>
          <w:bCs/>
          <w:sz w:val="24"/>
          <w:szCs w:val="24"/>
          <w:highlight w:val="none"/>
          <w:lang w:val="zh-CN"/>
        </w:rPr>
        <w:t xml:space="preserve">                                 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商（签章）：</w:t>
      </w:r>
    </w:p>
    <w:p w14:paraId="17090C69">
      <w:pPr>
        <w:pStyle w:val="14"/>
        <w:rPr>
          <w:highlight w:val="none"/>
          <w:lang w:val="zh-CN"/>
        </w:rPr>
      </w:pPr>
    </w:p>
    <w:p w14:paraId="2DCDB652">
      <w:pPr>
        <w:spacing w:line="360" w:lineRule="auto"/>
        <w:ind w:left="5460" w:hanging="5460" w:hangingChars="2275"/>
        <w:jc w:val="center"/>
        <w:rPr>
          <w:rFonts w:ascii="宋体" w:hAnsi="宋体"/>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商（签名）：</w:t>
      </w:r>
    </w:p>
    <w:p w14:paraId="50F80B82">
      <w:pPr>
        <w:spacing w:line="360" w:lineRule="auto"/>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w:t>
      </w:r>
      <w:r>
        <w:rPr>
          <w:rFonts w:ascii="宋体" w:hAnsi="宋体"/>
          <w:sz w:val="24"/>
          <w:szCs w:val="24"/>
          <w:highlight w:val="none"/>
        </w:rPr>
        <w:t xml:space="preserve">1）供应商应当根据“第三章 </w:t>
      </w:r>
      <w:r>
        <w:rPr>
          <w:rFonts w:hint="eastAsia" w:ascii="宋体" w:hAnsi="宋体"/>
          <w:sz w:val="24"/>
          <w:szCs w:val="24"/>
          <w:highlight w:val="none"/>
        </w:rPr>
        <w:t>项目技术要求和有关说明”的内容详细填写明细报价表，须包括本次采购的所有细项；“明细报价表”合计应与“报价一览表”报价一致。</w:t>
      </w:r>
    </w:p>
    <w:p w14:paraId="2822F38A">
      <w:pPr>
        <w:spacing w:line="360" w:lineRule="auto"/>
        <w:rPr>
          <w:rFonts w:ascii="宋体" w:hAnsi="宋体"/>
          <w:bCs/>
          <w:sz w:val="24"/>
          <w:szCs w:val="24"/>
          <w:highlight w:val="none"/>
        </w:rPr>
      </w:pPr>
      <w:r>
        <w:rPr>
          <w:rFonts w:hint="eastAsia" w:ascii="宋体" w:hAnsi="宋体"/>
          <w:sz w:val="24"/>
          <w:szCs w:val="24"/>
          <w:highlight w:val="none"/>
        </w:rPr>
        <w:t>（</w:t>
      </w:r>
      <w:r>
        <w:rPr>
          <w:rFonts w:ascii="宋体" w:hAnsi="宋体"/>
          <w:sz w:val="24"/>
          <w:szCs w:val="24"/>
          <w:highlight w:val="none"/>
        </w:rPr>
        <w:t>2）表格不够可自行延长。</w:t>
      </w:r>
      <w:r>
        <w:rPr>
          <w:rFonts w:ascii="宋体" w:hAnsi="宋体"/>
          <w:bCs/>
          <w:sz w:val="24"/>
          <w:szCs w:val="24"/>
          <w:highlight w:val="none"/>
        </w:rPr>
        <w:tab/>
      </w:r>
      <w:bookmarkStart w:id="279" w:name="OLE_LINK27"/>
      <w:r>
        <w:rPr>
          <w:rFonts w:ascii="宋体" w:hAnsi="宋体"/>
          <w:sz w:val="24"/>
          <w:szCs w:val="24"/>
          <w:highlight w:val="none"/>
        </w:rPr>
        <w:br w:type="page"/>
      </w:r>
      <w:bookmarkEnd w:id="279"/>
      <w:bookmarkStart w:id="280" w:name="_Toc8000"/>
      <w:r>
        <w:rPr>
          <w:rFonts w:hint="eastAsia" w:ascii="宋体" w:hAnsi="宋体"/>
          <w:bCs/>
          <w:sz w:val="24"/>
          <w:szCs w:val="24"/>
          <w:highlight w:val="none"/>
        </w:rPr>
        <w:t>（三）资格证明文件</w:t>
      </w:r>
    </w:p>
    <w:p w14:paraId="7128D793">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1、关于资格的声明函（格式）：</w:t>
      </w:r>
      <w:bookmarkEnd w:id="280"/>
    </w:p>
    <w:p w14:paraId="5C40A186">
      <w:pPr>
        <w:spacing w:before="120" w:beforeLines="50" w:after="120" w:afterLines="50" w:line="360" w:lineRule="auto"/>
        <w:jc w:val="center"/>
        <w:rPr>
          <w:rFonts w:ascii="宋体" w:hAnsi="宋体"/>
          <w:bCs/>
          <w:sz w:val="24"/>
          <w:szCs w:val="24"/>
          <w:highlight w:val="none"/>
        </w:rPr>
      </w:pPr>
      <w:bookmarkStart w:id="281" w:name="报价方关于资格的声明函（格式）"/>
      <w:bookmarkEnd w:id="281"/>
      <w:bookmarkStart w:id="282" w:name="_Toc24943"/>
      <w:r>
        <w:rPr>
          <w:rFonts w:hint="eastAsia" w:ascii="宋体" w:hAnsi="宋体"/>
          <w:bCs/>
          <w:sz w:val="24"/>
          <w:szCs w:val="24"/>
          <w:highlight w:val="none"/>
        </w:rPr>
        <w:t>关于资格的声明函</w:t>
      </w:r>
      <w:bookmarkEnd w:id="282"/>
    </w:p>
    <w:p w14:paraId="73A2C3FE">
      <w:pPr>
        <w:spacing w:line="360" w:lineRule="auto"/>
        <w:jc w:val="center"/>
        <w:rPr>
          <w:rFonts w:hint="eastAsia" w:ascii="宋体" w:hAnsi="宋体" w:eastAsia="宋体"/>
          <w:bCs/>
          <w:sz w:val="24"/>
          <w:szCs w:val="24"/>
          <w:highlight w:val="none"/>
          <w:lang w:eastAsia="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bookmarkStart w:id="283" w:name="OLE_LINK80"/>
      <w:r>
        <w:rPr>
          <w:rFonts w:hint="eastAsia" w:ascii="宋体" w:hAnsi="宋体"/>
          <w:bCs/>
          <w:sz w:val="24"/>
          <w:szCs w:val="24"/>
          <w:highlight w:val="none"/>
          <w:lang w:val="en-US" w:eastAsia="zh-CN"/>
        </w:rPr>
        <w:t xml:space="preserve">    </w:t>
      </w:r>
      <w:r>
        <w:rPr>
          <w:rFonts w:hint="eastAsia" w:ascii="宋体" w:hAnsi="宋体"/>
          <w:bCs/>
          <w:sz w:val="24"/>
          <w:szCs w:val="24"/>
          <w:highlight w:val="none"/>
        </w:rPr>
        <w:t>项目编号：</w:t>
      </w:r>
      <w:r>
        <w:rPr>
          <w:rFonts w:hint="eastAsia" w:ascii="宋体" w:hAnsi="宋体"/>
          <w:bCs/>
          <w:sz w:val="24"/>
          <w:szCs w:val="24"/>
          <w:highlight w:val="none"/>
          <w:lang w:eastAsia="zh-CN"/>
        </w:rPr>
        <w:t>YXGYJT202601009</w:t>
      </w:r>
    </w:p>
    <w:p w14:paraId="16B8EEE3">
      <w:pPr>
        <w:tabs>
          <w:tab w:val="left" w:pos="6300"/>
        </w:tabs>
        <w:spacing w:line="360" w:lineRule="auto"/>
        <w:jc w:val="center"/>
        <w:rPr>
          <w:rFonts w:ascii="宋体" w:hAns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日期：</w:t>
      </w:r>
    </w:p>
    <w:p w14:paraId="54A635B2">
      <w:pPr>
        <w:spacing w:line="360" w:lineRule="auto"/>
        <w:jc w:val="center"/>
        <w:rPr>
          <w:rFonts w:ascii="宋体" w:hAnsi="宋体"/>
          <w:bCs/>
          <w:sz w:val="24"/>
          <w:szCs w:val="24"/>
          <w:highlight w:val="none"/>
        </w:rPr>
      </w:pPr>
    </w:p>
    <w:bookmarkEnd w:id="283"/>
    <w:p w14:paraId="1ACDD4BF">
      <w:pPr>
        <w:spacing w:line="480" w:lineRule="auto"/>
        <w:rPr>
          <w:rFonts w:ascii="宋体" w:hAnsi="宋体"/>
          <w:bCs/>
          <w:sz w:val="24"/>
          <w:szCs w:val="24"/>
          <w:highlight w:val="none"/>
        </w:rPr>
      </w:pPr>
      <w:r>
        <w:rPr>
          <w:rFonts w:hint="eastAsia" w:ascii="宋体" w:hAnsi="宋体"/>
          <w:bCs/>
          <w:sz w:val="24"/>
          <w:szCs w:val="24"/>
          <w:highlight w:val="none"/>
          <w:lang w:val="zh-CN"/>
        </w:rPr>
        <w:t>宜兴市宜蓝环境科技有限公司</w:t>
      </w:r>
      <w:r>
        <w:rPr>
          <w:rFonts w:hint="eastAsia" w:ascii="宋体" w:hAnsi="宋体"/>
          <w:bCs/>
          <w:sz w:val="24"/>
          <w:szCs w:val="24"/>
          <w:highlight w:val="none"/>
        </w:rPr>
        <w:t>：</w:t>
      </w:r>
    </w:p>
    <w:p w14:paraId="2D4EF27B">
      <w:pPr>
        <w:spacing w:line="480" w:lineRule="auto"/>
        <w:rPr>
          <w:rFonts w:ascii="宋体" w:hAnsi="宋体"/>
          <w:bCs/>
          <w:sz w:val="24"/>
          <w:szCs w:val="24"/>
          <w:highlight w:val="none"/>
        </w:rPr>
      </w:pPr>
      <w:r>
        <w:rPr>
          <w:rFonts w:ascii="宋体" w:hAnsi="宋体"/>
          <w:bCs/>
          <w:sz w:val="24"/>
          <w:szCs w:val="24"/>
          <w:highlight w:val="none"/>
        </w:rPr>
        <w:t xml:space="preserve">    </w:t>
      </w:r>
      <w:bookmarkStart w:id="284" w:name="OLE_LINK243"/>
      <w:r>
        <w:rPr>
          <w:rFonts w:hint="eastAsia" w:ascii="宋体" w:hAnsi="宋体"/>
          <w:bCs/>
          <w:color w:val="000000"/>
          <w:sz w:val="24"/>
          <w:szCs w:val="24"/>
          <w:highlight w:val="none"/>
        </w:rPr>
        <w:t>我公司参加贵单位</w:t>
      </w:r>
      <w:r>
        <w:rPr>
          <w:rFonts w:hint="eastAsia" w:ascii="宋体" w:hAnsi="宋体"/>
          <w:bCs/>
          <w:color w:val="000000"/>
          <w:sz w:val="24"/>
          <w:szCs w:val="24"/>
          <w:highlight w:val="none"/>
          <w:lang w:eastAsia="zh-CN"/>
        </w:rPr>
        <w:t>宜兴市喷涂绿岛项目节能评估服务</w:t>
      </w:r>
      <w:r>
        <w:rPr>
          <w:rFonts w:hint="eastAsia" w:ascii="宋体" w:hAnsi="宋体"/>
          <w:bCs/>
          <w:color w:val="000000"/>
          <w:sz w:val="24"/>
          <w:szCs w:val="24"/>
          <w:highlight w:val="none"/>
        </w:rPr>
        <w:t>（</w:t>
      </w:r>
      <w:r>
        <w:rPr>
          <w:rFonts w:hint="eastAsia" w:ascii="宋体" w:hAnsi="宋体"/>
          <w:bCs/>
          <w:color w:val="000000"/>
          <w:sz w:val="24"/>
          <w:szCs w:val="24"/>
          <w:highlight w:val="none"/>
          <w:lang w:eastAsia="zh-CN"/>
        </w:rPr>
        <w:t>YXGYJT202601009</w:t>
      </w:r>
      <w:r>
        <w:rPr>
          <w:rFonts w:hint="eastAsia" w:ascii="黑体" w:eastAsia="黑体"/>
          <w:bCs/>
          <w:color w:val="000000"/>
          <w:sz w:val="24"/>
          <w:szCs w:val="24"/>
          <w:highlight w:val="none"/>
        </w:rPr>
        <w:t>）</w:t>
      </w:r>
      <w:r>
        <w:rPr>
          <w:rFonts w:hint="eastAsia" w:ascii="宋体" w:hAnsi="宋体"/>
          <w:bCs/>
          <w:color w:val="000000"/>
          <w:sz w:val="24"/>
          <w:szCs w:val="24"/>
          <w:highlight w:val="none"/>
        </w:rPr>
        <w:t>采购活动前三年内在经营活动中没有重大违法记录；</w:t>
      </w:r>
      <w:r>
        <w:rPr>
          <w:rFonts w:ascii="宋体" w:hAnsi="宋体" w:cs="宋体"/>
          <w:color w:val="000000"/>
          <w:kern w:val="0"/>
          <w:sz w:val="24"/>
          <w:szCs w:val="24"/>
          <w:highlight w:val="none"/>
          <w:lang w:bidi="ar"/>
        </w:rPr>
        <w:t>同时，投标时不存在</w:t>
      </w:r>
      <w:bookmarkStart w:id="285" w:name="OLE_LINK242"/>
      <w:r>
        <w:rPr>
          <w:rFonts w:hint="eastAsia" w:ascii="宋体" w:hAnsi="宋体" w:cs="宋体"/>
          <w:color w:val="000000"/>
          <w:kern w:val="0"/>
          <w:sz w:val="24"/>
          <w:szCs w:val="24"/>
          <w:highlight w:val="none"/>
          <w:lang w:bidi="ar"/>
        </w:rPr>
        <w:t>有效期限</w:t>
      </w:r>
      <w:bookmarkEnd w:id="285"/>
      <w:r>
        <w:rPr>
          <w:rFonts w:ascii="宋体" w:hAnsi="宋体" w:cs="宋体"/>
          <w:color w:val="000000"/>
          <w:kern w:val="0"/>
          <w:sz w:val="24"/>
          <w:szCs w:val="24"/>
          <w:highlight w:val="none"/>
          <w:lang w:bidi="ar"/>
        </w:rPr>
        <w:t>内的采购严重违法失信行为的</w:t>
      </w:r>
      <w:r>
        <w:rPr>
          <w:rFonts w:hint="eastAsia" w:ascii="宋体" w:hAnsi="宋体" w:cs="宋体"/>
          <w:color w:val="000000"/>
          <w:kern w:val="0"/>
          <w:sz w:val="24"/>
          <w:szCs w:val="24"/>
          <w:highlight w:val="none"/>
          <w:lang w:bidi="ar"/>
        </w:rPr>
        <w:t>处罚</w:t>
      </w:r>
      <w:r>
        <w:rPr>
          <w:rFonts w:ascii="宋体" w:hAnsi="宋体" w:cs="宋体"/>
          <w:color w:val="000000"/>
          <w:kern w:val="0"/>
          <w:sz w:val="24"/>
          <w:szCs w:val="24"/>
          <w:highlight w:val="none"/>
          <w:lang w:bidi="ar"/>
        </w:rPr>
        <w:t>记录</w:t>
      </w:r>
      <w:r>
        <w:rPr>
          <w:rFonts w:hint="eastAsia" w:ascii="宋体" w:hAnsi="宋体" w:cs="宋体"/>
          <w:color w:val="000000"/>
          <w:kern w:val="0"/>
          <w:sz w:val="24"/>
          <w:szCs w:val="24"/>
          <w:highlight w:val="none"/>
          <w:lang w:bidi="ar"/>
        </w:rPr>
        <w:t>，</w:t>
      </w:r>
      <w:r>
        <w:rPr>
          <w:rFonts w:ascii="宋体" w:hAnsi="宋体" w:cs="宋体"/>
          <w:color w:val="000000"/>
          <w:kern w:val="0"/>
          <w:sz w:val="24"/>
          <w:szCs w:val="24"/>
          <w:highlight w:val="none"/>
          <w:lang w:bidi="ar"/>
        </w:rPr>
        <w:t>未被列入失信名单或重大税收违法案件当事人名单；</w:t>
      </w:r>
      <w:r>
        <w:rPr>
          <w:rFonts w:hint="eastAsia" w:ascii="宋体" w:hAnsi="宋体"/>
          <w:bCs/>
          <w:color w:val="000000"/>
          <w:sz w:val="24"/>
          <w:szCs w:val="24"/>
          <w:highlight w:val="none"/>
        </w:rPr>
        <w:t>且具备履行合同所必需的设备和专业技术能力。</w:t>
      </w:r>
      <w:bookmarkEnd w:id="284"/>
      <w:r>
        <w:rPr>
          <w:rFonts w:hint="eastAsia" w:ascii="宋体" w:hAnsi="宋体"/>
          <w:bCs/>
          <w:color w:val="000000"/>
          <w:sz w:val="24"/>
          <w:szCs w:val="24"/>
          <w:highlight w:val="none"/>
        </w:rPr>
        <w:t>我公司（单位）愿针对本次项目（</w:t>
      </w:r>
      <w:r>
        <w:rPr>
          <w:rFonts w:hint="eastAsia" w:ascii="宋体" w:hAnsi="宋体"/>
          <w:bCs/>
          <w:color w:val="000000"/>
          <w:sz w:val="24"/>
          <w:szCs w:val="24"/>
          <w:highlight w:val="none"/>
          <w:lang w:eastAsia="zh-CN"/>
        </w:rPr>
        <w:t>YXGYJT202601009</w:t>
      </w:r>
      <w:r>
        <w:rPr>
          <w:rFonts w:hint="eastAsia" w:ascii="黑体" w:eastAsia="黑体"/>
          <w:bCs/>
          <w:color w:val="000000"/>
          <w:sz w:val="24"/>
          <w:szCs w:val="24"/>
          <w:highlight w:val="none"/>
        </w:rPr>
        <w:t>）</w:t>
      </w:r>
      <w:r>
        <w:rPr>
          <w:rFonts w:hint="eastAsia" w:ascii="宋体" w:hAnsi="宋体"/>
          <w:bCs/>
          <w:color w:val="000000"/>
          <w:sz w:val="24"/>
          <w:szCs w:val="24"/>
          <w:highlight w:val="none"/>
        </w:rPr>
        <w:t>进行投标</w:t>
      </w:r>
      <w:r>
        <w:rPr>
          <w:rFonts w:hint="eastAsia" w:ascii="宋体" w:hAnsi="宋体"/>
          <w:color w:val="000000"/>
          <w:sz w:val="24"/>
          <w:szCs w:val="24"/>
          <w:highlight w:val="none"/>
        </w:rPr>
        <w:t>，</w:t>
      </w:r>
      <w:r>
        <w:rPr>
          <w:rFonts w:hint="eastAsia" w:ascii="宋体" w:hAnsi="宋体"/>
          <w:bCs/>
          <w:color w:val="000000"/>
          <w:sz w:val="24"/>
          <w:szCs w:val="24"/>
          <w:highlight w:val="none"/>
        </w:rPr>
        <w:t>投标文件中所有关于投标资格的文件、证明、陈述均是真实的、准确的。若有违背，我公司</w:t>
      </w:r>
      <w:r>
        <w:rPr>
          <w:rFonts w:ascii="宋体" w:hAnsi="宋体"/>
          <w:bCs/>
          <w:color w:val="000000"/>
          <w:sz w:val="24"/>
          <w:szCs w:val="24"/>
          <w:highlight w:val="none"/>
          <w:u w:val="single"/>
        </w:rPr>
        <w:t xml:space="preserve">               </w:t>
      </w:r>
      <w:r>
        <w:rPr>
          <w:rFonts w:ascii="宋体"/>
          <w:bCs/>
          <w:color w:val="000000"/>
          <w:sz w:val="24"/>
          <w:szCs w:val="24"/>
          <w:highlight w:val="none"/>
        </w:rPr>
        <w:t>同意监管部门做出的相关决定并承担由此而产生的一切后果</w:t>
      </w:r>
      <w:r>
        <w:rPr>
          <w:rFonts w:hint="eastAsia" w:ascii="宋体"/>
          <w:bCs/>
          <w:color w:val="000000"/>
          <w:sz w:val="24"/>
          <w:szCs w:val="24"/>
          <w:highlight w:val="none"/>
        </w:rPr>
        <w:t>。</w:t>
      </w:r>
    </w:p>
    <w:p w14:paraId="61991734">
      <w:pPr>
        <w:spacing w:line="360" w:lineRule="auto"/>
        <w:rPr>
          <w:rFonts w:ascii="宋体" w:hAnsi="宋体"/>
          <w:sz w:val="24"/>
          <w:szCs w:val="24"/>
          <w:highlight w:val="none"/>
        </w:rPr>
      </w:pPr>
      <w:r>
        <w:rPr>
          <w:rFonts w:ascii="宋体" w:hAnsi="宋体"/>
          <w:bCs/>
          <w:sz w:val="24"/>
          <w:szCs w:val="24"/>
          <w:highlight w:val="none"/>
        </w:rPr>
        <w:t xml:space="preserve">                                     </w:t>
      </w:r>
      <w:bookmarkStart w:id="286" w:name="OLE_LINK81"/>
    </w:p>
    <w:p w14:paraId="126C4B3A">
      <w:pPr>
        <w:spacing w:line="360" w:lineRule="auto"/>
        <w:jc w:val="center"/>
        <w:rPr>
          <w:rFonts w:ascii="宋体" w:hAnsi="宋体"/>
          <w:bCs/>
          <w:sz w:val="24"/>
          <w:szCs w:val="24"/>
          <w:highlight w:val="none"/>
          <w:lang w:val="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供应商签名：</w:t>
      </w:r>
    </w:p>
    <w:p w14:paraId="096CB859">
      <w:pPr>
        <w:pStyle w:val="14"/>
        <w:rPr>
          <w:highlight w:val="none"/>
          <w:lang w:val="zh-CN"/>
        </w:rPr>
      </w:pPr>
    </w:p>
    <w:p w14:paraId="186A7CB2">
      <w:pPr>
        <w:spacing w:line="360" w:lineRule="auto"/>
        <w:jc w:val="center"/>
        <w:rPr>
          <w:rFonts w:ascii="宋体" w:hAnsi="宋体"/>
          <w:bCs/>
          <w:sz w:val="24"/>
          <w:szCs w:val="24"/>
          <w:highlight w:val="none"/>
          <w:lang w:val="zh-CN"/>
        </w:rPr>
      </w:pPr>
      <w:r>
        <w:rPr>
          <w:rFonts w:hint="eastAsia" w:ascii="宋体" w:hAnsi="宋体"/>
          <w:bCs/>
          <w:sz w:val="24"/>
          <w:szCs w:val="24"/>
          <w:highlight w:val="none"/>
        </w:rPr>
        <w:t xml:space="preserve">                                         </w:t>
      </w:r>
      <w:r>
        <w:rPr>
          <w:rFonts w:hint="eastAsia" w:ascii="宋体" w:hAnsi="宋体"/>
          <w:bCs/>
          <w:sz w:val="24"/>
          <w:szCs w:val="24"/>
          <w:highlight w:val="none"/>
          <w:lang w:val="zh-CN"/>
        </w:rPr>
        <w:t>供应商公章：</w:t>
      </w:r>
    </w:p>
    <w:bookmarkEnd w:id="286"/>
    <w:p w14:paraId="0A570257">
      <w:pPr>
        <w:spacing w:line="360" w:lineRule="auto"/>
        <w:jc w:val="center"/>
        <w:rPr>
          <w:rFonts w:ascii="宋体" w:hAnsi="宋体"/>
          <w:bCs/>
          <w:sz w:val="24"/>
          <w:szCs w:val="24"/>
          <w:highlight w:val="none"/>
        </w:rPr>
      </w:pPr>
      <w:bookmarkStart w:id="287" w:name="OLE_LINK36"/>
    </w:p>
    <w:p w14:paraId="2B794B0E">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78797">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425A9713"/>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34B78797">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425A9713"/>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CB8143">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45CB8143">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v:textbox>
              </v:shape>
            </w:pict>
          </mc:Fallback>
        </mc:AlternateContent>
      </w:r>
    </w:p>
    <w:p w14:paraId="37ECCC92">
      <w:pPr>
        <w:spacing w:line="360" w:lineRule="auto"/>
        <w:rPr>
          <w:rFonts w:ascii="宋体" w:hAnsi="宋体"/>
          <w:bCs/>
          <w:sz w:val="24"/>
          <w:szCs w:val="24"/>
          <w:highlight w:val="none"/>
        </w:rPr>
      </w:pPr>
    </w:p>
    <w:p w14:paraId="5156C8CD">
      <w:pPr>
        <w:spacing w:line="360" w:lineRule="auto"/>
        <w:jc w:val="center"/>
        <w:rPr>
          <w:rFonts w:ascii="宋体" w:hAnsi="宋体"/>
          <w:bCs/>
          <w:sz w:val="24"/>
          <w:szCs w:val="24"/>
          <w:highlight w:val="none"/>
        </w:rPr>
      </w:pPr>
    </w:p>
    <w:p w14:paraId="601D3DD8">
      <w:pPr>
        <w:spacing w:line="360" w:lineRule="auto"/>
        <w:jc w:val="center"/>
        <w:rPr>
          <w:rFonts w:ascii="宋体" w:hAnsi="宋体"/>
          <w:bCs/>
          <w:sz w:val="24"/>
          <w:szCs w:val="24"/>
          <w:highlight w:val="none"/>
        </w:rPr>
      </w:pPr>
    </w:p>
    <w:bookmarkEnd w:id="287"/>
    <w:p w14:paraId="69B07542">
      <w:pPr>
        <w:spacing w:line="360" w:lineRule="auto"/>
        <w:rPr>
          <w:rFonts w:ascii="宋体" w:hAnsi="宋体"/>
          <w:bCs/>
          <w:sz w:val="24"/>
          <w:szCs w:val="24"/>
          <w:highlight w:val="none"/>
        </w:rPr>
      </w:pPr>
    </w:p>
    <w:p w14:paraId="1F230A8B">
      <w:pPr>
        <w:spacing w:line="360" w:lineRule="auto"/>
        <w:ind w:firstLine="480" w:firstLineChars="200"/>
        <w:rPr>
          <w:rFonts w:ascii="宋体" w:hAnsi="宋体"/>
          <w:sz w:val="24"/>
          <w:szCs w:val="24"/>
          <w:highlight w:val="none"/>
        </w:rPr>
      </w:pPr>
      <w:r>
        <w:rPr>
          <w:rFonts w:ascii="宋体" w:hAnsi="宋体"/>
          <w:bCs/>
          <w:sz w:val="24"/>
          <w:szCs w:val="24"/>
          <w:highlight w:val="none"/>
        </w:rPr>
        <w:br w:type="page"/>
      </w:r>
      <w:r>
        <w:rPr>
          <w:rFonts w:hint="eastAsia" w:ascii="宋体" w:hAnsi="宋体"/>
          <w:bCs/>
          <w:sz w:val="24"/>
          <w:szCs w:val="24"/>
          <w:highlight w:val="none"/>
        </w:rPr>
        <w:t>2、法定代表人授权委托书（格式）：</w:t>
      </w:r>
      <w:r>
        <w:rPr>
          <w:rFonts w:hint="eastAsia" w:ascii="宋体" w:hAnsi="宋体"/>
          <w:sz w:val="24"/>
          <w:szCs w:val="24"/>
          <w:highlight w:val="none"/>
        </w:rPr>
        <w:t xml:space="preserve"> </w:t>
      </w:r>
    </w:p>
    <w:p w14:paraId="3C586DA0">
      <w:pPr>
        <w:spacing w:before="120" w:beforeLines="50" w:after="120" w:afterLines="50" w:line="360" w:lineRule="auto"/>
        <w:jc w:val="center"/>
        <w:rPr>
          <w:rFonts w:ascii="宋体" w:hAnsi="宋体"/>
          <w:sz w:val="24"/>
          <w:szCs w:val="24"/>
          <w:highlight w:val="none"/>
        </w:rPr>
      </w:pPr>
      <w:r>
        <w:rPr>
          <w:rFonts w:hint="eastAsia" w:ascii="宋体" w:hAnsi="宋体"/>
          <w:sz w:val="24"/>
          <w:szCs w:val="24"/>
          <w:highlight w:val="none"/>
        </w:rPr>
        <w:t>法定代表人授权书</w:t>
      </w:r>
    </w:p>
    <w:p w14:paraId="0400BBA7">
      <w:pPr>
        <w:tabs>
          <w:tab w:val="left" w:pos="255"/>
        </w:tabs>
        <w:spacing w:line="360" w:lineRule="auto"/>
        <w:ind w:left="420" w:leftChars="200"/>
        <w:rPr>
          <w:rFonts w:hint="eastAsia" w:ascii="宋体" w:hAnsi="宋体" w:eastAsia="宋体"/>
          <w:sz w:val="24"/>
          <w:szCs w:val="24"/>
          <w:highlight w:val="none"/>
          <w:lang w:val="zh-CN" w:eastAsia="zh-CN"/>
        </w:rPr>
      </w:pPr>
      <w:r>
        <w:rPr>
          <w:rFonts w:hint="eastAsia" w:ascii="宋体" w:hAnsi="宋体"/>
          <w:sz w:val="24"/>
          <w:szCs w:val="24"/>
          <w:highlight w:val="none"/>
        </w:rPr>
        <w:t xml:space="preserve">                                               </w:t>
      </w:r>
      <w:r>
        <w:rPr>
          <w:rFonts w:hint="eastAsia" w:ascii="宋体" w:hAnsi="宋体"/>
          <w:sz w:val="24"/>
          <w:szCs w:val="24"/>
          <w:highlight w:val="none"/>
          <w:lang w:val="zh-CN"/>
        </w:rPr>
        <w:t>项目编号：</w:t>
      </w:r>
      <w:r>
        <w:rPr>
          <w:rFonts w:hint="eastAsia" w:ascii="宋体" w:hAnsi="宋体"/>
          <w:bCs/>
          <w:sz w:val="24"/>
          <w:szCs w:val="24"/>
          <w:highlight w:val="none"/>
          <w:lang w:eastAsia="zh-CN"/>
        </w:rPr>
        <w:t>YXGYJT202601009</w:t>
      </w:r>
    </w:p>
    <w:p w14:paraId="476D7A6E">
      <w:pPr>
        <w:tabs>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t xml:space="preserve">                                </w:t>
      </w:r>
      <w:r>
        <w:rPr>
          <w:rFonts w:hint="eastAsia" w:ascii="宋体" w:hAnsi="宋体"/>
          <w:sz w:val="24"/>
          <w:szCs w:val="24"/>
          <w:highlight w:val="none"/>
        </w:rPr>
        <w:t xml:space="preserve">      </w:t>
      </w:r>
      <w:r>
        <w:rPr>
          <w:rFonts w:hint="eastAsia" w:ascii="宋体" w:hAnsi="宋体"/>
          <w:sz w:val="24"/>
          <w:szCs w:val="24"/>
          <w:highlight w:val="none"/>
          <w:lang w:val="zh-CN"/>
        </w:rPr>
        <w:t xml:space="preserve">         日期：</w:t>
      </w:r>
    </w:p>
    <w:p w14:paraId="2270A55C">
      <w:pPr>
        <w:tabs>
          <w:tab w:val="left" w:pos="255"/>
        </w:tabs>
        <w:spacing w:line="360" w:lineRule="auto"/>
        <w:ind w:left="420" w:leftChars="200"/>
        <w:rPr>
          <w:rFonts w:ascii="宋体" w:hAnsi="宋体"/>
          <w:sz w:val="24"/>
          <w:szCs w:val="24"/>
          <w:highlight w:val="none"/>
          <w:lang w:val="zh-CN"/>
        </w:rPr>
      </w:pPr>
      <w:r>
        <w:rPr>
          <w:rFonts w:hint="eastAsia" w:ascii="宋体" w:hAnsi="宋体"/>
          <w:bCs/>
          <w:sz w:val="24"/>
          <w:szCs w:val="24"/>
          <w:highlight w:val="none"/>
          <w:lang w:val="zh-CN"/>
        </w:rPr>
        <w:t>宜兴市宜蓝环境科技有限公司</w:t>
      </w:r>
      <w:r>
        <w:rPr>
          <w:rFonts w:hint="eastAsia" w:ascii="宋体" w:hAnsi="宋体"/>
          <w:bCs/>
          <w:sz w:val="24"/>
          <w:szCs w:val="24"/>
          <w:highlight w:val="none"/>
        </w:rPr>
        <w:t>、</w:t>
      </w:r>
      <w:r>
        <w:rPr>
          <w:rFonts w:hint="eastAsia" w:ascii="宋体" w:hAnsi="宋体"/>
          <w:bCs/>
          <w:sz w:val="24"/>
          <w:szCs w:val="24"/>
          <w:highlight w:val="none"/>
          <w:lang w:val="zh-CN"/>
        </w:rPr>
        <w:t>江苏鸿成工程项目管理有限公司</w:t>
      </w:r>
      <w:r>
        <w:rPr>
          <w:rFonts w:hint="eastAsia" w:ascii="宋体" w:hAnsi="宋体"/>
          <w:sz w:val="24"/>
          <w:szCs w:val="24"/>
          <w:highlight w:val="none"/>
          <w:lang w:val="zh-CN"/>
        </w:rPr>
        <w:t>：</w:t>
      </w:r>
    </w:p>
    <w:p w14:paraId="128EE5FE">
      <w:pPr>
        <w:tabs>
          <w:tab w:val="left" w:pos="255"/>
        </w:tabs>
        <w:spacing w:line="360" w:lineRule="auto"/>
        <w:ind w:left="420" w:leftChars="200" w:firstLine="480" w:firstLineChars="200"/>
        <w:rPr>
          <w:rFonts w:ascii="宋体" w:hAnsi="宋体"/>
          <w:sz w:val="24"/>
          <w:szCs w:val="24"/>
          <w:highlight w:val="none"/>
          <w:lang w:val="zh-CN"/>
        </w:rPr>
      </w:pPr>
      <w:r>
        <w:rPr>
          <w:rFonts w:ascii="宋体" w:hAnsi="宋体"/>
          <w:sz w:val="24"/>
          <w:szCs w:val="24"/>
          <w:highlight w:val="none"/>
          <w:lang w:val="zh-CN"/>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系中华人民共和国合法企业。法定地址：</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特授权</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代表我公司（单位）全权办理针对上述项目的投标、参与开标、谈判、签约等具体工作，并签署全部有关的文件、协议及合同。</w:t>
      </w:r>
    </w:p>
    <w:p w14:paraId="4217AD1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我公司（单位）对被授权代表人的签名负全部责任。</w:t>
      </w:r>
    </w:p>
    <w:p w14:paraId="41D0C5A9">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在撤销授权的书面通知送达你处以前，本授权书一直有效，被授权代表人签署的所有文件（在授权书有效期内签署的）不因授权的撤销而失效。</w:t>
      </w:r>
    </w:p>
    <w:p w14:paraId="3EC3331A">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被授权代表人情况：</w:t>
      </w:r>
    </w:p>
    <w:p w14:paraId="5A3A0560">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姓名：</w:t>
      </w:r>
      <w:r>
        <w:rPr>
          <w:rFonts w:ascii="宋体" w:hAnsi="宋体"/>
          <w:sz w:val="24"/>
          <w:szCs w:val="24"/>
          <w:highlight w:val="none"/>
          <w:lang w:val="zh-CN"/>
        </w:rPr>
        <w:t xml:space="preserve">           </w:t>
      </w:r>
      <w:r>
        <w:rPr>
          <w:rFonts w:hint="eastAsia" w:ascii="宋体" w:hAnsi="宋体"/>
          <w:sz w:val="24"/>
          <w:szCs w:val="24"/>
          <w:highlight w:val="none"/>
          <w:lang w:val="zh-CN"/>
        </w:rPr>
        <w:t>性别：</w:t>
      </w:r>
      <w:r>
        <w:rPr>
          <w:rFonts w:ascii="宋体" w:hAnsi="宋体"/>
          <w:sz w:val="24"/>
          <w:szCs w:val="24"/>
          <w:highlight w:val="none"/>
          <w:lang w:val="zh-CN"/>
        </w:rPr>
        <w:t xml:space="preserve">        </w:t>
      </w:r>
      <w:r>
        <w:rPr>
          <w:rFonts w:hint="eastAsia" w:ascii="宋体" w:hAnsi="宋体"/>
          <w:sz w:val="24"/>
          <w:szCs w:val="24"/>
          <w:highlight w:val="none"/>
          <w:lang w:val="zh-CN"/>
        </w:rPr>
        <w:t>年龄：</w:t>
      </w:r>
      <w:r>
        <w:rPr>
          <w:rFonts w:ascii="宋体" w:hAnsi="宋体"/>
          <w:sz w:val="24"/>
          <w:szCs w:val="24"/>
          <w:highlight w:val="none"/>
          <w:lang w:val="zh-CN"/>
        </w:rPr>
        <w:t xml:space="preserve">         </w:t>
      </w:r>
      <w:r>
        <w:rPr>
          <w:rFonts w:hint="eastAsia" w:ascii="宋体" w:hAnsi="宋体"/>
          <w:sz w:val="24"/>
          <w:szCs w:val="24"/>
          <w:highlight w:val="none"/>
          <w:lang w:val="zh-CN"/>
        </w:rPr>
        <w:t>职务：</w:t>
      </w:r>
    </w:p>
    <w:p w14:paraId="1833ECE1">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身份证号码：</w:t>
      </w:r>
      <w:r>
        <w:rPr>
          <w:rFonts w:ascii="宋体" w:hAnsi="宋体"/>
          <w:sz w:val="24"/>
          <w:szCs w:val="24"/>
          <w:highlight w:val="none"/>
          <w:lang w:val="zh-CN"/>
        </w:rPr>
        <w:t xml:space="preserve">                   </w:t>
      </w:r>
      <w:r>
        <w:rPr>
          <w:rFonts w:hint="eastAsia" w:ascii="宋体" w:hAnsi="宋体"/>
          <w:sz w:val="24"/>
          <w:szCs w:val="24"/>
          <w:highlight w:val="none"/>
          <w:lang w:val="zh-CN"/>
        </w:rPr>
        <w:t>手机号码：</w:t>
      </w:r>
    </w:p>
    <w:p w14:paraId="2E0E5969">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办公电话：</w:t>
      </w:r>
      <w:r>
        <w:rPr>
          <w:rFonts w:ascii="宋体" w:hAnsi="宋体"/>
          <w:sz w:val="24"/>
          <w:szCs w:val="24"/>
          <w:highlight w:val="none"/>
          <w:lang w:val="zh-CN"/>
        </w:rPr>
        <w:t xml:space="preserve">                     </w:t>
      </w:r>
      <w:r>
        <w:rPr>
          <w:rFonts w:hint="eastAsia" w:ascii="宋体" w:hAnsi="宋体"/>
          <w:sz w:val="24"/>
          <w:szCs w:val="24"/>
          <w:highlight w:val="none"/>
          <w:lang w:val="zh-CN"/>
        </w:rPr>
        <w:t>传真：</w:t>
      </w:r>
    </w:p>
    <w:p w14:paraId="36FD2DEE">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通讯地址：</w:t>
      </w:r>
    </w:p>
    <w:p w14:paraId="5D21E73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被授权代表人签名：</w:t>
      </w:r>
      <w:r>
        <w:rPr>
          <w:rFonts w:ascii="宋体" w:hAnsi="宋体"/>
          <w:sz w:val="24"/>
          <w:szCs w:val="24"/>
          <w:highlight w:val="none"/>
          <w:lang w:val="zh-CN"/>
        </w:rPr>
        <w:t xml:space="preserve">                  </w:t>
      </w:r>
    </w:p>
    <w:p w14:paraId="5512FD47">
      <w:pPr>
        <w:tabs>
          <w:tab w:val="left" w:pos="255"/>
        </w:tabs>
        <w:spacing w:line="360" w:lineRule="auto"/>
        <w:ind w:firstLine="5280" w:firstLineChars="2200"/>
        <w:rPr>
          <w:rFonts w:ascii="宋体" w:hAnsi="宋体"/>
          <w:sz w:val="24"/>
          <w:szCs w:val="24"/>
          <w:highlight w:val="none"/>
          <w:lang w:val="zh-CN"/>
        </w:rPr>
      </w:pPr>
      <w:r>
        <w:rPr>
          <w:rFonts w:hint="eastAsia" w:ascii="宋体" w:hAnsi="宋体"/>
          <w:sz w:val="24"/>
          <w:szCs w:val="24"/>
          <w:highlight w:val="none"/>
          <w:lang w:val="zh-CN"/>
        </w:rPr>
        <w:t>单位名称（公章）：</w:t>
      </w:r>
    </w:p>
    <w:p w14:paraId="5D3B8788">
      <w:pPr>
        <w:pStyle w:val="14"/>
        <w:tabs>
          <w:tab w:val="left" w:pos="255"/>
        </w:tabs>
        <w:spacing w:line="360" w:lineRule="auto"/>
        <w:ind w:left="420" w:leftChars="200" w:firstLine="400" w:firstLineChars="200"/>
        <w:rPr>
          <w:highlight w:val="none"/>
          <w:lang w:val="zh-CN"/>
        </w:rPr>
      </w:pPr>
    </w:p>
    <w:p w14:paraId="37C1CDE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 xml:space="preserve">                                    法定代表人签名</w:t>
      </w:r>
      <w:r>
        <w:rPr>
          <w:rFonts w:hint="eastAsia" w:ascii="宋体" w:hAnsi="宋体"/>
          <w:sz w:val="24"/>
          <w:szCs w:val="24"/>
          <w:highlight w:val="none"/>
          <w:lang w:val="en-US" w:eastAsia="zh-CN"/>
        </w:rPr>
        <w:t>或签章</w:t>
      </w:r>
      <w:r>
        <w:rPr>
          <w:rFonts w:hint="eastAsia" w:ascii="宋体" w:hAnsi="宋体"/>
          <w:sz w:val="24"/>
          <w:szCs w:val="24"/>
          <w:highlight w:val="none"/>
          <w:lang w:val="zh-CN"/>
        </w:rPr>
        <w:t>：</w:t>
      </w:r>
    </w:p>
    <w:p w14:paraId="1337F254">
      <w:pPr>
        <w:spacing w:line="360" w:lineRule="auto"/>
        <w:rPr>
          <w:rFonts w:ascii="宋体" w:hAnsi="宋体"/>
          <w:bCs/>
          <w:sz w:val="24"/>
          <w:szCs w:val="24"/>
          <w:highlight w:val="none"/>
        </w:rPr>
      </w:pPr>
    </w:p>
    <w:p w14:paraId="73309ECF">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D6C190">
                            <w:pPr>
                              <w:jc w:val="center"/>
                              <w:rPr>
                                <w:rFonts w:ascii="楷体_GB2312" w:eastAsia="楷体_GB2312"/>
                                <w:sz w:val="28"/>
                                <w:szCs w:val="28"/>
                              </w:rPr>
                            </w:pPr>
                            <w:r>
                              <w:rPr>
                                <w:rFonts w:hint="eastAsia" w:ascii="楷体_GB2312" w:eastAsia="楷体_GB2312"/>
                                <w:sz w:val="28"/>
                                <w:szCs w:val="28"/>
                              </w:rPr>
                              <w:t>被授权代表人身份证复印件</w:t>
                            </w:r>
                          </w:p>
                          <w:p w14:paraId="7717EF74">
                            <w:pPr>
                              <w:jc w:val="center"/>
                              <w:rPr>
                                <w:rFonts w:ascii="楷体_GB2312" w:eastAsia="楷体_GB2312"/>
                                <w:sz w:val="28"/>
                                <w:szCs w:val="28"/>
                              </w:rPr>
                            </w:pPr>
                            <w:r>
                              <w:rPr>
                                <w:rFonts w:hint="eastAsia" w:ascii="楷体_GB2312" w:eastAsia="楷体_GB2312"/>
                                <w:sz w:val="28"/>
                                <w:szCs w:val="28"/>
                                <w:lang w:val="en-US" w:eastAsia="zh-CN"/>
                              </w:rPr>
                              <w:t>反</w:t>
                            </w:r>
                            <w:r>
                              <w:rPr>
                                <w:rFonts w:hint="eastAsia" w:ascii="楷体_GB2312" w:eastAsia="楷体_GB2312"/>
                                <w:sz w:val="28"/>
                                <w:szCs w:val="28"/>
                              </w:rPr>
                              <w:t>面</w:t>
                            </w:r>
                          </w:p>
                          <w:p w14:paraId="1717DE51"/>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26D6C190">
                      <w:pPr>
                        <w:jc w:val="center"/>
                        <w:rPr>
                          <w:rFonts w:ascii="楷体_GB2312" w:eastAsia="楷体_GB2312"/>
                          <w:sz w:val="28"/>
                          <w:szCs w:val="28"/>
                        </w:rPr>
                      </w:pPr>
                      <w:r>
                        <w:rPr>
                          <w:rFonts w:hint="eastAsia" w:ascii="楷体_GB2312" w:eastAsia="楷体_GB2312"/>
                          <w:sz w:val="28"/>
                          <w:szCs w:val="28"/>
                        </w:rPr>
                        <w:t>被授权代表人身份证复印件</w:t>
                      </w:r>
                    </w:p>
                    <w:p w14:paraId="7717EF74">
                      <w:pPr>
                        <w:jc w:val="center"/>
                        <w:rPr>
                          <w:rFonts w:ascii="楷体_GB2312" w:eastAsia="楷体_GB2312"/>
                          <w:sz w:val="28"/>
                          <w:szCs w:val="28"/>
                        </w:rPr>
                      </w:pPr>
                      <w:r>
                        <w:rPr>
                          <w:rFonts w:hint="eastAsia" w:ascii="楷体_GB2312" w:eastAsia="楷体_GB2312"/>
                          <w:sz w:val="28"/>
                          <w:szCs w:val="28"/>
                          <w:lang w:val="en-US" w:eastAsia="zh-CN"/>
                        </w:rPr>
                        <w:t>反</w:t>
                      </w:r>
                      <w:r>
                        <w:rPr>
                          <w:rFonts w:hint="eastAsia" w:ascii="楷体_GB2312" w:eastAsia="楷体_GB2312"/>
                          <w:sz w:val="28"/>
                          <w:szCs w:val="28"/>
                        </w:rPr>
                        <w:t>面</w:t>
                      </w:r>
                    </w:p>
                    <w:p w14:paraId="1717DE51"/>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B1DCF9">
                            <w:pPr>
                              <w:jc w:val="center"/>
                              <w:rPr>
                                <w:rFonts w:ascii="楷体_GB2312" w:eastAsia="楷体_GB2312"/>
                                <w:sz w:val="28"/>
                                <w:szCs w:val="28"/>
                              </w:rPr>
                            </w:pPr>
                            <w:r>
                              <w:rPr>
                                <w:rFonts w:hint="eastAsia" w:ascii="楷体_GB2312" w:eastAsia="楷体_GB2312"/>
                                <w:sz w:val="28"/>
                                <w:szCs w:val="28"/>
                              </w:rPr>
                              <w:t>被授权代表人身份证复印件</w:t>
                            </w:r>
                          </w:p>
                          <w:p w14:paraId="4738CEEC">
                            <w:pPr>
                              <w:jc w:val="center"/>
                              <w:rPr>
                                <w:rFonts w:ascii="楷体_GB2312" w:eastAsia="楷体_GB2312"/>
                                <w:sz w:val="28"/>
                                <w:szCs w:val="28"/>
                              </w:rPr>
                            </w:pPr>
                            <w:r>
                              <w:rPr>
                                <w:rFonts w:hint="eastAsia" w:ascii="楷体_GB2312" w:eastAsia="楷体_GB2312"/>
                                <w:sz w:val="28"/>
                                <w:szCs w:val="28"/>
                              </w:rPr>
                              <w:t>正面</w:t>
                            </w:r>
                          </w:p>
                          <w:p w14:paraId="2BC90765">
                            <w:pPr>
                              <w:jc w:val="center"/>
                              <w:rPr>
                                <w:rFonts w:ascii="楷体_GB2312" w:eastAsia="楷体_GB2312"/>
                                <w:sz w:val="28"/>
                                <w:szCs w:val="28"/>
                              </w:rPr>
                            </w:pPr>
                          </w:p>
                          <w:p w14:paraId="186064C5"/>
                          <w:p w14:paraId="5BC25F30"/>
                          <w:p w14:paraId="341A8C9C">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5BB1DCF9">
                      <w:pPr>
                        <w:jc w:val="center"/>
                        <w:rPr>
                          <w:rFonts w:ascii="楷体_GB2312" w:eastAsia="楷体_GB2312"/>
                          <w:sz w:val="28"/>
                          <w:szCs w:val="28"/>
                        </w:rPr>
                      </w:pPr>
                      <w:r>
                        <w:rPr>
                          <w:rFonts w:hint="eastAsia" w:ascii="楷体_GB2312" w:eastAsia="楷体_GB2312"/>
                          <w:sz w:val="28"/>
                          <w:szCs w:val="28"/>
                        </w:rPr>
                        <w:t>被授权代表人身份证复印件</w:t>
                      </w:r>
                    </w:p>
                    <w:p w14:paraId="4738CEEC">
                      <w:pPr>
                        <w:jc w:val="center"/>
                        <w:rPr>
                          <w:rFonts w:ascii="楷体_GB2312" w:eastAsia="楷体_GB2312"/>
                          <w:sz w:val="28"/>
                          <w:szCs w:val="28"/>
                        </w:rPr>
                      </w:pPr>
                      <w:r>
                        <w:rPr>
                          <w:rFonts w:hint="eastAsia" w:ascii="楷体_GB2312" w:eastAsia="楷体_GB2312"/>
                          <w:sz w:val="28"/>
                          <w:szCs w:val="28"/>
                        </w:rPr>
                        <w:t>正面</w:t>
                      </w:r>
                    </w:p>
                    <w:p w14:paraId="2BC90765">
                      <w:pPr>
                        <w:jc w:val="center"/>
                        <w:rPr>
                          <w:rFonts w:ascii="楷体_GB2312" w:eastAsia="楷体_GB2312"/>
                          <w:sz w:val="28"/>
                          <w:szCs w:val="28"/>
                        </w:rPr>
                      </w:pPr>
                    </w:p>
                    <w:p w14:paraId="186064C5"/>
                    <w:p w14:paraId="5BC25F30"/>
                    <w:p w14:paraId="341A8C9C">
                      <w:pPr>
                        <w:spacing w:line="360" w:lineRule="auto"/>
                        <w:rPr>
                          <w:rFonts w:ascii="宋体" w:hAnsi="宋体"/>
                          <w:sz w:val="24"/>
                          <w:szCs w:val="24"/>
                        </w:rPr>
                      </w:pPr>
                    </w:p>
                  </w:txbxContent>
                </v:textbox>
              </v:shape>
            </w:pict>
          </mc:Fallback>
        </mc:AlternateContent>
      </w:r>
    </w:p>
    <w:p w14:paraId="247E9549">
      <w:pPr>
        <w:spacing w:line="360" w:lineRule="auto"/>
        <w:rPr>
          <w:rFonts w:ascii="宋体" w:hAnsi="宋体"/>
          <w:bCs/>
          <w:sz w:val="24"/>
          <w:szCs w:val="24"/>
          <w:highlight w:val="none"/>
        </w:rPr>
      </w:pPr>
    </w:p>
    <w:p w14:paraId="55097A71">
      <w:pPr>
        <w:spacing w:line="360" w:lineRule="auto"/>
        <w:jc w:val="center"/>
        <w:rPr>
          <w:rFonts w:ascii="宋体" w:hAnsi="宋体"/>
          <w:bCs/>
          <w:sz w:val="24"/>
          <w:szCs w:val="24"/>
          <w:highlight w:val="none"/>
        </w:rPr>
      </w:pPr>
    </w:p>
    <w:p w14:paraId="0501806D">
      <w:pPr>
        <w:spacing w:line="360" w:lineRule="auto"/>
        <w:jc w:val="center"/>
        <w:rPr>
          <w:rFonts w:ascii="宋体" w:hAnsi="宋体"/>
          <w:bCs/>
          <w:sz w:val="24"/>
          <w:szCs w:val="24"/>
          <w:highlight w:val="none"/>
        </w:rPr>
      </w:pPr>
    </w:p>
    <w:p w14:paraId="4FED113C">
      <w:pPr>
        <w:spacing w:line="360" w:lineRule="auto"/>
        <w:ind w:firstLine="480" w:firstLineChars="200"/>
        <w:rPr>
          <w:rFonts w:ascii="宋体" w:hAnsi="宋体"/>
          <w:bCs/>
          <w:sz w:val="24"/>
          <w:szCs w:val="24"/>
          <w:highlight w:val="none"/>
        </w:rPr>
      </w:pPr>
    </w:p>
    <w:p w14:paraId="0E740280">
      <w:pPr>
        <w:spacing w:line="360" w:lineRule="auto"/>
        <w:rPr>
          <w:rFonts w:ascii="宋体" w:hAnsi="宋体"/>
          <w:bCs/>
          <w:sz w:val="24"/>
          <w:szCs w:val="24"/>
          <w:highlight w:val="none"/>
        </w:rPr>
      </w:pPr>
    </w:p>
    <w:p w14:paraId="28ED810B">
      <w:pPr>
        <w:spacing w:line="360" w:lineRule="auto"/>
        <w:ind w:firstLine="480" w:firstLineChars="200"/>
        <w:rPr>
          <w:rFonts w:ascii="宋体" w:hAnsi="宋体"/>
          <w:bCs/>
          <w:sz w:val="24"/>
          <w:szCs w:val="24"/>
          <w:highlight w:val="none"/>
        </w:rPr>
      </w:pPr>
      <w:bookmarkStart w:id="288" w:name="_Toc27231"/>
    </w:p>
    <w:p w14:paraId="551EC175">
      <w:pPr>
        <w:spacing w:line="360" w:lineRule="auto"/>
        <w:ind w:firstLine="422" w:firstLineChars="200"/>
        <w:rPr>
          <w:rFonts w:ascii="宋体" w:hAnsi="宋体" w:cs="宋体"/>
          <w:b/>
          <w:szCs w:val="21"/>
          <w:highlight w:val="none"/>
        </w:rPr>
      </w:pPr>
    </w:p>
    <w:p w14:paraId="3DF20181">
      <w:pPr>
        <w:spacing w:line="360" w:lineRule="auto"/>
        <w:ind w:firstLine="422" w:firstLineChars="200"/>
        <w:rPr>
          <w:rFonts w:ascii="宋体" w:hAnsi="宋体"/>
          <w:bCs/>
          <w:sz w:val="24"/>
          <w:szCs w:val="24"/>
          <w:highlight w:val="none"/>
        </w:rPr>
      </w:pPr>
      <w:r>
        <w:rPr>
          <w:rFonts w:hint="eastAsia" w:ascii="宋体" w:hAnsi="宋体" w:cs="宋体"/>
          <w:b/>
          <w:szCs w:val="21"/>
          <w:highlight w:val="none"/>
        </w:rPr>
        <w:t>注：</w:t>
      </w:r>
      <w:r>
        <w:rPr>
          <w:rFonts w:hint="eastAsia" w:ascii="宋体" w:hAnsi="宋体" w:cs="宋体"/>
          <w:b/>
          <w:szCs w:val="21"/>
          <w:highlight w:val="none"/>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highlight w:val="none"/>
        </w:rPr>
        <w:t>附于本表之后。</w:t>
      </w:r>
      <w:r>
        <w:rPr>
          <w:rFonts w:ascii="宋体" w:hAnsi="宋体"/>
          <w:bCs/>
          <w:sz w:val="24"/>
          <w:szCs w:val="24"/>
          <w:highlight w:val="none"/>
        </w:rPr>
        <w:br w:type="page"/>
      </w:r>
      <w:r>
        <w:rPr>
          <w:rFonts w:hint="eastAsia" w:ascii="宋体" w:hAnsi="宋体"/>
          <w:bCs/>
          <w:sz w:val="24"/>
          <w:szCs w:val="24"/>
          <w:highlight w:val="none"/>
        </w:rPr>
        <w:t>3、资格性证明材料复印件：</w:t>
      </w:r>
      <w:bookmarkEnd w:id="288"/>
    </w:p>
    <w:p w14:paraId="27EC9B9A">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 xml:space="preserve">资格性证明材料 </w:t>
      </w:r>
    </w:p>
    <w:p w14:paraId="069C835A">
      <w:pPr>
        <w:spacing w:line="360" w:lineRule="auto"/>
        <w:jc w:val="center"/>
        <w:rPr>
          <w:rFonts w:ascii="宋体" w:hAnsi="宋体"/>
          <w:bCs/>
          <w:sz w:val="24"/>
          <w:szCs w:val="24"/>
          <w:highlight w:val="none"/>
        </w:rPr>
      </w:pPr>
      <w:r>
        <w:rPr>
          <w:rFonts w:hint="eastAsia" w:ascii="宋体" w:hAnsi="宋体"/>
          <w:bCs/>
          <w:sz w:val="24"/>
          <w:szCs w:val="24"/>
          <w:highlight w:val="none"/>
        </w:rPr>
        <w:t xml:space="preserve">                                            </w:t>
      </w:r>
      <w:r>
        <w:rPr>
          <w:rFonts w:ascii="宋体" w:hAnsi="宋体"/>
          <w:bCs/>
          <w:sz w:val="24"/>
          <w:szCs w:val="24"/>
          <w:highlight w:val="none"/>
        </w:rPr>
        <w:t xml:space="preserve">   </w:t>
      </w:r>
    </w:p>
    <w:p w14:paraId="52F7BC59">
      <w:pPr>
        <w:spacing w:line="360" w:lineRule="auto"/>
        <w:rPr>
          <w:rFonts w:ascii="宋体" w:hAnsi="宋体"/>
          <w:bCs/>
          <w:sz w:val="24"/>
          <w:szCs w:val="24"/>
          <w:highlight w:val="none"/>
        </w:rPr>
      </w:pPr>
      <w:r>
        <w:rPr>
          <w:rFonts w:hint="eastAsia" w:ascii="宋体" w:hAnsi="宋体"/>
          <w:bCs/>
          <w:sz w:val="24"/>
          <w:szCs w:val="24"/>
          <w:highlight w:val="none"/>
        </w:rPr>
        <w:t>供应商应按以下顺序提供相关材料复印件（加盖公章）：</w:t>
      </w:r>
    </w:p>
    <w:p w14:paraId="12098A92">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t>1、</w:t>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75D9DEB8">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2、</w:t>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2CF13505">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32DC703B">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rPr>
        <w:t>3、</w:t>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4AA50A94">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6EECABBA">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4、</w:t>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20119CDB">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3EE8F188">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t>5、</w:t>
      </w:r>
      <w:r>
        <w:rPr>
          <w:rFonts w:hint="eastAsia" w:ascii="宋体" w:hAnsi="宋体" w:cs="宋体"/>
          <w:sz w:val="24"/>
          <w:szCs w:val="24"/>
          <w:highlight w:val="none"/>
        </w:rPr>
        <w:t>投标保证金交纳证明复印件（银行转账记录）；</w:t>
      </w:r>
    </w:p>
    <w:p w14:paraId="55E6E41C">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t>6、</w:t>
      </w:r>
      <w:r>
        <w:rPr>
          <w:rFonts w:hint="eastAsia" w:ascii="宋体" w:hAnsi="宋体" w:cs="宋体"/>
          <w:sz w:val="24"/>
          <w:szCs w:val="24"/>
          <w:highlight w:val="none"/>
        </w:rPr>
        <w:t>良好的信用记录：未被“信用中国”网站（www.creditchina.gov.cn）列入失信被执</w:t>
      </w:r>
    </w:p>
    <w:p w14:paraId="206E7E0A">
      <w:pPr>
        <w:tabs>
          <w:tab w:val="left" w:pos="0"/>
          <w:tab w:val="left" w:pos="255"/>
        </w:tabs>
        <w:spacing w:line="360" w:lineRule="auto"/>
        <w:contextualSpacing/>
        <w:rPr>
          <w:rFonts w:ascii="宋体" w:hAnsi="宋体"/>
          <w:bCs/>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5876000D">
      <w:pPr>
        <w:tabs>
          <w:tab w:val="left" w:pos="0"/>
          <w:tab w:val="left" w:pos="2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注：以上“近十二个月”是指投标截止日之前近十二个月（不含投标当月）。</w:t>
      </w:r>
    </w:p>
    <w:p w14:paraId="7F5C4E11">
      <w:pPr>
        <w:tabs>
          <w:tab w:val="left" w:pos="255"/>
        </w:tabs>
        <w:spacing w:line="360" w:lineRule="auto"/>
        <w:jc w:val="left"/>
        <w:rPr>
          <w:rFonts w:ascii="黑体" w:hAnsi="宋体" w:eastAsia="黑体"/>
          <w:bCs/>
          <w:color w:val="000000"/>
          <w:sz w:val="24"/>
          <w:szCs w:val="24"/>
          <w:highlight w:val="none"/>
        </w:rPr>
      </w:pPr>
      <w:r>
        <w:rPr>
          <w:rFonts w:ascii="宋体" w:hAnsi="宋体"/>
          <w:bCs/>
          <w:sz w:val="24"/>
          <w:szCs w:val="24"/>
          <w:highlight w:val="none"/>
        </w:rPr>
        <w:br w:type="page"/>
      </w:r>
      <w:bookmarkStart w:id="289" w:name="OLE_LINK11"/>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招标文件第</w:t>
      </w:r>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章“项目技术要求和有关说明”中要求提供的相关证明材料（如有自行添加）：</w:t>
      </w:r>
    </w:p>
    <w:p w14:paraId="4B3550C4">
      <w:pPr>
        <w:spacing w:line="360" w:lineRule="auto"/>
        <w:rPr>
          <w:rFonts w:ascii="宋体" w:hAnsi="宋体"/>
          <w:bCs/>
          <w:sz w:val="24"/>
          <w:szCs w:val="24"/>
          <w:highlight w:val="none"/>
        </w:rPr>
      </w:pPr>
    </w:p>
    <w:p w14:paraId="40D881A5">
      <w:pPr>
        <w:pStyle w:val="14"/>
        <w:ind w:firstLine="400" w:firstLineChars="200"/>
        <w:rPr>
          <w:highlight w:val="none"/>
        </w:rPr>
      </w:pPr>
    </w:p>
    <w:p w14:paraId="4B7AEE3C">
      <w:pPr>
        <w:pStyle w:val="14"/>
        <w:ind w:firstLine="400" w:firstLineChars="200"/>
        <w:rPr>
          <w:highlight w:val="none"/>
        </w:rPr>
      </w:pPr>
    </w:p>
    <w:p w14:paraId="0A23B184">
      <w:pPr>
        <w:pStyle w:val="14"/>
        <w:ind w:firstLine="400" w:firstLineChars="200"/>
        <w:rPr>
          <w:highlight w:val="none"/>
        </w:rPr>
      </w:pPr>
    </w:p>
    <w:p w14:paraId="09EC7DF3">
      <w:pPr>
        <w:pStyle w:val="14"/>
        <w:ind w:firstLine="400" w:firstLineChars="200"/>
        <w:rPr>
          <w:highlight w:val="none"/>
        </w:rPr>
      </w:pPr>
    </w:p>
    <w:p w14:paraId="7501BC96">
      <w:pPr>
        <w:pStyle w:val="14"/>
        <w:ind w:firstLine="400" w:firstLineChars="200"/>
        <w:rPr>
          <w:highlight w:val="none"/>
        </w:rPr>
      </w:pPr>
    </w:p>
    <w:p w14:paraId="23628492">
      <w:pPr>
        <w:pStyle w:val="14"/>
        <w:ind w:firstLine="400" w:firstLineChars="200"/>
        <w:rPr>
          <w:highlight w:val="none"/>
        </w:rPr>
      </w:pPr>
    </w:p>
    <w:p w14:paraId="632082F7">
      <w:pPr>
        <w:pStyle w:val="14"/>
        <w:ind w:firstLine="400" w:firstLineChars="200"/>
        <w:rPr>
          <w:highlight w:val="none"/>
        </w:rPr>
      </w:pPr>
    </w:p>
    <w:p w14:paraId="25F649E3">
      <w:pPr>
        <w:pStyle w:val="14"/>
        <w:ind w:firstLine="400" w:firstLineChars="200"/>
        <w:rPr>
          <w:highlight w:val="none"/>
        </w:rPr>
      </w:pPr>
    </w:p>
    <w:p w14:paraId="5340F1A5">
      <w:pPr>
        <w:pStyle w:val="14"/>
        <w:ind w:firstLine="400" w:firstLineChars="200"/>
        <w:rPr>
          <w:highlight w:val="none"/>
        </w:rPr>
      </w:pPr>
    </w:p>
    <w:p w14:paraId="587866F2">
      <w:pPr>
        <w:pStyle w:val="14"/>
        <w:ind w:firstLine="400" w:firstLineChars="200"/>
        <w:rPr>
          <w:highlight w:val="none"/>
        </w:rPr>
      </w:pPr>
    </w:p>
    <w:p w14:paraId="4EC7B043">
      <w:pPr>
        <w:pStyle w:val="14"/>
        <w:ind w:firstLine="400" w:firstLineChars="200"/>
        <w:rPr>
          <w:highlight w:val="none"/>
        </w:rPr>
      </w:pPr>
    </w:p>
    <w:p w14:paraId="30AE1786">
      <w:pPr>
        <w:pStyle w:val="14"/>
        <w:ind w:firstLine="400" w:firstLineChars="200"/>
        <w:rPr>
          <w:highlight w:val="none"/>
        </w:rPr>
      </w:pPr>
    </w:p>
    <w:p w14:paraId="629A39E5">
      <w:pPr>
        <w:pStyle w:val="14"/>
        <w:ind w:firstLine="400" w:firstLineChars="200"/>
        <w:rPr>
          <w:highlight w:val="none"/>
        </w:rPr>
      </w:pPr>
    </w:p>
    <w:p w14:paraId="0719D1F8">
      <w:pPr>
        <w:pStyle w:val="14"/>
        <w:ind w:firstLine="400" w:firstLineChars="200"/>
        <w:rPr>
          <w:highlight w:val="none"/>
        </w:rPr>
      </w:pPr>
    </w:p>
    <w:p w14:paraId="28270751">
      <w:pPr>
        <w:pStyle w:val="14"/>
        <w:ind w:firstLine="400" w:firstLineChars="200"/>
        <w:rPr>
          <w:highlight w:val="none"/>
        </w:rPr>
      </w:pPr>
    </w:p>
    <w:p w14:paraId="3D410741">
      <w:pPr>
        <w:pStyle w:val="14"/>
        <w:ind w:firstLine="400" w:firstLineChars="200"/>
        <w:rPr>
          <w:highlight w:val="none"/>
        </w:rPr>
      </w:pPr>
    </w:p>
    <w:p w14:paraId="5CAE56A3">
      <w:pPr>
        <w:pStyle w:val="14"/>
        <w:ind w:firstLine="400" w:firstLineChars="200"/>
        <w:rPr>
          <w:highlight w:val="none"/>
        </w:rPr>
      </w:pPr>
    </w:p>
    <w:p w14:paraId="1EF43DB7">
      <w:pPr>
        <w:pStyle w:val="14"/>
        <w:ind w:firstLine="400" w:firstLineChars="200"/>
        <w:rPr>
          <w:highlight w:val="none"/>
        </w:rPr>
      </w:pPr>
    </w:p>
    <w:p w14:paraId="1143CBA3">
      <w:pPr>
        <w:pStyle w:val="14"/>
        <w:ind w:firstLine="400" w:firstLineChars="200"/>
        <w:rPr>
          <w:highlight w:val="none"/>
        </w:rPr>
      </w:pPr>
    </w:p>
    <w:p w14:paraId="6032A6B0">
      <w:pPr>
        <w:pStyle w:val="14"/>
        <w:ind w:firstLine="400" w:firstLineChars="200"/>
        <w:rPr>
          <w:highlight w:val="none"/>
        </w:rPr>
      </w:pPr>
    </w:p>
    <w:p w14:paraId="6BC3F11A">
      <w:pPr>
        <w:pStyle w:val="14"/>
        <w:ind w:firstLine="400" w:firstLineChars="200"/>
        <w:rPr>
          <w:highlight w:val="none"/>
        </w:rPr>
      </w:pPr>
    </w:p>
    <w:p w14:paraId="4B11D67C">
      <w:pPr>
        <w:pStyle w:val="14"/>
        <w:ind w:firstLine="400" w:firstLineChars="200"/>
        <w:rPr>
          <w:highlight w:val="none"/>
        </w:rPr>
      </w:pPr>
    </w:p>
    <w:p w14:paraId="6F361249">
      <w:pPr>
        <w:pStyle w:val="14"/>
        <w:ind w:firstLine="400" w:firstLineChars="200"/>
        <w:rPr>
          <w:highlight w:val="none"/>
        </w:rPr>
      </w:pPr>
    </w:p>
    <w:p w14:paraId="2C47C904">
      <w:pPr>
        <w:pStyle w:val="14"/>
        <w:ind w:firstLine="400" w:firstLineChars="200"/>
        <w:rPr>
          <w:highlight w:val="none"/>
        </w:rPr>
      </w:pPr>
    </w:p>
    <w:p w14:paraId="14DA6EDF">
      <w:pPr>
        <w:pStyle w:val="14"/>
        <w:ind w:firstLine="400" w:firstLineChars="200"/>
        <w:rPr>
          <w:highlight w:val="none"/>
        </w:rPr>
      </w:pPr>
    </w:p>
    <w:p w14:paraId="67CECCE0">
      <w:pPr>
        <w:pStyle w:val="14"/>
        <w:ind w:firstLine="400" w:firstLineChars="200"/>
        <w:rPr>
          <w:highlight w:val="none"/>
        </w:rPr>
      </w:pPr>
    </w:p>
    <w:p w14:paraId="528996EB">
      <w:pPr>
        <w:pStyle w:val="14"/>
        <w:ind w:firstLine="400" w:firstLineChars="200"/>
        <w:rPr>
          <w:highlight w:val="none"/>
        </w:rPr>
      </w:pPr>
    </w:p>
    <w:p w14:paraId="52003C95">
      <w:pPr>
        <w:pStyle w:val="14"/>
        <w:ind w:firstLine="400" w:firstLineChars="200"/>
        <w:rPr>
          <w:highlight w:val="none"/>
        </w:rPr>
      </w:pPr>
    </w:p>
    <w:p w14:paraId="2D719D70">
      <w:pPr>
        <w:pStyle w:val="14"/>
        <w:ind w:firstLine="400" w:firstLineChars="200"/>
        <w:rPr>
          <w:highlight w:val="none"/>
        </w:rPr>
      </w:pPr>
    </w:p>
    <w:p w14:paraId="10E8BD6D">
      <w:pPr>
        <w:pStyle w:val="14"/>
        <w:ind w:firstLine="400" w:firstLineChars="200"/>
        <w:rPr>
          <w:highlight w:val="none"/>
        </w:rPr>
      </w:pPr>
    </w:p>
    <w:p w14:paraId="43E5FA80">
      <w:pPr>
        <w:pStyle w:val="14"/>
        <w:ind w:firstLine="400" w:firstLineChars="200"/>
        <w:rPr>
          <w:highlight w:val="none"/>
        </w:rPr>
      </w:pPr>
    </w:p>
    <w:p w14:paraId="528CD94C">
      <w:pPr>
        <w:pStyle w:val="14"/>
        <w:ind w:firstLine="400" w:firstLineChars="200"/>
        <w:rPr>
          <w:highlight w:val="none"/>
        </w:rPr>
      </w:pPr>
    </w:p>
    <w:p w14:paraId="20ACD040">
      <w:pPr>
        <w:pStyle w:val="14"/>
        <w:ind w:firstLine="400" w:firstLineChars="200"/>
        <w:rPr>
          <w:highlight w:val="none"/>
        </w:rPr>
      </w:pPr>
    </w:p>
    <w:p w14:paraId="1701278D">
      <w:pPr>
        <w:pStyle w:val="14"/>
        <w:ind w:firstLine="400" w:firstLineChars="200"/>
        <w:rPr>
          <w:highlight w:val="none"/>
        </w:rPr>
      </w:pPr>
    </w:p>
    <w:p w14:paraId="1DD4BB4C">
      <w:pPr>
        <w:pStyle w:val="14"/>
        <w:ind w:firstLine="400" w:firstLineChars="200"/>
        <w:rPr>
          <w:highlight w:val="none"/>
        </w:rPr>
      </w:pPr>
    </w:p>
    <w:p w14:paraId="0A54B208">
      <w:pPr>
        <w:pStyle w:val="14"/>
        <w:ind w:firstLine="400" w:firstLineChars="200"/>
        <w:rPr>
          <w:highlight w:val="none"/>
        </w:rPr>
      </w:pPr>
    </w:p>
    <w:p w14:paraId="2BFE0131">
      <w:pPr>
        <w:pStyle w:val="14"/>
        <w:ind w:firstLine="400" w:firstLineChars="200"/>
        <w:rPr>
          <w:highlight w:val="none"/>
        </w:rPr>
      </w:pPr>
    </w:p>
    <w:p w14:paraId="343F4147">
      <w:pPr>
        <w:pStyle w:val="14"/>
        <w:ind w:firstLine="400" w:firstLineChars="200"/>
        <w:rPr>
          <w:highlight w:val="none"/>
        </w:rPr>
      </w:pPr>
    </w:p>
    <w:p w14:paraId="2ADEE359">
      <w:pPr>
        <w:pStyle w:val="14"/>
        <w:ind w:firstLine="400" w:firstLineChars="200"/>
        <w:rPr>
          <w:highlight w:val="none"/>
        </w:rPr>
      </w:pPr>
    </w:p>
    <w:p w14:paraId="4022667C">
      <w:pPr>
        <w:pStyle w:val="14"/>
        <w:ind w:firstLine="400" w:firstLineChars="200"/>
        <w:rPr>
          <w:highlight w:val="none"/>
        </w:rPr>
      </w:pPr>
    </w:p>
    <w:p w14:paraId="15DE92F9">
      <w:pPr>
        <w:pStyle w:val="14"/>
        <w:ind w:firstLine="400" w:firstLineChars="200"/>
        <w:rPr>
          <w:highlight w:val="none"/>
        </w:rPr>
      </w:pPr>
    </w:p>
    <w:p w14:paraId="684A9937">
      <w:pPr>
        <w:pStyle w:val="14"/>
        <w:ind w:firstLine="400" w:firstLineChars="200"/>
        <w:rPr>
          <w:highlight w:val="none"/>
        </w:rPr>
      </w:pPr>
    </w:p>
    <w:p w14:paraId="19E0C76B">
      <w:pPr>
        <w:pStyle w:val="14"/>
        <w:ind w:firstLine="400" w:firstLineChars="200"/>
        <w:rPr>
          <w:highlight w:val="none"/>
        </w:rPr>
      </w:pPr>
    </w:p>
    <w:p w14:paraId="012470B7">
      <w:pPr>
        <w:pStyle w:val="14"/>
        <w:ind w:firstLine="400" w:firstLineChars="200"/>
        <w:rPr>
          <w:highlight w:val="none"/>
        </w:rPr>
      </w:pPr>
    </w:p>
    <w:p w14:paraId="624D7602">
      <w:pPr>
        <w:pStyle w:val="14"/>
        <w:ind w:firstLine="400" w:firstLineChars="200"/>
        <w:rPr>
          <w:highlight w:val="none"/>
        </w:rPr>
      </w:pPr>
    </w:p>
    <w:p w14:paraId="429C7E05">
      <w:pPr>
        <w:pStyle w:val="14"/>
        <w:ind w:firstLine="400" w:firstLineChars="200"/>
        <w:rPr>
          <w:highlight w:val="none"/>
        </w:rPr>
      </w:pPr>
    </w:p>
    <w:p w14:paraId="2C564600">
      <w:pPr>
        <w:pStyle w:val="14"/>
        <w:ind w:firstLine="400" w:firstLineChars="200"/>
        <w:rPr>
          <w:highlight w:val="none"/>
        </w:rPr>
      </w:pPr>
    </w:p>
    <w:p w14:paraId="4712897C">
      <w:pPr>
        <w:pStyle w:val="14"/>
        <w:ind w:firstLine="400" w:firstLineChars="200"/>
        <w:rPr>
          <w:highlight w:val="none"/>
        </w:rPr>
      </w:pPr>
    </w:p>
    <w:p w14:paraId="346812C4">
      <w:pPr>
        <w:pStyle w:val="14"/>
        <w:ind w:firstLine="400" w:firstLineChars="200"/>
        <w:rPr>
          <w:highlight w:val="none"/>
        </w:rPr>
      </w:pPr>
    </w:p>
    <w:p w14:paraId="79271667">
      <w:pPr>
        <w:pStyle w:val="14"/>
        <w:ind w:firstLine="400" w:firstLineChars="200"/>
        <w:rPr>
          <w:highlight w:val="none"/>
        </w:rPr>
      </w:pPr>
    </w:p>
    <w:p w14:paraId="31A41534">
      <w:pPr>
        <w:pStyle w:val="14"/>
        <w:ind w:firstLine="400" w:firstLineChars="200"/>
        <w:rPr>
          <w:highlight w:val="none"/>
        </w:rPr>
      </w:pPr>
    </w:p>
    <w:p w14:paraId="14B01B29">
      <w:pPr>
        <w:pStyle w:val="14"/>
        <w:ind w:firstLine="400" w:firstLineChars="200"/>
        <w:rPr>
          <w:highlight w:val="none"/>
        </w:rPr>
      </w:pPr>
    </w:p>
    <w:p w14:paraId="66CCAF00">
      <w:pPr>
        <w:pStyle w:val="14"/>
        <w:ind w:firstLine="400" w:firstLineChars="200"/>
        <w:rPr>
          <w:highlight w:val="none"/>
        </w:rPr>
      </w:pPr>
    </w:p>
    <w:p w14:paraId="00A212FA">
      <w:pPr>
        <w:pStyle w:val="14"/>
        <w:ind w:firstLine="400" w:firstLineChars="200"/>
        <w:rPr>
          <w:highlight w:val="none"/>
        </w:rPr>
      </w:pPr>
    </w:p>
    <w:p w14:paraId="68FA0A45">
      <w:pPr>
        <w:pStyle w:val="14"/>
        <w:ind w:firstLine="400" w:firstLineChars="200"/>
        <w:rPr>
          <w:highlight w:val="none"/>
        </w:rPr>
      </w:pPr>
    </w:p>
    <w:p w14:paraId="45BF8485">
      <w:pPr>
        <w:pStyle w:val="14"/>
        <w:ind w:firstLine="400" w:firstLineChars="200"/>
        <w:rPr>
          <w:highlight w:val="none"/>
        </w:rPr>
      </w:pPr>
    </w:p>
    <w:p w14:paraId="7B8800E5">
      <w:pPr>
        <w:pStyle w:val="14"/>
        <w:ind w:firstLine="400" w:firstLineChars="200"/>
        <w:rPr>
          <w:highlight w:val="none"/>
        </w:rPr>
      </w:pPr>
    </w:p>
    <w:p w14:paraId="2BBFC70A">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（五）技术商务部分评分导读表（格式）：</w:t>
      </w:r>
    </w:p>
    <w:p w14:paraId="05722A34">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 xml:space="preserve"> 技术商务部分评分导读表</w:t>
      </w:r>
    </w:p>
    <w:p w14:paraId="4DB4E5B1">
      <w:pPr>
        <w:spacing w:after="120" w:afterLines="50"/>
        <w:ind w:firstLine="480" w:firstLineChars="200"/>
        <w:rPr>
          <w:rFonts w:ascii="宋体" w:hAnsi="宋体"/>
          <w:color w:val="000000"/>
          <w:sz w:val="24"/>
          <w:szCs w:val="24"/>
          <w:highlight w:val="none"/>
        </w:rPr>
      </w:pPr>
      <w:r>
        <w:rPr>
          <w:rFonts w:hint="eastAsia" w:ascii="宋体" w:hAnsi="宋体"/>
          <w:color w:val="000000"/>
          <w:sz w:val="24"/>
          <w:szCs w:val="24"/>
          <w:highlight w:val="none"/>
        </w:rPr>
        <w:t>项目名称：</w:t>
      </w:r>
      <w:r>
        <w:rPr>
          <w:rFonts w:hint="eastAsia" w:ascii="宋体" w:hAnsi="宋体"/>
          <w:color w:val="000000"/>
          <w:sz w:val="24"/>
          <w:szCs w:val="24"/>
          <w:highlight w:val="none"/>
          <w:lang w:eastAsia="zh-CN"/>
        </w:rPr>
        <w:t>宜兴市喷涂绿岛项目节能评估服务</w:t>
      </w:r>
      <w:r>
        <w:rPr>
          <w:rFonts w:hint="eastAsia" w:ascii="宋体" w:hAnsi="宋体"/>
          <w:color w:val="000000"/>
          <w:sz w:val="24"/>
          <w:szCs w:val="24"/>
          <w:highlight w:val="none"/>
        </w:rPr>
        <w:t xml:space="preserve">                                     </w:t>
      </w:r>
    </w:p>
    <w:p w14:paraId="79832FB3">
      <w:pPr>
        <w:spacing w:after="120" w:afterLines="50"/>
        <w:ind w:firstLine="480" w:firstLineChars="200"/>
        <w:rPr>
          <w:rFonts w:hint="eastAsia" w:ascii="宋体" w:hAnsi="宋体" w:eastAsia="宋体"/>
          <w:color w:val="000000"/>
          <w:sz w:val="24"/>
          <w:szCs w:val="21"/>
          <w:highlight w:val="none"/>
          <w:lang w:val="zh-CN" w:eastAsia="zh-CN"/>
        </w:rPr>
      </w:pPr>
      <w:r>
        <w:rPr>
          <w:rFonts w:hint="eastAsia" w:ascii="宋体" w:hAnsi="宋体"/>
          <w:color w:val="000000"/>
          <w:sz w:val="24"/>
          <w:szCs w:val="24"/>
          <w:highlight w:val="none"/>
        </w:rPr>
        <w:t>项目编号：</w:t>
      </w:r>
      <w:r>
        <w:rPr>
          <w:rFonts w:hint="eastAsia" w:ascii="宋体" w:hAnsi="宋体"/>
          <w:color w:val="000000"/>
          <w:sz w:val="24"/>
          <w:szCs w:val="24"/>
          <w:highlight w:val="none"/>
          <w:lang w:eastAsia="zh-CN"/>
        </w:rPr>
        <w:t>YXGYJT202601009</w:t>
      </w:r>
    </w:p>
    <w:tbl>
      <w:tblPr>
        <w:tblStyle w:val="35"/>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302"/>
        <w:gridCol w:w="1134"/>
        <w:gridCol w:w="1701"/>
        <w:gridCol w:w="2801"/>
      </w:tblGrid>
      <w:tr w14:paraId="1667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vAlign w:val="center"/>
          </w:tcPr>
          <w:p w14:paraId="3CC86882">
            <w:pPr>
              <w:jc w:val="center"/>
              <w:rPr>
                <w:sz w:val="24"/>
                <w:highlight w:val="none"/>
                <w:lang w:val="zh-CN"/>
              </w:rPr>
            </w:pPr>
            <w:r>
              <w:rPr>
                <w:rFonts w:hint="eastAsia" w:ascii="宋体" w:hAnsi="宋体"/>
                <w:color w:val="000000"/>
                <w:sz w:val="24"/>
                <w:szCs w:val="24"/>
                <w:highlight w:val="none"/>
              </w:rPr>
              <w:t>序号</w:t>
            </w:r>
          </w:p>
        </w:tc>
        <w:tc>
          <w:tcPr>
            <w:tcW w:w="2302" w:type="dxa"/>
            <w:shd w:val="clear" w:color="auto" w:fill="auto"/>
            <w:vAlign w:val="center"/>
          </w:tcPr>
          <w:p w14:paraId="057E311D">
            <w:pPr>
              <w:jc w:val="center"/>
              <w:rPr>
                <w:sz w:val="24"/>
                <w:highlight w:val="none"/>
                <w:lang w:val="zh-CN"/>
              </w:rPr>
            </w:pPr>
            <w:r>
              <w:rPr>
                <w:rFonts w:hint="eastAsia" w:ascii="宋体" w:hAnsi="宋体"/>
                <w:color w:val="000000"/>
                <w:sz w:val="24"/>
                <w:szCs w:val="24"/>
                <w:highlight w:val="none"/>
              </w:rPr>
              <w:t>评审项目</w:t>
            </w:r>
          </w:p>
        </w:tc>
        <w:tc>
          <w:tcPr>
            <w:tcW w:w="1134" w:type="dxa"/>
            <w:shd w:val="clear" w:color="auto" w:fill="auto"/>
            <w:vAlign w:val="center"/>
          </w:tcPr>
          <w:p w14:paraId="63159053">
            <w:pPr>
              <w:jc w:val="center"/>
              <w:rPr>
                <w:sz w:val="24"/>
                <w:highlight w:val="none"/>
                <w:lang w:val="zh-CN"/>
              </w:rPr>
            </w:pPr>
            <w:r>
              <w:rPr>
                <w:rFonts w:hint="eastAsia" w:ascii="宋体" w:hAnsi="宋体"/>
                <w:color w:val="000000"/>
                <w:sz w:val="24"/>
                <w:szCs w:val="24"/>
                <w:highlight w:val="none"/>
              </w:rPr>
              <w:t>分值</w:t>
            </w:r>
          </w:p>
        </w:tc>
        <w:tc>
          <w:tcPr>
            <w:tcW w:w="1701" w:type="dxa"/>
            <w:shd w:val="clear" w:color="auto" w:fill="auto"/>
            <w:vAlign w:val="center"/>
          </w:tcPr>
          <w:p w14:paraId="13B387B9">
            <w:pPr>
              <w:jc w:val="center"/>
              <w:rPr>
                <w:sz w:val="24"/>
                <w:highlight w:val="none"/>
                <w:lang w:val="zh-CN"/>
              </w:rPr>
            </w:pPr>
            <w:r>
              <w:rPr>
                <w:rFonts w:hint="eastAsia" w:ascii="宋体" w:hAnsi="宋体"/>
                <w:color w:val="000000"/>
                <w:sz w:val="24"/>
                <w:szCs w:val="24"/>
                <w:highlight w:val="none"/>
              </w:rPr>
              <w:t>响应情况</w:t>
            </w:r>
          </w:p>
        </w:tc>
        <w:tc>
          <w:tcPr>
            <w:tcW w:w="2801" w:type="dxa"/>
            <w:shd w:val="clear" w:color="auto" w:fill="auto"/>
            <w:vAlign w:val="center"/>
          </w:tcPr>
          <w:p w14:paraId="57A7FD59">
            <w:pPr>
              <w:jc w:val="center"/>
              <w:rPr>
                <w:sz w:val="24"/>
                <w:highlight w:val="none"/>
                <w:lang w:val="zh-CN"/>
              </w:rPr>
            </w:pPr>
            <w:r>
              <w:rPr>
                <w:rFonts w:hint="eastAsia" w:ascii="宋体" w:hAnsi="宋体"/>
                <w:color w:val="000000"/>
                <w:sz w:val="24"/>
                <w:szCs w:val="24"/>
                <w:highlight w:val="none"/>
              </w:rPr>
              <w:t>投标文件对应页码</w:t>
            </w:r>
          </w:p>
        </w:tc>
      </w:tr>
      <w:tr w14:paraId="663E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303EB48F">
            <w:pPr>
              <w:rPr>
                <w:sz w:val="24"/>
                <w:highlight w:val="none"/>
                <w:lang w:val="zh-CN"/>
              </w:rPr>
            </w:pPr>
          </w:p>
        </w:tc>
        <w:tc>
          <w:tcPr>
            <w:tcW w:w="2302" w:type="dxa"/>
            <w:shd w:val="clear" w:color="auto" w:fill="auto"/>
          </w:tcPr>
          <w:p w14:paraId="0395D4FD">
            <w:pPr>
              <w:rPr>
                <w:sz w:val="24"/>
                <w:highlight w:val="none"/>
                <w:lang w:val="zh-CN"/>
              </w:rPr>
            </w:pPr>
          </w:p>
        </w:tc>
        <w:tc>
          <w:tcPr>
            <w:tcW w:w="1134" w:type="dxa"/>
            <w:shd w:val="clear" w:color="auto" w:fill="auto"/>
          </w:tcPr>
          <w:p w14:paraId="63460CEE">
            <w:pPr>
              <w:rPr>
                <w:sz w:val="24"/>
                <w:highlight w:val="none"/>
                <w:lang w:val="zh-CN"/>
              </w:rPr>
            </w:pPr>
          </w:p>
        </w:tc>
        <w:tc>
          <w:tcPr>
            <w:tcW w:w="1701" w:type="dxa"/>
            <w:shd w:val="clear" w:color="auto" w:fill="auto"/>
          </w:tcPr>
          <w:p w14:paraId="5E836C68">
            <w:pPr>
              <w:rPr>
                <w:sz w:val="24"/>
                <w:highlight w:val="none"/>
                <w:lang w:val="zh-CN"/>
              </w:rPr>
            </w:pPr>
          </w:p>
        </w:tc>
        <w:tc>
          <w:tcPr>
            <w:tcW w:w="2801" w:type="dxa"/>
            <w:shd w:val="clear" w:color="auto" w:fill="auto"/>
          </w:tcPr>
          <w:p w14:paraId="5753F97D">
            <w:pPr>
              <w:rPr>
                <w:sz w:val="24"/>
                <w:highlight w:val="none"/>
                <w:lang w:val="zh-CN"/>
              </w:rPr>
            </w:pPr>
          </w:p>
        </w:tc>
      </w:tr>
      <w:tr w14:paraId="301B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7D6EBC6E">
            <w:pPr>
              <w:rPr>
                <w:sz w:val="24"/>
                <w:highlight w:val="none"/>
                <w:lang w:val="zh-CN"/>
              </w:rPr>
            </w:pPr>
          </w:p>
        </w:tc>
        <w:tc>
          <w:tcPr>
            <w:tcW w:w="2302" w:type="dxa"/>
            <w:shd w:val="clear" w:color="auto" w:fill="auto"/>
          </w:tcPr>
          <w:p w14:paraId="6E00EF6C">
            <w:pPr>
              <w:rPr>
                <w:sz w:val="24"/>
                <w:highlight w:val="none"/>
                <w:lang w:val="zh-CN"/>
              </w:rPr>
            </w:pPr>
          </w:p>
        </w:tc>
        <w:tc>
          <w:tcPr>
            <w:tcW w:w="1134" w:type="dxa"/>
            <w:shd w:val="clear" w:color="auto" w:fill="auto"/>
          </w:tcPr>
          <w:p w14:paraId="18A90F6E">
            <w:pPr>
              <w:rPr>
                <w:sz w:val="24"/>
                <w:highlight w:val="none"/>
                <w:lang w:val="zh-CN"/>
              </w:rPr>
            </w:pPr>
          </w:p>
        </w:tc>
        <w:tc>
          <w:tcPr>
            <w:tcW w:w="1701" w:type="dxa"/>
            <w:shd w:val="clear" w:color="auto" w:fill="auto"/>
          </w:tcPr>
          <w:p w14:paraId="12EB4619">
            <w:pPr>
              <w:rPr>
                <w:sz w:val="24"/>
                <w:highlight w:val="none"/>
                <w:lang w:val="zh-CN"/>
              </w:rPr>
            </w:pPr>
          </w:p>
        </w:tc>
        <w:tc>
          <w:tcPr>
            <w:tcW w:w="2801" w:type="dxa"/>
            <w:shd w:val="clear" w:color="auto" w:fill="auto"/>
          </w:tcPr>
          <w:p w14:paraId="4C937894">
            <w:pPr>
              <w:rPr>
                <w:sz w:val="24"/>
                <w:highlight w:val="none"/>
                <w:lang w:val="zh-CN"/>
              </w:rPr>
            </w:pPr>
          </w:p>
        </w:tc>
      </w:tr>
      <w:tr w14:paraId="6C7D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F6071A0">
            <w:pPr>
              <w:rPr>
                <w:sz w:val="24"/>
                <w:highlight w:val="none"/>
                <w:lang w:val="zh-CN"/>
              </w:rPr>
            </w:pPr>
          </w:p>
        </w:tc>
        <w:tc>
          <w:tcPr>
            <w:tcW w:w="2302" w:type="dxa"/>
            <w:shd w:val="clear" w:color="auto" w:fill="auto"/>
          </w:tcPr>
          <w:p w14:paraId="01C86B8B">
            <w:pPr>
              <w:rPr>
                <w:sz w:val="24"/>
                <w:highlight w:val="none"/>
                <w:lang w:val="zh-CN"/>
              </w:rPr>
            </w:pPr>
          </w:p>
        </w:tc>
        <w:tc>
          <w:tcPr>
            <w:tcW w:w="1134" w:type="dxa"/>
            <w:shd w:val="clear" w:color="auto" w:fill="auto"/>
          </w:tcPr>
          <w:p w14:paraId="5B1651E4">
            <w:pPr>
              <w:rPr>
                <w:sz w:val="24"/>
                <w:highlight w:val="none"/>
                <w:lang w:val="zh-CN"/>
              </w:rPr>
            </w:pPr>
          </w:p>
        </w:tc>
        <w:tc>
          <w:tcPr>
            <w:tcW w:w="1701" w:type="dxa"/>
            <w:shd w:val="clear" w:color="auto" w:fill="auto"/>
          </w:tcPr>
          <w:p w14:paraId="2675D816">
            <w:pPr>
              <w:rPr>
                <w:sz w:val="24"/>
                <w:highlight w:val="none"/>
                <w:lang w:val="zh-CN"/>
              </w:rPr>
            </w:pPr>
          </w:p>
        </w:tc>
        <w:tc>
          <w:tcPr>
            <w:tcW w:w="2801" w:type="dxa"/>
            <w:shd w:val="clear" w:color="auto" w:fill="auto"/>
          </w:tcPr>
          <w:p w14:paraId="01F42324">
            <w:pPr>
              <w:rPr>
                <w:sz w:val="24"/>
                <w:highlight w:val="none"/>
                <w:lang w:val="zh-CN"/>
              </w:rPr>
            </w:pPr>
          </w:p>
        </w:tc>
      </w:tr>
      <w:tr w14:paraId="1D2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5B9069D">
            <w:pPr>
              <w:rPr>
                <w:sz w:val="24"/>
                <w:highlight w:val="none"/>
                <w:lang w:val="zh-CN"/>
              </w:rPr>
            </w:pPr>
          </w:p>
        </w:tc>
        <w:tc>
          <w:tcPr>
            <w:tcW w:w="2302" w:type="dxa"/>
            <w:shd w:val="clear" w:color="auto" w:fill="auto"/>
          </w:tcPr>
          <w:p w14:paraId="585D91E0">
            <w:pPr>
              <w:rPr>
                <w:sz w:val="24"/>
                <w:highlight w:val="none"/>
                <w:lang w:val="zh-CN"/>
              </w:rPr>
            </w:pPr>
          </w:p>
        </w:tc>
        <w:tc>
          <w:tcPr>
            <w:tcW w:w="1134" w:type="dxa"/>
            <w:shd w:val="clear" w:color="auto" w:fill="auto"/>
          </w:tcPr>
          <w:p w14:paraId="788DAF60">
            <w:pPr>
              <w:rPr>
                <w:sz w:val="24"/>
                <w:highlight w:val="none"/>
                <w:lang w:val="zh-CN"/>
              </w:rPr>
            </w:pPr>
          </w:p>
        </w:tc>
        <w:tc>
          <w:tcPr>
            <w:tcW w:w="1701" w:type="dxa"/>
            <w:shd w:val="clear" w:color="auto" w:fill="auto"/>
          </w:tcPr>
          <w:p w14:paraId="3AFEE26E">
            <w:pPr>
              <w:rPr>
                <w:sz w:val="24"/>
                <w:highlight w:val="none"/>
                <w:lang w:val="zh-CN"/>
              </w:rPr>
            </w:pPr>
          </w:p>
        </w:tc>
        <w:tc>
          <w:tcPr>
            <w:tcW w:w="2801" w:type="dxa"/>
            <w:shd w:val="clear" w:color="auto" w:fill="auto"/>
          </w:tcPr>
          <w:p w14:paraId="58E8ACF0">
            <w:pPr>
              <w:rPr>
                <w:sz w:val="24"/>
                <w:highlight w:val="none"/>
                <w:lang w:val="zh-CN"/>
              </w:rPr>
            </w:pPr>
          </w:p>
        </w:tc>
      </w:tr>
      <w:tr w14:paraId="169C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22A00A4">
            <w:pPr>
              <w:rPr>
                <w:sz w:val="24"/>
                <w:highlight w:val="none"/>
                <w:lang w:val="zh-CN"/>
              </w:rPr>
            </w:pPr>
          </w:p>
        </w:tc>
        <w:tc>
          <w:tcPr>
            <w:tcW w:w="2302" w:type="dxa"/>
            <w:shd w:val="clear" w:color="auto" w:fill="auto"/>
          </w:tcPr>
          <w:p w14:paraId="5EE0081D">
            <w:pPr>
              <w:rPr>
                <w:sz w:val="24"/>
                <w:highlight w:val="none"/>
                <w:lang w:val="zh-CN"/>
              </w:rPr>
            </w:pPr>
          </w:p>
        </w:tc>
        <w:tc>
          <w:tcPr>
            <w:tcW w:w="1134" w:type="dxa"/>
            <w:shd w:val="clear" w:color="auto" w:fill="auto"/>
          </w:tcPr>
          <w:p w14:paraId="60454B7B">
            <w:pPr>
              <w:rPr>
                <w:sz w:val="24"/>
                <w:highlight w:val="none"/>
                <w:lang w:val="zh-CN"/>
              </w:rPr>
            </w:pPr>
          </w:p>
        </w:tc>
        <w:tc>
          <w:tcPr>
            <w:tcW w:w="1701" w:type="dxa"/>
            <w:shd w:val="clear" w:color="auto" w:fill="auto"/>
          </w:tcPr>
          <w:p w14:paraId="1D8BADF6">
            <w:pPr>
              <w:rPr>
                <w:sz w:val="24"/>
                <w:highlight w:val="none"/>
                <w:lang w:val="zh-CN"/>
              </w:rPr>
            </w:pPr>
          </w:p>
        </w:tc>
        <w:tc>
          <w:tcPr>
            <w:tcW w:w="2801" w:type="dxa"/>
            <w:shd w:val="clear" w:color="auto" w:fill="auto"/>
          </w:tcPr>
          <w:p w14:paraId="4CAC631D">
            <w:pPr>
              <w:rPr>
                <w:sz w:val="24"/>
                <w:highlight w:val="none"/>
                <w:lang w:val="zh-CN"/>
              </w:rPr>
            </w:pPr>
          </w:p>
        </w:tc>
      </w:tr>
      <w:tr w14:paraId="5148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1F79F64">
            <w:pPr>
              <w:rPr>
                <w:sz w:val="24"/>
                <w:highlight w:val="none"/>
                <w:lang w:val="zh-CN"/>
              </w:rPr>
            </w:pPr>
          </w:p>
        </w:tc>
        <w:tc>
          <w:tcPr>
            <w:tcW w:w="2302" w:type="dxa"/>
            <w:shd w:val="clear" w:color="auto" w:fill="auto"/>
          </w:tcPr>
          <w:p w14:paraId="172D1809">
            <w:pPr>
              <w:rPr>
                <w:sz w:val="24"/>
                <w:highlight w:val="none"/>
                <w:lang w:val="zh-CN"/>
              </w:rPr>
            </w:pPr>
          </w:p>
        </w:tc>
        <w:tc>
          <w:tcPr>
            <w:tcW w:w="1134" w:type="dxa"/>
            <w:shd w:val="clear" w:color="auto" w:fill="auto"/>
          </w:tcPr>
          <w:p w14:paraId="5D10FABD">
            <w:pPr>
              <w:rPr>
                <w:sz w:val="24"/>
                <w:highlight w:val="none"/>
                <w:lang w:val="zh-CN"/>
              </w:rPr>
            </w:pPr>
          </w:p>
        </w:tc>
        <w:tc>
          <w:tcPr>
            <w:tcW w:w="1701" w:type="dxa"/>
            <w:shd w:val="clear" w:color="auto" w:fill="auto"/>
          </w:tcPr>
          <w:p w14:paraId="0A30B4D6">
            <w:pPr>
              <w:rPr>
                <w:sz w:val="24"/>
                <w:highlight w:val="none"/>
                <w:lang w:val="zh-CN"/>
              </w:rPr>
            </w:pPr>
          </w:p>
        </w:tc>
        <w:tc>
          <w:tcPr>
            <w:tcW w:w="2801" w:type="dxa"/>
            <w:shd w:val="clear" w:color="auto" w:fill="auto"/>
          </w:tcPr>
          <w:p w14:paraId="0F09D787">
            <w:pPr>
              <w:rPr>
                <w:sz w:val="24"/>
                <w:highlight w:val="none"/>
                <w:lang w:val="zh-CN"/>
              </w:rPr>
            </w:pPr>
          </w:p>
        </w:tc>
      </w:tr>
    </w:tbl>
    <w:p w14:paraId="6ABED11D">
      <w:pPr>
        <w:rPr>
          <w:sz w:val="20"/>
          <w:highlight w:val="none"/>
          <w:lang w:val="zh-CN"/>
        </w:rPr>
      </w:pPr>
    </w:p>
    <w:p w14:paraId="3FCD5343">
      <w:pPr>
        <w:ind w:firstLine="420"/>
        <w:rPr>
          <w:sz w:val="20"/>
          <w:highlight w:val="none"/>
          <w:lang w:val="zh-CN"/>
        </w:rPr>
      </w:pPr>
    </w:p>
    <w:p w14:paraId="7DE88F35">
      <w:pPr>
        <w:ind w:left="4550" w:hanging="4550"/>
        <w:rPr>
          <w:sz w:val="20"/>
          <w:highlight w:val="none"/>
          <w:lang w:val="zh-CN"/>
        </w:rPr>
      </w:pPr>
    </w:p>
    <w:p w14:paraId="49F571C1">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4DBBA8E4">
      <w:pPr>
        <w:ind w:left="4550" w:hanging="4550"/>
        <w:rPr>
          <w:sz w:val="20"/>
          <w:highlight w:val="none"/>
          <w:lang w:val="zh-CN"/>
        </w:rPr>
      </w:pPr>
    </w:p>
    <w:p w14:paraId="295DB66D">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2F215CA8">
      <w:pPr>
        <w:spacing w:line="580" w:lineRule="exact"/>
        <w:ind w:firstLine="480" w:firstLineChars="200"/>
        <w:rPr>
          <w:rFonts w:ascii="宋体" w:hAnsi="宋体"/>
          <w:bCs/>
          <w:color w:val="000000"/>
          <w:sz w:val="24"/>
          <w:szCs w:val="24"/>
          <w:highlight w:val="none"/>
          <w:lang w:val="zh-CN"/>
        </w:rPr>
      </w:pPr>
    </w:p>
    <w:p w14:paraId="58B5BFCD">
      <w:pPr>
        <w:spacing w:line="580" w:lineRule="exact"/>
        <w:ind w:firstLine="480" w:firstLineChars="200"/>
        <w:rPr>
          <w:rFonts w:ascii="黑体" w:hAnsi="宋体" w:eastAsia="黑体"/>
          <w:bCs/>
          <w:color w:val="000000"/>
          <w:sz w:val="24"/>
          <w:szCs w:val="24"/>
          <w:highlight w:val="none"/>
          <w:lang w:val="zh-CN"/>
        </w:rPr>
      </w:pPr>
      <w:r>
        <w:rPr>
          <w:rFonts w:hint="eastAsia" w:ascii="宋体" w:hAnsi="宋体"/>
          <w:bCs/>
          <w:color w:val="000000"/>
          <w:sz w:val="24"/>
          <w:szCs w:val="24"/>
          <w:highlight w:val="none"/>
          <w:lang w:val="zh-CN"/>
        </w:rPr>
        <w:t>注：供应商应对照招标文件“第</w:t>
      </w:r>
      <w:r>
        <w:rPr>
          <w:rFonts w:hint="eastAsia" w:ascii="宋体" w:hAnsi="宋体"/>
          <w:bCs/>
          <w:color w:val="000000"/>
          <w:sz w:val="24"/>
          <w:szCs w:val="24"/>
          <w:highlight w:val="none"/>
        </w:rPr>
        <w:t>三</w:t>
      </w:r>
      <w:r>
        <w:rPr>
          <w:rFonts w:hint="eastAsia" w:ascii="宋体" w:hAnsi="宋体"/>
          <w:bCs/>
          <w:color w:val="000000"/>
          <w:sz w:val="24"/>
          <w:szCs w:val="24"/>
          <w:highlight w:val="none"/>
          <w:lang w:val="zh-CN"/>
        </w:rPr>
        <w:t>章</w:t>
      </w:r>
      <w:r>
        <w:rPr>
          <w:rFonts w:hint="eastAsia" w:ascii="宋体" w:hAnsi="宋体"/>
          <w:bCs/>
          <w:color w:val="000000"/>
          <w:sz w:val="24"/>
          <w:szCs w:val="24"/>
          <w:highlight w:val="none"/>
        </w:rPr>
        <w:t xml:space="preserve"> </w:t>
      </w:r>
      <w:r>
        <w:rPr>
          <w:rFonts w:hint="eastAsia" w:ascii="宋体" w:hAnsi="宋体"/>
          <w:bCs/>
          <w:color w:val="000000"/>
          <w:sz w:val="24"/>
          <w:szCs w:val="24"/>
          <w:highlight w:val="none"/>
          <w:lang w:val="zh-CN"/>
        </w:rPr>
        <w:t>评标方法和标准”的相关要求，根据自身响应情况填写上表；并在“</w:t>
      </w:r>
      <w:r>
        <w:rPr>
          <w:rFonts w:hint="eastAsia" w:ascii="宋体" w:hAnsi="宋体"/>
          <w:color w:val="000000"/>
          <w:sz w:val="24"/>
          <w:szCs w:val="24"/>
          <w:highlight w:val="none"/>
        </w:rPr>
        <w:t>响应情况</w:t>
      </w:r>
      <w:r>
        <w:rPr>
          <w:rFonts w:hint="eastAsia" w:ascii="宋体" w:hAnsi="宋体"/>
          <w:bCs/>
          <w:color w:val="000000"/>
          <w:sz w:val="24"/>
          <w:szCs w:val="24"/>
          <w:highlight w:val="none"/>
          <w:lang w:val="zh-CN"/>
        </w:rPr>
        <w:t>”栏填入所提供的证明材料清单，</w:t>
      </w:r>
      <w:r>
        <w:rPr>
          <w:rFonts w:hint="eastAsia" w:ascii="宋体" w:hAnsi="宋体"/>
          <w:bCs/>
          <w:color w:val="000000"/>
          <w:sz w:val="24"/>
          <w:szCs w:val="24"/>
          <w:highlight w:val="none"/>
        </w:rPr>
        <w:t>没有证明材料的此栏填“无”</w:t>
      </w:r>
      <w:r>
        <w:rPr>
          <w:rFonts w:hint="eastAsia" w:ascii="宋体" w:hAnsi="宋体"/>
          <w:bCs/>
          <w:color w:val="000000"/>
          <w:sz w:val="24"/>
          <w:szCs w:val="24"/>
          <w:highlight w:val="none"/>
          <w:lang w:val="zh-CN"/>
        </w:rPr>
        <w:t>。</w:t>
      </w:r>
    </w:p>
    <w:p w14:paraId="04ACB3CC">
      <w:pPr>
        <w:spacing w:line="580" w:lineRule="exact"/>
        <w:rPr>
          <w:rFonts w:ascii="黑体" w:hAnsi="宋体" w:eastAsia="黑体"/>
          <w:bCs/>
          <w:color w:val="000000"/>
          <w:sz w:val="24"/>
          <w:szCs w:val="24"/>
          <w:highlight w:val="none"/>
          <w:lang w:val="zh-CN"/>
        </w:rPr>
      </w:pPr>
    </w:p>
    <w:p w14:paraId="1C276161">
      <w:pPr>
        <w:rPr>
          <w:sz w:val="20"/>
          <w:highlight w:val="none"/>
          <w:lang w:val="zh-CN"/>
        </w:rPr>
      </w:pPr>
    </w:p>
    <w:p w14:paraId="50C2DAB5">
      <w:pPr>
        <w:spacing w:line="580" w:lineRule="exact"/>
        <w:rPr>
          <w:sz w:val="20"/>
          <w:highlight w:val="none"/>
          <w:lang w:val="zh-CN"/>
        </w:rPr>
      </w:pPr>
    </w:p>
    <w:p w14:paraId="0566B771">
      <w:pPr>
        <w:pStyle w:val="14"/>
        <w:ind w:firstLine="400" w:firstLineChars="200"/>
        <w:rPr>
          <w:highlight w:val="none"/>
          <w:lang w:val="zh-CN"/>
        </w:rPr>
      </w:pPr>
    </w:p>
    <w:p w14:paraId="3F451B21">
      <w:pPr>
        <w:pStyle w:val="14"/>
        <w:ind w:firstLine="400" w:firstLineChars="200"/>
        <w:rPr>
          <w:highlight w:val="none"/>
          <w:lang w:val="zh-CN"/>
        </w:rPr>
      </w:pPr>
    </w:p>
    <w:p w14:paraId="50DD35D5">
      <w:pPr>
        <w:pStyle w:val="14"/>
        <w:ind w:firstLine="400" w:firstLineChars="200"/>
        <w:rPr>
          <w:highlight w:val="none"/>
          <w:lang w:val="zh-CN"/>
        </w:rPr>
      </w:pPr>
    </w:p>
    <w:p w14:paraId="72D60EAC">
      <w:pPr>
        <w:pStyle w:val="14"/>
        <w:ind w:firstLine="400" w:firstLineChars="200"/>
        <w:rPr>
          <w:highlight w:val="none"/>
          <w:lang w:val="zh-CN"/>
        </w:rPr>
      </w:pPr>
    </w:p>
    <w:p w14:paraId="4FAC4FB5">
      <w:pPr>
        <w:pStyle w:val="14"/>
        <w:ind w:firstLine="400" w:firstLineChars="200"/>
        <w:rPr>
          <w:highlight w:val="none"/>
          <w:lang w:val="zh-CN"/>
        </w:rPr>
      </w:pPr>
    </w:p>
    <w:p w14:paraId="398AB0E1">
      <w:pPr>
        <w:pStyle w:val="14"/>
        <w:ind w:firstLine="400" w:firstLineChars="200"/>
        <w:rPr>
          <w:highlight w:val="none"/>
          <w:lang w:val="zh-CN"/>
        </w:rPr>
      </w:pPr>
    </w:p>
    <w:p w14:paraId="0659518B">
      <w:pPr>
        <w:pStyle w:val="14"/>
        <w:ind w:firstLine="400" w:firstLineChars="200"/>
        <w:rPr>
          <w:highlight w:val="none"/>
          <w:lang w:val="zh-CN"/>
        </w:rPr>
      </w:pPr>
    </w:p>
    <w:p w14:paraId="54BC6348">
      <w:pPr>
        <w:pStyle w:val="14"/>
        <w:ind w:firstLine="400" w:firstLineChars="200"/>
        <w:rPr>
          <w:highlight w:val="none"/>
          <w:lang w:val="zh-CN"/>
        </w:rPr>
      </w:pPr>
    </w:p>
    <w:p w14:paraId="339C7B77">
      <w:pPr>
        <w:pStyle w:val="14"/>
        <w:ind w:firstLine="400" w:firstLineChars="200"/>
        <w:rPr>
          <w:highlight w:val="none"/>
          <w:lang w:val="zh-CN"/>
        </w:rPr>
      </w:pPr>
    </w:p>
    <w:p w14:paraId="5E8A851A">
      <w:pPr>
        <w:pStyle w:val="14"/>
        <w:ind w:firstLine="400" w:firstLineChars="200"/>
        <w:rPr>
          <w:highlight w:val="none"/>
          <w:lang w:val="zh-CN"/>
        </w:rPr>
      </w:pPr>
    </w:p>
    <w:p w14:paraId="22075A81">
      <w:pPr>
        <w:pStyle w:val="14"/>
        <w:ind w:firstLine="400" w:firstLineChars="200"/>
        <w:rPr>
          <w:highlight w:val="none"/>
          <w:lang w:val="zh-CN"/>
        </w:rPr>
      </w:pPr>
    </w:p>
    <w:p w14:paraId="6C6397F2">
      <w:pPr>
        <w:pStyle w:val="14"/>
        <w:ind w:firstLine="400" w:firstLineChars="200"/>
        <w:rPr>
          <w:highlight w:val="none"/>
          <w:lang w:val="zh-CN"/>
        </w:rPr>
      </w:pPr>
    </w:p>
    <w:p w14:paraId="657FF666">
      <w:pPr>
        <w:pStyle w:val="14"/>
        <w:ind w:firstLine="400" w:firstLineChars="200"/>
        <w:rPr>
          <w:highlight w:val="none"/>
          <w:lang w:val="zh-CN"/>
        </w:rPr>
      </w:pPr>
    </w:p>
    <w:p w14:paraId="5059BF2B">
      <w:pPr>
        <w:pStyle w:val="14"/>
        <w:ind w:firstLine="400" w:firstLineChars="200"/>
        <w:rPr>
          <w:highlight w:val="none"/>
          <w:lang w:val="zh-CN"/>
        </w:rPr>
      </w:pPr>
    </w:p>
    <w:bookmarkEnd w:id="289"/>
    <w:p w14:paraId="0376CBF4">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（六）服务内容的详细说明及服务方案（格式自拟）：</w:t>
      </w:r>
    </w:p>
    <w:p w14:paraId="4908C1F6">
      <w:pPr>
        <w:pStyle w:val="14"/>
        <w:tabs>
          <w:tab w:val="left" w:pos="167"/>
        </w:tabs>
        <w:spacing w:line="360" w:lineRule="auto"/>
        <w:rPr>
          <w:highlight w:val="none"/>
          <w:lang w:val="zh-CN"/>
        </w:rPr>
      </w:pPr>
    </w:p>
    <w:p w14:paraId="335DAF7D">
      <w:pPr>
        <w:pStyle w:val="14"/>
        <w:tabs>
          <w:tab w:val="left" w:pos="167"/>
        </w:tabs>
        <w:spacing w:line="360" w:lineRule="auto"/>
        <w:rPr>
          <w:highlight w:val="none"/>
          <w:lang w:val="zh-CN"/>
        </w:rPr>
      </w:pPr>
    </w:p>
    <w:p w14:paraId="11DB1DB5">
      <w:pPr>
        <w:pStyle w:val="14"/>
        <w:tabs>
          <w:tab w:val="left" w:pos="167"/>
        </w:tabs>
        <w:spacing w:line="360" w:lineRule="auto"/>
        <w:rPr>
          <w:highlight w:val="none"/>
          <w:lang w:val="zh-CN"/>
        </w:rPr>
      </w:pPr>
    </w:p>
    <w:p w14:paraId="3B34788A">
      <w:pPr>
        <w:pStyle w:val="14"/>
        <w:tabs>
          <w:tab w:val="left" w:pos="167"/>
        </w:tabs>
        <w:spacing w:line="360" w:lineRule="auto"/>
        <w:rPr>
          <w:highlight w:val="none"/>
          <w:lang w:val="zh-CN"/>
        </w:rPr>
      </w:pPr>
    </w:p>
    <w:p w14:paraId="079AB324">
      <w:pPr>
        <w:pStyle w:val="14"/>
        <w:tabs>
          <w:tab w:val="left" w:pos="167"/>
        </w:tabs>
        <w:spacing w:line="360" w:lineRule="auto"/>
        <w:rPr>
          <w:highlight w:val="none"/>
          <w:lang w:val="zh-CN"/>
        </w:rPr>
      </w:pPr>
    </w:p>
    <w:p w14:paraId="34ED573E">
      <w:pPr>
        <w:pStyle w:val="14"/>
        <w:tabs>
          <w:tab w:val="left" w:pos="167"/>
        </w:tabs>
        <w:spacing w:line="360" w:lineRule="auto"/>
        <w:rPr>
          <w:highlight w:val="none"/>
          <w:lang w:val="zh-CN"/>
        </w:rPr>
      </w:pPr>
    </w:p>
    <w:p w14:paraId="47CA448A">
      <w:pPr>
        <w:pStyle w:val="14"/>
        <w:tabs>
          <w:tab w:val="left" w:pos="167"/>
        </w:tabs>
        <w:spacing w:line="360" w:lineRule="auto"/>
        <w:rPr>
          <w:highlight w:val="none"/>
          <w:lang w:val="zh-CN"/>
        </w:rPr>
      </w:pPr>
    </w:p>
    <w:p w14:paraId="12EF7783">
      <w:pPr>
        <w:pStyle w:val="14"/>
        <w:tabs>
          <w:tab w:val="left" w:pos="167"/>
        </w:tabs>
        <w:spacing w:line="360" w:lineRule="auto"/>
        <w:rPr>
          <w:highlight w:val="none"/>
          <w:lang w:val="zh-CN"/>
        </w:rPr>
      </w:pPr>
    </w:p>
    <w:p w14:paraId="4518527B">
      <w:pPr>
        <w:pStyle w:val="14"/>
        <w:tabs>
          <w:tab w:val="left" w:pos="167"/>
        </w:tabs>
        <w:spacing w:line="360" w:lineRule="auto"/>
        <w:rPr>
          <w:highlight w:val="none"/>
          <w:lang w:val="zh-CN"/>
        </w:rPr>
      </w:pPr>
    </w:p>
    <w:p w14:paraId="62B84D00">
      <w:pPr>
        <w:pStyle w:val="14"/>
        <w:tabs>
          <w:tab w:val="left" w:pos="167"/>
        </w:tabs>
        <w:spacing w:line="360" w:lineRule="auto"/>
        <w:rPr>
          <w:highlight w:val="none"/>
          <w:lang w:val="zh-CN"/>
        </w:rPr>
      </w:pPr>
    </w:p>
    <w:p w14:paraId="52D58C0E">
      <w:pPr>
        <w:pStyle w:val="14"/>
        <w:tabs>
          <w:tab w:val="left" w:pos="167"/>
        </w:tabs>
        <w:spacing w:line="360" w:lineRule="auto"/>
        <w:rPr>
          <w:highlight w:val="none"/>
          <w:lang w:val="zh-CN"/>
        </w:rPr>
      </w:pPr>
    </w:p>
    <w:p w14:paraId="39D2775C">
      <w:pPr>
        <w:pStyle w:val="14"/>
        <w:tabs>
          <w:tab w:val="left" w:pos="167"/>
        </w:tabs>
        <w:spacing w:line="360" w:lineRule="auto"/>
        <w:rPr>
          <w:highlight w:val="none"/>
          <w:lang w:val="zh-CN"/>
        </w:rPr>
      </w:pPr>
    </w:p>
    <w:p w14:paraId="0844CB55">
      <w:pPr>
        <w:pStyle w:val="14"/>
        <w:tabs>
          <w:tab w:val="left" w:pos="167"/>
        </w:tabs>
        <w:spacing w:line="360" w:lineRule="auto"/>
        <w:rPr>
          <w:highlight w:val="none"/>
          <w:lang w:val="zh-CN"/>
        </w:rPr>
      </w:pPr>
    </w:p>
    <w:p w14:paraId="33E7F0AF">
      <w:pPr>
        <w:pStyle w:val="14"/>
        <w:tabs>
          <w:tab w:val="left" w:pos="167"/>
        </w:tabs>
        <w:spacing w:line="360" w:lineRule="auto"/>
        <w:rPr>
          <w:highlight w:val="none"/>
          <w:lang w:val="zh-CN"/>
        </w:rPr>
      </w:pPr>
    </w:p>
    <w:p w14:paraId="79088AD9">
      <w:pPr>
        <w:pStyle w:val="14"/>
        <w:tabs>
          <w:tab w:val="left" w:pos="167"/>
        </w:tabs>
        <w:spacing w:line="360" w:lineRule="auto"/>
        <w:rPr>
          <w:highlight w:val="none"/>
          <w:lang w:val="zh-CN"/>
        </w:rPr>
      </w:pPr>
    </w:p>
    <w:p w14:paraId="5F63CB7D">
      <w:pPr>
        <w:pStyle w:val="14"/>
        <w:tabs>
          <w:tab w:val="left" w:pos="167"/>
        </w:tabs>
        <w:spacing w:line="360" w:lineRule="auto"/>
        <w:rPr>
          <w:highlight w:val="none"/>
          <w:lang w:val="zh-CN"/>
        </w:rPr>
      </w:pPr>
    </w:p>
    <w:p w14:paraId="2DEE012F">
      <w:pPr>
        <w:pStyle w:val="14"/>
        <w:tabs>
          <w:tab w:val="left" w:pos="167"/>
        </w:tabs>
        <w:spacing w:line="360" w:lineRule="auto"/>
        <w:rPr>
          <w:highlight w:val="none"/>
          <w:lang w:val="zh-CN"/>
        </w:rPr>
      </w:pPr>
    </w:p>
    <w:p w14:paraId="3C5DEE30">
      <w:pPr>
        <w:pStyle w:val="14"/>
        <w:tabs>
          <w:tab w:val="left" w:pos="167"/>
        </w:tabs>
        <w:spacing w:line="360" w:lineRule="auto"/>
        <w:rPr>
          <w:highlight w:val="none"/>
          <w:lang w:val="zh-CN"/>
        </w:rPr>
      </w:pPr>
    </w:p>
    <w:p w14:paraId="6C2D3469">
      <w:pPr>
        <w:pStyle w:val="14"/>
        <w:tabs>
          <w:tab w:val="left" w:pos="167"/>
        </w:tabs>
        <w:spacing w:line="360" w:lineRule="auto"/>
        <w:rPr>
          <w:highlight w:val="none"/>
          <w:lang w:val="zh-CN"/>
        </w:rPr>
      </w:pPr>
    </w:p>
    <w:p w14:paraId="6EA15673">
      <w:pPr>
        <w:pStyle w:val="14"/>
        <w:tabs>
          <w:tab w:val="left" w:pos="167"/>
        </w:tabs>
        <w:spacing w:line="360" w:lineRule="auto"/>
        <w:rPr>
          <w:highlight w:val="none"/>
          <w:lang w:val="zh-CN"/>
        </w:rPr>
      </w:pPr>
    </w:p>
    <w:p w14:paraId="753E5EFC">
      <w:pPr>
        <w:pStyle w:val="14"/>
        <w:tabs>
          <w:tab w:val="left" w:pos="167"/>
        </w:tabs>
        <w:spacing w:line="360" w:lineRule="auto"/>
        <w:rPr>
          <w:highlight w:val="none"/>
          <w:lang w:val="zh-CN"/>
        </w:rPr>
      </w:pPr>
    </w:p>
    <w:p w14:paraId="7428461F">
      <w:pPr>
        <w:pStyle w:val="14"/>
        <w:tabs>
          <w:tab w:val="left" w:pos="167"/>
        </w:tabs>
        <w:spacing w:line="360" w:lineRule="auto"/>
        <w:rPr>
          <w:highlight w:val="none"/>
          <w:lang w:val="zh-CN"/>
        </w:rPr>
      </w:pPr>
    </w:p>
    <w:p w14:paraId="3F09E6C5">
      <w:pPr>
        <w:pStyle w:val="14"/>
        <w:tabs>
          <w:tab w:val="left" w:pos="167"/>
        </w:tabs>
        <w:spacing w:line="360" w:lineRule="auto"/>
        <w:rPr>
          <w:highlight w:val="none"/>
          <w:lang w:val="zh-CN"/>
        </w:rPr>
      </w:pPr>
    </w:p>
    <w:p w14:paraId="664B1C12">
      <w:pPr>
        <w:pStyle w:val="14"/>
        <w:tabs>
          <w:tab w:val="left" w:pos="167"/>
        </w:tabs>
        <w:spacing w:line="360" w:lineRule="auto"/>
        <w:rPr>
          <w:highlight w:val="none"/>
          <w:lang w:val="zh-CN"/>
        </w:rPr>
      </w:pPr>
    </w:p>
    <w:p w14:paraId="7B2BDDD4">
      <w:pPr>
        <w:pStyle w:val="14"/>
        <w:tabs>
          <w:tab w:val="left" w:pos="167"/>
        </w:tabs>
        <w:spacing w:line="360" w:lineRule="auto"/>
        <w:rPr>
          <w:highlight w:val="none"/>
          <w:lang w:val="zh-CN"/>
        </w:rPr>
      </w:pPr>
    </w:p>
    <w:p w14:paraId="7B35B25B">
      <w:pPr>
        <w:pStyle w:val="14"/>
        <w:tabs>
          <w:tab w:val="left" w:pos="167"/>
        </w:tabs>
        <w:spacing w:line="360" w:lineRule="auto"/>
        <w:rPr>
          <w:highlight w:val="none"/>
          <w:lang w:val="zh-CN"/>
        </w:rPr>
      </w:pPr>
    </w:p>
    <w:p w14:paraId="403F65B7">
      <w:pPr>
        <w:pStyle w:val="14"/>
        <w:tabs>
          <w:tab w:val="left" w:pos="167"/>
        </w:tabs>
        <w:spacing w:line="360" w:lineRule="auto"/>
        <w:rPr>
          <w:highlight w:val="none"/>
          <w:lang w:val="zh-CN"/>
        </w:rPr>
      </w:pPr>
    </w:p>
    <w:p w14:paraId="502866EC">
      <w:pPr>
        <w:pStyle w:val="14"/>
        <w:tabs>
          <w:tab w:val="left" w:pos="167"/>
        </w:tabs>
        <w:spacing w:line="360" w:lineRule="auto"/>
        <w:rPr>
          <w:highlight w:val="none"/>
          <w:lang w:val="zh-CN"/>
        </w:rPr>
      </w:pPr>
    </w:p>
    <w:p w14:paraId="3032FD4A">
      <w:pPr>
        <w:pStyle w:val="14"/>
        <w:tabs>
          <w:tab w:val="left" w:pos="167"/>
        </w:tabs>
        <w:spacing w:line="360" w:lineRule="auto"/>
        <w:rPr>
          <w:highlight w:val="none"/>
          <w:lang w:val="zh-CN"/>
        </w:rPr>
      </w:pPr>
    </w:p>
    <w:p w14:paraId="1F6315AF">
      <w:pPr>
        <w:pStyle w:val="14"/>
        <w:tabs>
          <w:tab w:val="left" w:pos="167"/>
        </w:tabs>
        <w:spacing w:line="360" w:lineRule="auto"/>
        <w:rPr>
          <w:highlight w:val="none"/>
          <w:lang w:val="zh-CN"/>
        </w:rPr>
      </w:pPr>
    </w:p>
    <w:p w14:paraId="5314D2EA">
      <w:pPr>
        <w:pStyle w:val="14"/>
        <w:tabs>
          <w:tab w:val="left" w:pos="167"/>
        </w:tabs>
        <w:spacing w:line="360" w:lineRule="auto"/>
        <w:rPr>
          <w:highlight w:val="none"/>
          <w:lang w:val="zh-CN"/>
        </w:rPr>
      </w:pPr>
    </w:p>
    <w:p w14:paraId="291818BF">
      <w:pPr>
        <w:pStyle w:val="14"/>
        <w:tabs>
          <w:tab w:val="left" w:pos="167"/>
        </w:tabs>
        <w:spacing w:line="360" w:lineRule="auto"/>
        <w:rPr>
          <w:highlight w:val="none"/>
          <w:lang w:val="zh-CN"/>
        </w:rPr>
      </w:pPr>
    </w:p>
    <w:p w14:paraId="08FC0900">
      <w:pPr>
        <w:pStyle w:val="14"/>
        <w:tabs>
          <w:tab w:val="left" w:pos="167"/>
        </w:tabs>
        <w:spacing w:line="360" w:lineRule="auto"/>
        <w:rPr>
          <w:highlight w:val="none"/>
          <w:lang w:val="zh-CN"/>
        </w:rPr>
      </w:pPr>
    </w:p>
    <w:p w14:paraId="71B09F93">
      <w:pPr>
        <w:pStyle w:val="14"/>
        <w:tabs>
          <w:tab w:val="left" w:pos="167"/>
        </w:tabs>
        <w:spacing w:line="360" w:lineRule="auto"/>
        <w:rPr>
          <w:highlight w:val="none"/>
          <w:lang w:val="zh-CN"/>
        </w:rPr>
      </w:pPr>
    </w:p>
    <w:p w14:paraId="2E0398A8">
      <w:pPr>
        <w:pStyle w:val="14"/>
        <w:tabs>
          <w:tab w:val="left" w:pos="167"/>
        </w:tabs>
        <w:spacing w:line="360" w:lineRule="auto"/>
        <w:rPr>
          <w:highlight w:val="none"/>
          <w:lang w:val="zh-CN"/>
        </w:rPr>
      </w:pPr>
    </w:p>
    <w:p w14:paraId="401E75AB">
      <w:pPr>
        <w:pStyle w:val="14"/>
        <w:tabs>
          <w:tab w:val="left" w:pos="167"/>
        </w:tabs>
        <w:spacing w:line="360" w:lineRule="auto"/>
        <w:rPr>
          <w:highlight w:val="none"/>
          <w:lang w:val="zh-CN"/>
        </w:rPr>
      </w:pPr>
    </w:p>
    <w:p w14:paraId="0D0B0761">
      <w:pPr>
        <w:pStyle w:val="14"/>
        <w:tabs>
          <w:tab w:val="left" w:pos="167"/>
        </w:tabs>
        <w:spacing w:line="360" w:lineRule="auto"/>
        <w:rPr>
          <w:highlight w:val="none"/>
          <w:lang w:val="zh-CN"/>
        </w:rPr>
      </w:pPr>
    </w:p>
    <w:p w14:paraId="3F728471">
      <w:pPr>
        <w:pStyle w:val="14"/>
        <w:tabs>
          <w:tab w:val="left" w:pos="167"/>
        </w:tabs>
        <w:spacing w:line="360" w:lineRule="auto"/>
        <w:rPr>
          <w:highlight w:val="none"/>
          <w:lang w:val="zh-CN"/>
        </w:rPr>
      </w:pPr>
    </w:p>
    <w:p w14:paraId="686C82B8">
      <w:pPr>
        <w:pStyle w:val="14"/>
        <w:tabs>
          <w:tab w:val="left" w:pos="167"/>
        </w:tabs>
        <w:spacing w:line="360" w:lineRule="auto"/>
        <w:rPr>
          <w:highlight w:val="none"/>
          <w:lang w:val="zh-CN"/>
        </w:rPr>
      </w:pPr>
    </w:p>
    <w:p w14:paraId="28658D7F">
      <w:pPr>
        <w:pStyle w:val="14"/>
        <w:tabs>
          <w:tab w:val="left" w:pos="167"/>
        </w:tabs>
        <w:spacing w:line="360" w:lineRule="auto"/>
        <w:rPr>
          <w:highlight w:val="none"/>
          <w:lang w:val="zh-CN"/>
        </w:rPr>
      </w:pPr>
    </w:p>
    <w:p w14:paraId="2B2A060A">
      <w:pPr>
        <w:pStyle w:val="14"/>
        <w:tabs>
          <w:tab w:val="left" w:pos="167"/>
        </w:tabs>
        <w:spacing w:line="360" w:lineRule="auto"/>
        <w:rPr>
          <w:highlight w:val="none"/>
          <w:lang w:val="zh-CN"/>
        </w:rPr>
      </w:pPr>
    </w:p>
    <w:p w14:paraId="3A4270F0">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rPr>
        <w:t>七</w:t>
      </w:r>
      <w:r>
        <w:rPr>
          <w:rFonts w:hint="eastAsia" w:ascii="黑体" w:hAnsi="宋体" w:eastAsia="黑体"/>
          <w:bCs/>
          <w:color w:val="000000"/>
          <w:sz w:val="24"/>
          <w:szCs w:val="24"/>
          <w:highlight w:val="none"/>
          <w:lang w:val="zh-CN"/>
        </w:rPr>
        <w:t>）项目人员配置清单（格式）</w:t>
      </w:r>
      <w:r>
        <w:rPr>
          <w:rFonts w:hint="eastAsia" w:ascii="黑体" w:hAnsi="宋体" w:eastAsia="黑体"/>
          <w:bCs/>
          <w:color w:val="000000"/>
          <w:sz w:val="24"/>
          <w:szCs w:val="24"/>
          <w:highlight w:val="none"/>
        </w:rPr>
        <w:t>:</w:t>
      </w:r>
    </w:p>
    <w:p w14:paraId="1D5A79AD">
      <w:pPr>
        <w:pStyle w:val="14"/>
        <w:tabs>
          <w:tab w:val="left" w:pos="167"/>
          <w:tab w:val="left" w:pos="255"/>
        </w:tabs>
        <w:spacing w:line="360" w:lineRule="auto"/>
        <w:jc w:val="left"/>
        <w:rPr>
          <w:highlight w:val="none"/>
        </w:rPr>
      </w:pPr>
    </w:p>
    <w:p w14:paraId="7F2619F3">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项目人员配置清单</w:t>
      </w:r>
    </w:p>
    <w:p w14:paraId="549AEEBD">
      <w:pPr>
        <w:tabs>
          <w:tab w:val="left" w:pos="255"/>
        </w:tabs>
        <w:spacing w:line="360" w:lineRule="auto"/>
        <w:ind w:firstLine="120" w:firstLineChars="50"/>
        <w:rPr>
          <w:rFonts w:ascii="宋体" w:hAnsi="宋体"/>
          <w:bCs/>
          <w:color w:val="000000"/>
          <w:sz w:val="24"/>
          <w:szCs w:val="24"/>
          <w:highlight w:val="none"/>
          <w:lang w:val="zh-CN"/>
        </w:rPr>
      </w:pPr>
      <w:r>
        <w:rPr>
          <w:rFonts w:hint="eastAsia" w:ascii="宋体" w:hAnsi="宋体"/>
          <w:color w:val="000000"/>
          <w:sz w:val="24"/>
          <w:szCs w:val="21"/>
          <w:highlight w:val="none"/>
          <w:lang w:val="zh-CN"/>
        </w:rPr>
        <w:t>项目编号：YXGYJT202601009                                             日期：</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gridCol w:w="1004"/>
      </w:tblGrid>
      <w:tr w14:paraId="5C7F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B7D8B77">
            <w:pPr>
              <w:jc w:val="center"/>
              <w:rPr>
                <w:b/>
                <w:color w:val="000000"/>
                <w:sz w:val="24"/>
                <w:highlight w:val="none"/>
              </w:rPr>
            </w:pPr>
            <w:r>
              <w:rPr>
                <w:rFonts w:hint="eastAsia" w:ascii="宋体" w:hAnsi="宋体"/>
                <w:b/>
                <w:color w:val="000000"/>
                <w:sz w:val="24"/>
                <w:highlight w:val="none"/>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11BE69B6">
            <w:pPr>
              <w:jc w:val="center"/>
              <w:rPr>
                <w:b/>
                <w:color w:val="000000"/>
                <w:sz w:val="24"/>
                <w:highlight w:val="none"/>
              </w:rPr>
            </w:pPr>
            <w:r>
              <w:rPr>
                <w:rFonts w:hint="eastAsia" w:ascii="宋体" w:hAnsi="宋体"/>
                <w:b/>
                <w:color w:val="000000"/>
                <w:sz w:val="24"/>
                <w:highlight w:val="none"/>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5A85B018">
            <w:pPr>
              <w:rPr>
                <w:b/>
                <w:color w:val="000000"/>
                <w:sz w:val="24"/>
                <w:highlight w:val="none"/>
              </w:rPr>
            </w:pPr>
            <w:r>
              <w:rPr>
                <w:rFonts w:hint="eastAsia" w:ascii="宋体" w:hAnsi="宋体"/>
                <w:b/>
                <w:color w:val="000000"/>
                <w:sz w:val="24"/>
                <w:highlight w:val="none"/>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1D6AE05">
            <w:pPr>
              <w:jc w:val="center"/>
              <w:rPr>
                <w:b/>
                <w:color w:val="000000"/>
                <w:sz w:val="24"/>
                <w:highlight w:val="none"/>
              </w:rPr>
            </w:pPr>
            <w:r>
              <w:rPr>
                <w:rFonts w:hint="eastAsia" w:ascii="宋体" w:hAnsi="宋体"/>
                <w:b/>
                <w:color w:val="000000"/>
                <w:sz w:val="24"/>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BAE4BA5">
            <w:pPr>
              <w:jc w:val="center"/>
              <w:rPr>
                <w:b/>
                <w:color w:val="000000"/>
                <w:sz w:val="24"/>
                <w:highlight w:val="none"/>
              </w:rPr>
            </w:pPr>
            <w:r>
              <w:rPr>
                <w:rFonts w:hint="eastAsia" w:ascii="宋体" w:hAnsi="宋体"/>
                <w:b/>
                <w:color w:val="000000"/>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230704F1">
            <w:pPr>
              <w:jc w:val="center"/>
              <w:rPr>
                <w:b/>
                <w:color w:val="000000"/>
                <w:sz w:val="24"/>
                <w:highlight w:val="none"/>
              </w:rPr>
            </w:pPr>
            <w:r>
              <w:rPr>
                <w:rFonts w:hint="eastAsia" w:ascii="宋体" w:hAnsi="宋体"/>
                <w:b/>
                <w:color w:val="000000"/>
                <w:sz w:val="24"/>
                <w:highlight w:val="none"/>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22FBD35D">
            <w:pPr>
              <w:jc w:val="center"/>
              <w:rPr>
                <w:b/>
                <w:color w:val="000000"/>
                <w:sz w:val="24"/>
                <w:highlight w:val="none"/>
              </w:rPr>
            </w:pPr>
            <w:r>
              <w:rPr>
                <w:rFonts w:hint="eastAsia" w:ascii="宋体" w:hAnsi="宋体"/>
                <w:b/>
                <w:color w:val="000000"/>
                <w:sz w:val="24"/>
                <w:highlight w:val="none"/>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3E1421B6">
            <w:pPr>
              <w:jc w:val="center"/>
              <w:rPr>
                <w:b/>
                <w:color w:val="000000"/>
                <w:sz w:val="24"/>
                <w:highlight w:val="none"/>
              </w:rPr>
            </w:pPr>
            <w:r>
              <w:rPr>
                <w:rFonts w:hint="eastAsia" w:ascii="宋体" w:hAnsi="宋体"/>
                <w:b/>
                <w:color w:val="000000"/>
                <w:sz w:val="24"/>
                <w:highlight w:val="none"/>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43AC14B9">
            <w:pPr>
              <w:rPr>
                <w:b/>
                <w:color w:val="000000"/>
                <w:sz w:val="24"/>
                <w:highlight w:val="none"/>
              </w:rPr>
            </w:pPr>
            <w:r>
              <w:rPr>
                <w:rFonts w:hint="eastAsia" w:ascii="宋体" w:hAnsi="宋体"/>
                <w:b/>
                <w:color w:val="000000"/>
                <w:sz w:val="24"/>
                <w:highlight w:val="none"/>
              </w:rPr>
              <w:t>是否驻扎现场</w:t>
            </w:r>
          </w:p>
        </w:tc>
      </w:tr>
      <w:tr w14:paraId="600A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CD00F0F">
            <w:pPr>
              <w:jc w:val="center"/>
              <w:rPr>
                <w:rFonts w:ascii="宋体" w:hAnsi="宋体"/>
                <w:color w:val="000000"/>
                <w:sz w:val="24"/>
                <w:highlight w:val="none"/>
              </w:rPr>
            </w:pPr>
            <w:r>
              <w:rPr>
                <w:rFonts w:hint="eastAsia" w:ascii="宋体" w:hAnsi="宋体"/>
                <w:color w:val="000000"/>
                <w:sz w:val="24"/>
                <w:highlight w:val="none"/>
              </w:rPr>
              <w:t>1</w:t>
            </w:r>
          </w:p>
        </w:tc>
        <w:tc>
          <w:tcPr>
            <w:tcW w:w="1130" w:type="dxa"/>
            <w:tcBorders>
              <w:top w:val="single" w:color="auto" w:sz="4" w:space="0"/>
              <w:left w:val="single" w:color="auto" w:sz="4" w:space="0"/>
              <w:bottom w:val="single" w:color="auto" w:sz="4" w:space="0"/>
              <w:right w:val="single" w:color="auto" w:sz="4" w:space="0"/>
            </w:tcBorders>
            <w:vAlign w:val="center"/>
          </w:tcPr>
          <w:p w14:paraId="59757FE6">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0CF86A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CA6D2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A739A1D">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B33B9D">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BF8C02F">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DB491E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4B078E1">
            <w:pPr>
              <w:jc w:val="center"/>
              <w:rPr>
                <w:rFonts w:ascii="宋体" w:hAnsi="宋体"/>
                <w:color w:val="000000"/>
                <w:sz w:val="24"/>
                <w:highlight w:val="none"/>
              </w:rPr>
            </w:pPr>
          </w:p>
        </w:tc>
      </w:tr>
      <w:tr w14:paraId="092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D231A2">
            <w:pPr>
              <w:jc w:val="center"/>
              <w:rPr>
                <w:rFonts w:ascii="宋体" w:hAnsi="宋体"/>
                <w:color w:val="000000"/>
                <w:sz w:val="24"/>
                <w:highlight w:val="none"/>
              </w:rPr>
            </w:pPr>
            <w:r>
              <w:rPr>
                <w:rFonts w:hint="eastAsia" w:ascii="宋体" w:hAnsi="宋体"/>
                <w:color w:val="000000"/>
                <w:sz w:val="24"/>
                <w:highlight w:val="none"/>
              </w:rPr>
              <w:t>2</w:t>
            </w:r>
          </w:p>
        </w:tc>
        <w:tc>
          <w:tcPr>
            <w:tcW w:w="1130" w:type="dxa"/>
            <w:tcBorders>
              <w:top w:val="single" w:color="auto" w:sz="4" w:space="0"/>
              <w:left w:val="single" w:color="auto" w:sz="4" w:space="0"/>
              <w:bottom w:val="single" w:color="auto" w:sz="4" w:space="0"/>
              <w:right w:val="single" w:color="auto" w:sz="4" w:space="0"/>
            </w:tcBorders>
            <w:vAlign w:val="center"/>
          </w:tcPr>
          <w:p w14:paraId="6158B2B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94D6A61">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37AD80E">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2D2CD1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1717EA">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D120EF5">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EDA4916">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7ED31C0">
            <w:pPr>
              <w:jc w:val="center"/>
              <w:rPr>
                <w:rFonts w:ascii="宋体" w:hAnsi="宋体"/>
                <w:color w:val="000000"/>
                <w:sz w:val="24"/>
                <w:highlight w:val="none"/>
              </w:rPr>
            </w:pPr>
          </w:p>
        </w:tc>
      </w:tr>
      <w:tr w14:paraId="249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D5C1AEE">
            <w:pPr>
              <w:jc w:val="center"/>
              <w:rPr>
                <w:rFonts w:ascii="宋体" w:hAnsi="宋体"/>
                <w:color w:val="000000"/>
                <w:sz w:val="24"/>
                <w:highlight w:val="none"/>
              </w:rPr>
            </w:pPr>
            <w:r>
              <w:rPr>
                <w:rFonts w:hint="eastAsia" w:ascii="宋体" w:hAnsi="宋体"/>
                <w:color w:val="000000"/>
                <w:sz w:val="24"/>
                <w:highlight w:val="none"/>
              </w:rPr>
              <w:t>3</w:t>
            </w:r>
          </w:p>
        </w:tc>
        <w:tc>
          <w:tcPr>
            <w:tcW w:w="1130" w:type="dxa"/>
            <w:tcBorders>
              <w:top w:val="single" w:color="auto" w:sz="4" w:space="0"/>
              <w:left w:val="single" w:color="auto" w:sz="4" w:space="0"/>
              <w:bottom w:val="single" w:color="auto" w:sz="4" w:space="0"/>
              <w:right w:val="single" w:color="auto" w:sz="4" w:space="0"/>
            </w:tcBorders>
            <w:vAlign w:val="center"/>
          </w:tcPr>
          <w:p w14:paraId="142A2F6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D523C22">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88BDA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EBC037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0E7E297">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3B76B1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31A2A5B">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FC32EEC">
            <w:pPr>
              <w:jc w:val="center"/>
              <w:rPr>
                <w:rFonts w:ascii="宋体" w:hAnsi="宋体"/>
                <w:color w:val="000000"/>
                <w:sz w:val="24"/>
                <w:highlight w:val="none"/>
              </w:rPr>
            </w:pPr>
          </w:p>
        </w:tc>
      </w:tr>
      <w:tr w14:paraId="0DEB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7CE1108">
            <w:pPr>
              <w:jc w:val="center"/>
              <w:rPr>
                <w:rFonts w:ascii="宋体" w:hAnsi="宋体"/>
                <w:color w:val="000000"/>
                <w:sz w:val="24"/>
                <w:highlight w:val="none"/>
              </w:rPr>
            </w:pPr>
            <w:r>
              <w:rPr>
                <w:rFonts w:hint="eastAsia" w:ascii="宋体" w:hAnsi="宋体"/>
                <w:color w:val="000000"/>
                <w:sz w:val="24"/>
                <w:highlight w:val="none"/>
              </w:rPr>
              <w:t>4</w:t>
            </w:r>
          </w:p>
        </w:tc>
        <w:tc>
          <w:tcPr>
            <w:tcW w:w="1130" w:type="dxa"/>
            <w:tcBorders>
              <w:top w:val="single" w:color="auto" w:sz="4" w:space="0"/>
              <w:left w:val="single" w:color="auto" w:sz="4" w:space="0"/>
              <w:bottom w:val="single" w:color="auto" w:sz="4" w:space="0"/>
              <w:right w:val="single" w:color="auto" w:sz="4" w:space="0"/>
            </w:tcBorders>
            <w:vAlign w:val="center"/>
          </w:tcPr>
          <w:p w14:paraId="194DD9CD">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3385B18">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BDB8C3C">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DCAB903">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02F2E68">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62A3A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031D7F">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7734CDF">
            <w:pPr>
              <w:jc w:val="center"/>
              <w:rPr>
                <w:rFonts w:ascii="宋体" w:hAnsi="宋体"/>
                <w:color w:val="000000"/>
                <w:sz w:val="24"/>
                <w:highlight w:val="none"/>
              </w:rPr>
            </w:pPr>
          </w:p>
        </w:tc>
      </w:tr>
      <w:tr w14:paraId="21A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69DB909">
            <w:pPr>
              <w:jc w:val="center"/>
              <w:rPr>
                <w:rFonts w:ascii="宋体" w:hAnsi="宋体"/>
                <w:color w:val="000000"/>
                <w:sz w:val="24"/>
                <w:highlight w:val="none"/>
              </w:rPr>
            </w:pPr>
            <w:r>
              <w:rPr>
                <w:rFonts w:hint="eastAsia" w:ascii="宋体" w:hAnsi="宋体"/>
                <w:color w:val="000000"/>
                <w:sz w:val="24"/>
                <w:highlight w:val="none"/>
              </w:rPr>
              <w:t>5</w:t>
            </w:r>
          </w:p>
        </w:tc>
        <w:tc>
          <w:tcPr>
            <w:tcW w:w="1130" w:type="dxa"/>
            <w:tcBorders>
              <w:top w:val="single" w:color="auto" w:sz="4" w:space="0"/>
              <w:left w:val="single" w:color="auto" w:sz="4" w:space="0"/>
              <w:bottom w:val="single" w:color="auto" w:sz="4" w:space="0"/>
              <w:right w:val="single" w:color="auto" w:sz="4" w:space="0"/>
            </w:tcBorders>
            <w:vAlign w:val="center"/>
          </w:tcPr>
          <w:p w14:paraId="07C72280">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404D61A">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7C69E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B504036">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9877FA">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241B051">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BA716C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7DABE92">
            <w:pPr>
              <w:jc w:val="center"/>
              <w:rPr>
                <w:rFonts w:ascii="宋体" w:hAnsi="宋体"/>
                <w:color w:val="000000"/>
                <w:sz w:val="24"/>
                <w:highlight w:val="none"/>
              </w:rPr>
            </w:pPr>
          </w:p>
        </w:tc>
      </w:tr>
      <w:tr w14:paraId="520A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6F6C8C">
            <w:pPr>
              <w:jc w:val="center"/>
              <w:rPr>
                <w:rFonts w:ascii="宋体" w:hAnsi="宋体"/>
                <w:color w:val="000000"/>
                <w:sz w:val="24"/>
                <w:highlight w:val="none"/>
              </w:rPr>
            </w:pPr>
            <w:r>
              <w:rPr>
                <w:rFonts w:hint="eastAsia" w:ascii="宋体" w:hAnsi="宋体"/>
                <w:color w:val="000000"/>
                <w:sz w:val="24"/>
                <w:highlight w:val="none"/>
              </w:rPr>
              <w:t>6</w:t>
            </w:r>
          </w:p>
        </w:tc>
        <w:tc>
          <w:tcPr>
            <w:tcW w:w="1130" w:type="dxa"/>
            <w:tcBorders>
              <w:top w:val="single" w:color="auto" w:sz="4" w:space="0"/>
              <w:left w:val="single" w:color="auto" w:sz="4" w:space="0"/>
              <w:bottom w:val="single" w:color="auto" w:sz="4" w:space="0"/>
              <w:right w:val="single" w:color="auto" w:sz="4" w:space="0"/>
            </w:tcBorders>
            <w:vAlign w:val="center"/>
          </w:tcPr>
          <w:p w14:paraId="74A11F7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BA850E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984816">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18B5FF1">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740547">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D8A48C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A61A5F7">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AE37798">
            <w:pPr>
              <w:jc w:val="center"/>
              <w:rPr>
                <w:rFonts w:ascii="宋体" w:hAnsi="宋体"/>
                <w:color w:val="000000"/>
                <w:sz w:val="24"/>
                <w:highlight w:val="none"/>
              </w:rPr>
            </w:pPr>
          </w:p>
        </w:tc>
      </w:tr>
      <w:tr w14:paraId="747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8B23873">
            <w:pPr>
              <w:jc w:val="center"/>
              <w:rPr>
                <w:rFonts w:ascii="宋体" w:hAnsi="宋体"/>
                <w:color w:val="000000"/>
                <w:sz w:val="24"/>
                <w:highlight w:val="none"/>
              </w:rPr>
            </w:pPr>
            <w:r>
              <w:rPr>
                <w:rFonts w:hint="eastAsia" w:ascii="宋体" w:hAnsi="宋体"/>
                <w:color w:val="000000"/>
                <w:sz w:val="24"/>
                <w:highlight w:val="none"/>
              </w:rPr>
              <w:t>7</w:t>
            </w:r>
          </w:p>
        </w:tc>
        <w:tc>
          <w:tcPr>
            <w:tcW w:w="1130" w:type="dxa"/>
            <w:tcBorders>
              <w:top w:val="single" w:color="auto" w:sz="4" w:space="0"/>
              <w:left w:val="single" w:color="auto" w:sz="4" w:space="0"/>
              <w:bottom w:val="single" w:color="auto" w:sz="4" w:space="0"/>
              <w:right w:val="single" w:color="auto" w:sz="4" w:space="0"/>
            </w:tcBorders>
            <w:vAlign w:val="center"/>
          </w:tcPr>
          <w:p w14:paraId="5EC06E45">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8FE6810">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7019D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BE26A02">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9DE6C7F">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A1212E">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2FE2F3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452A710">
            <w:pPr>
              <w:jc w:val="center"/>
              <w:rPr>
                <w:rFonts w:ascii="宋体" w:hAnsi="宋体"/>
                <w:color w:val="000000"/>
                <w:sz w:val="24"/>
                <w:highlight w:val="none"/>
              </w:rPr>
            </w:pPr>
          </w:p>
        </w:tc>
      </w:tr>
      <w:tr w14:paraId="5372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5CEEB6E">
            <w:pPr>
              <w:jc w:val="center"/>
              <w:rPr>
                <w:rFonts w:ascii="宋体" w:hAnsi="宋体"/>
                <w:color w:val="000000"/>
                <w:sz w:val="24"/>
                <w:highlight w:val="none"/>
              </w:rPr>
            </w:pPr>
            <w:r>
              <w:rPr>
                <w:rFonts w:hint="eastAsia" w:ascii="宋体" w:hAnsi="宋体"/>
                <w:color w:val="000000"/>
                <w:sz w:val="24"/>
                <w:highlight w:val="none"/>
              </w:rPr>
              <w:t>8</w:t>
            </w:r>
          </w:p>
        </w:tc>
        <w:tc>
          <w:tcPr>
            <w:tcW w:w="1130" w:type="dxa"/>
            <w:tcBorders>
              <w:top w:val="single" w:color="auto" w:sz="4" w:space="0"/>
              <w:left w:val="single" w:color="auto" w:sz="4" w:space="0"/>
              <w:bottom w:val="single" w:color="auto" w:sz="4" w:space="0"/>
              <w:right w:val="single" w:color="auto" w:sz="4" w:space="0"/>
            </w:tcBorders>
            <w:vAlign w:val="center"/>
          </w:tcPr>
          <w:p w14:paraId="4F2569C6">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75D7C60">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ACFB222">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49F645">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7E6E9C">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415D11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3D77B46">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CB55544">
            <w:pPr>
              <w:jc w:val="center"/>
              <w:rPr>
                <w:rFonts w:ascii="宋体" w:hAnsi="宋体"/>
                <w:color w:val="000000"/>
                <w:sz w:val="24"/>
                <w:highlight w:val="none"/>
              </w:rPr>
            </w:pPr>
          </w:p>
        </w:tc>
      </w:tr>
      <w:tr w14:paraId="304B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4DD282D">
            <w:pPr>
              <w:jc w:val="center"/>
              <w:rPr>
                <w:rFonts w:ascii="宋体" w:hAnsi="宋体"/>
                <w:color w:val="000000"/>
                <w:sz w:val="24"/>
                <w:highlight w:val="none"/>
              </w:rPr>
            </w:pPr>
            <w:r>
              <w:rPr>
                <w:rFonts w:hint="eastAsia" w:ascii="宋体" w:hAnsi="宋体"/>
                <w:color w:val="000000"/>
                <w:sz w:val="24"/>
                <w:highlight w:val="none"/>
              </w:rPr>
              <w:t>9</w:t>
            </w:r>
          </w:p>
        </w:tc>
        <w:tc>
          <w:tcPr>
            <w:tcW w:w="1130" w:type="dxa"/>
            <w:tcBorders>
              <w:top w:val="single" w:color="auto" w:sz="4" w:space="0"/>
              <w:left w:val="single" w:color="auto" w:sz="4" w:space="0"/>
              <w:bottom w:val="single" w:color="auto" w:sz="4" w:space="0"/>
              <w:right w:val="single" w:color="auto" w:sz="4" w:space="0"/>
            </w:tcBorders>
            <w:vAlign w:val="center"/>
          </w:tcPr>
          <w:p w14:paraId="2A283162">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5E28BEE">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7CFC59">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55B628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CD09F03">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3434B1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193F034">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7340769">
            <w:pPr>
              <w:jc w:val="center"/>
              <w:rPr>
                <w:rFonts w:ascii="宋体" w:hAnsi="宋体"/>
                <w:color w:val="000000"/>
                <w:sz w:val="24"/>
                <w:highlight w:val="none"/>
              </w:rPr>
            </w:pPr>
          </w:p>
        </w:tc>
      </w:tr>
      <w:tr w14:paraId="307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67396998">
            <w:pPr>
              <w:jc w:val="center"/>
              <w:rPr>
                <w:rFonts w:ascii="宋体" w:hAnsi="宋体"/>
                <w:color w:val="000000"/>
                <w:sz w:val="24"/>
                <w:highlight w:val="none"/>
              </w:rPr>
            </w:pPr>
            <w:r>
              <w:rPr>
                <w:rFonts w:hint="eastAsia" w:ascii="宋体" w:hAnsi="宋体"/>
                <w:color w:val="000000"/>
                <w:sz w:val="24"/>
                <w:highlight w:val="none"/>
              </w:rPr>
              <w:t>10</w:t>
            </w:r>
          </w:p>
        </w:tc>
        <w:tc>
          <w:tcPr>
            <w:tcW w:w="1130" w:type="dxa"/>
            <w:tcBorders>
              <w:top w:val="single" w:color="auto" w:sz="4" w:space="0"/>
              <w:left w:val="single" w:color="auto" w:sz="4" w:space="0"/>
              <w:bottom w:val="single" w:color="auto" w:sz="4" w:space="0"/>
              <w:right w:val="single" w:color="auto" w:sz="4" w:space="0"/>
            </w:tcBorders>
            <w:vAlign w:val="center"/>
          </w:tcPr>
          <w:p w14:paraId="0F1B3473">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42CBE1D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34A81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6381CBB">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B486C65">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305052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AE7E97B">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C9FF696">
            <w:pPr>
              <w:jc w:val="center"/>
              <w:rPr>
                <w:rFonts w:ascii="宋体" w:hAnsi="宋体"/>
                <w:color w:val="000000"/>
                <w:sz w:val="24"/>
                <w:highlight w:val="none"/>
              </w:rPr>
            </w:pPr>
          </w:p>
        </w:tc>
      </w:tr>
      <w:tr w14:paraId="472D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57BF43D">
            <w:pPr>
              <w:jc w:val="center"/>
              <w:rPr>
                <w:color w:val="000000"/>
                <w:sz w:val="24"/>
                <w:highlight w:val="none"/>
              </w:rPr>
            </w:pPr>
            <w:r>
              <w:rPr>
                <w:rFonts w:hint="eastAsia"/>
                <w:color w:val="000000"/>
                <w:sz w:val="24"/>
                <w:highlight w:val="none"/>
              </w:rPr>
              <w:t>…</w:t>
            </w:r>
            <w:r>
              <w:rPr>
                <w:rFonts w:hint="eastAsia" w:ascii="宋体" w:hAnsi="宋体"/>
                <w:color w:val="000000"/>
                <w:sz w:val="24"/>
                <w:highlight w:val="none"/>
              </w:rPr>
              <w:t xml:space="preserve"> </w:t>
            </w:r>
            <w:r>
              <w:rPr>
                <w:rFonts w:hint="eastAsia"/>
                <w:color w:val="000000"/>
                <w:sz w:val="24"/>
                <w:highlight w:val="none"/>
              </w:rPr>
              <w:t>…</w:t>
            </w:r>
          </w:p>
        </w:tc>
        <w:tc>
          <w:tcPr>
            <w:tcW w:w="1130" w:type="dxa"/>
            <w:tcBorders>
              <w:top w:val="single" w:color="auto" w:sz="4" w:space="0"/>
              <w:left w:val="single" w:color="auto" w:sz="4" w:space="0"/>
              <w:bottom w:val="single" w:color="auto" w:sz="4" w:space="0"/>
              <w:right w:val="single" w:color="auto" w:sz="4" w:space="0"/>
            </w:tcBorders>
            <w:vAlign w:val="center"/>
          </w:tcPr>
          <w:p w14:paraId="70C2C2BA">
            <w:pPr>
              <w:jc w:val="center"/>
              <w:rPr>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734B949">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DDFF78">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1BD45B9">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DD6476">
            <w:pPr>
              <w:jc w:val="center"/>
              <w:rPr>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3D926C9">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15176D4">
            <w:pPr>
              <w:jc w:val="center"/>
              <w:rPr>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6093955">
            <w:pPr>
              <w:jc w:val="center"/>
              <w:rPr>
                <w:color w:val="000000"/>
                <w:sz w:val="24"/>
                <w:highlight w:val="none"/>
              </w:rPr>
            </w:pPr>
          </w:p>
        </w:tc>
      </w:tr>
    </w:tbl>
    <w:p w14:paraId="522000CE">
      <w:pPr>
        <w:tabs>
          <w:tab w:val="left" w:pos="255"/>
        </w:tabs>
        <w:spacing w:line="360" w:lineRule="auto"/>
        <w:ind w:left="840" w:leftChars="400"/>
        <w:rPr>
          <w:rFonts w:ascii="宋体" w:hAnsi="宋体"/>
          <w:bCs/>
          <w:color w:val="000000"/>
          <w:sz w:val="24"/>
          <w:szCs w:val="24"/>
          <w:highlight w:val="none"/>
          <w:lang w:val="zh-CN"/>
        </w:rPr>
      </w:pPr>
    </w:p>
    <w:p w14:paraId="50576A7A">
      <w:pPr>
        <w:ind w:firstLine="367" w:firstLineChars="175"/>
        <w:rPr>
          <w:rFonts w:ascii="宋体" w:hAnsi="宋体"/>
          <w:highlight w:val="none"/>
        </w:rPr>
      </w:pPr>
      <w:r>
        <w:rPr>
          <w:rFonts w:hint="eastAsia" w:ascii="宋体" w:hAnsi="宋体"/>
          <w:highlight w:val="none"/>
        </w:rPr>
        <w:t>注：1. 表格不够可自行增加</w:t>
      </w:r>
    </w:p>
    <w:p w14:paraId="0218C284">
      <w:pPr>
        <w:ind w:firstLine="787" w:firstLineChars="375"/>
        <w:rPr>
          <w:rFonts w:ascii="宋体" w:hAnsi="宋体"/>
          <w:highlight w:val="none"/>
        </w:rPr>
      </w:pPr>
      <w:r>
        <w:rPr>
          <w:rFonts w:hint="eastAsia" w:ascii="宋体" w:hAnsi="宋体"/>
          <w:highlight w:val="none"/>
        </w:rPr>
        <w:t>2.招标文件要求提供经社保部门确认的社保缴纳名单复印件（标注各人员所处位置）和相关证书复印件作为填列证明材料，证明材料请附在本表之后。</w:t>
      </w:r>
    </w:p>
    <w:p w14:paraId="6EC22C47">
      <w:pPr>
        <w:ind w:firstLine="840" w:firstLineChars="400"/>
        <w:rPr>
          <w:rFonts w:ascii="宋体" w:hAnsi="宋体"/>
          <w:bCs/>
          <w:sz w:val="22"/>
          <w:szCs w:val="24"/>
          <w:highlight w:val="none"/>
          <w:lang w:val="zh-CN"/>
        </w:rPr>
      </w:pPr>
      <w:r>
        <w:rPr>
          <w:rFonts w:hint="eastAsia" w:ascii="宋体" w:hAnsi="宋体"/>
          <w:highlight w:val="none"/>
        </w:rPr>
        <w:t>3.上述</w:t>
      </w:r>
      <w:r>
        <w:rPr>
          <w:rFonts w:hint="eastAsia"/>
          <w:highlight w:val="none"/>
        </w:rPr>
        <w:t>人员如在项目执行过程中需要更换，须经采购人同意。擅自更换或不到位属违约行为。</w:t>
      </w:r>
    </w:p>
    <w:p w14:paraId="1562D36B">
      <w:pPr>
        <w:tabs>
          <w:tab w:val="left" w:pos="255"/>
        </w:tabs>
        <w:spacing w:line="360" w:lineRule="auto"/>
        <w:ind w:left="840" w:leftChars="400"/>
        <w:rPr>
          <w:rFonts w:ascii="宋体" w:hAnsi="宋体"/>
          <w:bCs/>
          <w:color w:val="000000"/>
          <w:sz w:val="24"/>
          <w:szCs w:val="24"/>
          <w:highlight w:val="none"/>
          <w:lang w:val="zh-CN"/>
        </w:rPr>
      </w:pPr>
    </w:p>
    <w:p w14:paraId="28E00BA7">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6CDE40B7">
      <w:pPr>
        <w:ind w:left="4550" w:hanging="4550"/>
        <w:rPr>
          <w:sz w:val="20"/>
          <w:highlight w:val="none"/>
          <w:lang w:val="zh-CN"/>
        </w:rPr>
      </w:pPr>
    </w:p>
    <w:p w14:paraId="7166F1E8">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1BB34064">
      <w:pPr>
        <w:pStyle w:val="14"/>
        <w:tabs>
          <w:tab w:val="left" w:pos="167"/>
          <w:tab w:val="left" w:pos="255"/>
        </w:tabs>
        <w:spacing w:line="360" w:lineRule="auto"/>
        <w:jc w:val="left"/>
        <w:rPr>
          <w:highlight w:val="none"/>
        </w:rPr>
      </w:pPr>
    </w:p>
    <w:p w14:paraId="2E0A54F9">
      <w:pPr>
        <w:pStyle w:val="14"/>
        <w:tabs>
          <w:tab w:val="left" w:pos="167"/>
          <w:tab w:val="left" w:pos="255"/>
        </w:tabs>
        <w:spacing w:line="360" w:lineRule="auto"/>
        <w:jc w:val="left"/>
        <w:rPr>
          <w:highlight w:val="none"/>
        </w:rPr>
      </w:pPr>
    </w:p>
    <w:p w14:paraId="4BCA2BF0">
      <w:pPr>
        <w:pStyle w:val="14"/>
        <w:tabs>
          <w:tab w:val="left" w:pos="167"/>
          <w:tab w:val="left" w:pos="255"/>
        </w:tabs>
        <w:spacing w:line="360" w:lineRule="auto"/>
        <w:jc w:val="left"/>
        <w:rPr>
          <w:highlight w:val="none"/>
        </w:rPr>
      </w:pPr>
    </w:p>
    <w:p w14:paraId="611758D8">
      <w:pPr>
        <w:pStyle w:val="14"/>
        <w:tabs>
          <w:tab w:val="left" w:pos="167"/>
          <w:tab w:val="left" w:pos="255"/>
        </w:tabs>
        <w:spacing w:line="360" w:lineRule="auto"/>
        <w:jc w:val="left"/>
        <w:rPr>
          <w:highlight w:val="none"/>
        </w:rPr>
      </w:pPr>
    </w:p>
    <w:p w14:paraId="6A65CDE6">
      <w:pPr>
        <w:pStyle w:val="14"/>
        <w:tabs>
          <w:tab w:val="left" w:pos="167"/>
          <w:tab w:val="left" w:pos="255"/>
        </w:tabs>
        <w:spacing w:line="360" w:lineRule="auto"/>
        <w:jc w:val="left"/>
        <w:rPr>
          <w:highlight w:val="none"/>
        </w:rPr>
      </w:pPr>
    </w:p>
    <w:p w14:paraId="51E0B428">
      <w:pPr>
        <w:pStyle w:val="14"/>
        <w:tabs>
          <w:tab w:val="left" w:pos="167"/>
          <w:tab w:val="left" w:pos="255"/>
        </w:tabs>
        <w:spacing w:line="360" w:lineRule="auto"/>
        <w:jc w:val="left"/>
        <w:rPr>
          <w:highlight w:val="none"/>
        </w:rPr>
      </w:pPr>
    </w:p>
    <w:p w14:paraId="5406F0DD">
      <w:pPr>
        <w:pStyle w:val="14"/>
        <w:tabs>
          <w:tab w:val="left" w:pos="167"/>
          <w:tab w:val="left" w:pos="255"/>
        </w:tabs>
        <w:spacing w:line="360" w:lineRule="auto"/>
        <w:jc w:val="left"/>
        <w:rPr>
          <w:highlight w:val="none"/>
        </w:rPr>
      </w:pPr>
    </w:p>
    <w:p w14:paraId="7D23A7DC">
      <w:pPr>
        <w:pStyle w:val="14"/>
        <w:tabs>
          <w:tab w:val="left" w:pos="167"/>
          <w:tab w:val="left" w:pos="255"/>
        </w:tabs>
        <w:spacing w:line="360" w:lineRule="auto"/>
        <w:jc w:val="left"/>
        <w:rPr>
          <w:highlight w:val="none"/>
        </w:rPr>
      </w:pPr>
    </w:p>
    <w:p w14:paraId="3C6F2713">
      <w:pPr>
        <w:tabs>
          <w:tab w:val="left" w:pos="255"/>
        </w:tabs>
        <w:spacing w:line="360" w:lineRule="auto"/>
        <w:jc w:val="left"/>
        <w:rPr>
          <w:rFonts w:ascii="黑体" w:hAnsi="宋体" w:eastAsia="黑体"/>
          <w:bCs/>
          <w:color w:val="000000"/>
          <w:sz w:val="24"/>
          <w:szCs w:val="24"/>
          <w:highlight w:val="none"/>
          <w:lang w:val="zh-CN"/>
        </w:rPr>
      </w:pPr>
    </w:p>
    <w:p w14:paraId="11E0804D">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（八）要求采购人提供的配合（如有自拟并自行添加）：</w:t>
      </w:r>
    </w:p>
    <w:p w14:paraId="61D753F4">
      <w:pPr>
        <w:tabs>
          <w:tab w:val="left" w:pos="0"/>
          <w:tab w:val="left" w:pos="255"/>
        </w:tabs>
        <w:spacing w:line="360" w:lineRule="auto"/>
        <w:ind w:left="567"/>
        <w:rPr>
          <w:rFonts w:ascii="宋体" w:hAnsi="宋体"/>
          <w:sz w:val="24"/>
          <w:szCs w:val="24"/>
          <w:highlight w:val="none"/>
          <w:lang w:val="zh-CN"/>
        </w:rPr>
      </w:pPr>
    </w:p>
    <w:p w14:paraId="25D2C69B">
      <w:pPr>
        <w:tabs>
          <w:tab w:val="left" w:pos="0"/>
          <w:tab w:val="left" w:pos="255"/>
        </w:tabs>
        <w:spacing w:line="360" w:lineRule="auto"/>
        <w:ind w:left="567"/>
        <w:rPr>
          <w:rFonts w:ascii="宋体" w:hAnsi="宋体"/>
          <w:sz w:val="24"/>
          <w:szCs w:val="24"/>
          <w:highlight w:val="none"/>
          <w:lang w:val="zh-CN"/>
        </w:rPr>
      </w:pPr>
    </w:p>
    <w:p w14:paraId="27C98E14">
      <w:pPr>
        <w:tabs>
          <w:tab w:val="left" w:pos="0"/>
          <w:tab w:val="left" w:pos="255"/>
        </w:tabs>
        <w:spacing w:line="360" w:lineRule="auto"/>
        <w:ind w:left="567"/>
        <w:rPr>
          <w:rFonts w:ascii="宋体" w:hAnsi="宋体"/>
          <w:sz w:val="24"/>
          <w:szCs w:val="24"/>
          <w:highlight w:val="none"/>
          <w:lang w:val="zh-CN"/>
        </w:rPr>
      </w:pPr>
    </w:p>
    <w:p w14:paraId="54E35264">
      <w:pPr>
        <w:tabs>
          <w:tab w:val="left" w:pos="0"/>
          <w:tab w:val="left" w:pos="255"/>
        </w:tabs>
        <w:spacing w:line="360" w:lineRule="auto"/>
        <w:ind w:left="567"/>
        <w:rPr>
          <w:rFonts w:ascii="宋体" w:hAnsi="宋体"/>
          <w:sz w:val="24"/>
          <w:szCs w:val="24"/>
          <w:highlight w:val="none"/>
          <w:lang w:val="zh-CN"/>
        </w:rPr>
      </w:pPr>
    </w:p>
    <w:p w14:paraId="20815172">
      <w:pPr>
        <w:tabs>
          <w:tab w:val="left" w:pos="0"/>
          <w:tab w:val="left" w:pos="255"/>
        </w:tabs>
        <w:spacing w:line="360" w:lineRule="auto"/>
        <w:ind w:left="567"/>
        <w:rPr>
          <w:rFonts w:ascii="宋体" w:hAnsi="宋体"/>
          <w:sz w:val="24"/>
          <w:szCs w:val="24"/>
          <w:highlight w:val="none"/>
          <w:lang w:val="zh-CN"/>
        </w:rPr>
      </w:pPr>
    </w:p>
    <w:p w14:paraId="3F2C4741">
      <w:pPr>
        <w:tabs>
          <w:tab w:val="left" w:pos="0"/>
          <w:tab w:val="left" w:pos="255"/>
        </w:tabs>
        <w:spacing w:line="360" w:lineRule="auto"/>
        <w:ind w:left="567"/>
        <w:rPr>
          <w:rFonts w:ascii="宋体" w:hAnsi="宋体"/>
          <w:sz w:val="24"/>
          <w:szCs w:val="24"/>
          <w:highlight w:val="none"/>
          <w:lang w:val="zh-CN"/>
        </w:rPr>
      </w:pPr>
    </w:p>
    <w:p w14:paraId="69CF6056">
      <w:pPr>
        <w:tabs>
          <w:tab w:val="left" w:pos="0"/>
          <w:tab w:val="left" w:pos="255"/>
        </w:tabs>
        <w:spacing w:line="360" w:lineRule="auto"/>
        <w:ind w:left="567"/>
        <w:rPr>
          <w:rFonts w:ascii="宋体" w:hAnsi="宋体"/>
          <w:sz w:val="24"/>
          <w:szCs w:val="24"/>
          <w:highlight w:val="none"/>
          <w:lang w:val="zh-CN"/>
        </w:rPr>
      </w:pPr>
    </w:p>
    <w:p w14:paraId="1ED537C9">
      <w:pPr>
        <w:tabs>
          <w:tab w:val="left" w:pos="0"/>
          <w:tab w:val="left" w:pos="255"/>
        </w:tabs>
        <w:spacing w:line="360" w:lineRule="auto"/>
        <w:ind w:left="567"/>
        <w:rPr>
          <w:rFonts w:ascii="宋体" w:hAnsi="宋体"/>
          <w:sz w:val="24"/>
          <w:szCs w:val="24"/>
          <w:highlight w:val="none"/>
          <w:lang w:val="zh-CN"/>
        </w:rPr>
      </w:pPr>
    </w:p>
    <w:p w14:paraId="3485AB99">
      <w:pPr>
        <w:tabs>
          <w:tab w:val="left" w:pos="0"/>
          <w:tab w:val="left" w:pos="255"/>
        </w:tabs>
        <w:spacing w:line="360" w:lineRule="auto"/>
        <w:ind w:left="567"/>
        <w:rPr>
          <w:rFonts w:ascii="宋体" w:hAnsi="宋体"/>
          <w:sz w:val="24"/>
          <w:szCs w:val="24"/>
          <w:highlight w:val="none"/>
          <w:lang w:val="zh-CN"/>
        </w:rPr>
      </w:pPr>
    </w:p>
    <w:p w14:paraId="29E09A48">
      <w:pPr>
        <w:tabs>
          <w:tab w:val="left" w:pos="0"/>
          <w:tab w:val="left" w:pos="255"/>
        </w:tabs>
        <w:spacing w:line="360" w:lineRule="auto"/>
        <w:ind w:left="567"/>
        <w:rPr>
          <w:rFonts w:ascii="宋体" w:hAnsi="宋体"/>
          <w:sz w:val="24"/>
          <w:szCs w:val="24"/>
          <w:highlight w:val="none"/>
          <w:lang w:val="zh-CN"/>
        </w:rPr>
      </w:pPr>
    </w:p>
    <w:p w14:paraId="6DF25F4A">
      <w:pPr>
        <w:tabs>
          <w:tab w:val="left" w:pos="0"/>
          <w:tab w:val="left" w:pos="255"/>
        </w:tabs>
        <w:spacing w:line="360" w:lineRule="auto"/>
        <w:ind w:left="567"/>
        <w:rPr>
          <w:rFonts w:ascii="宋体" w:hAnsi="宋体"/>
          <w:sz w:val="24"/>
          <w:szCs w:val="24"/>
          <w:highlight w:val="none"/>
          <w:lang w:val="zh-CN"/>
        </w:rPr>
      </w:pPr>
    </w:p>
    <w:p w14:paraId="4526D937">
      <w:pPr>
        <w:tabs>
          <w:tab w:val="left" w:pos="0"/>
          <w:tab w:val="left" w:pos="255"/>
        </w:tabs>
        <w:spacing w:line="360" w:lineRule="auto"/>
        <w:ind w:left="567"/>
        <w:rPr>
          <w:rFonts w:ascii="宋体" w:hAnsi="宋体"/>
          <w:sz w:val="24"/>
          <w:szCs w:val="24"/>
          <w:highlight w:val="none"/>
          <w:lang w:val="zh-CN"/>
        </w:rPr>
      </w:pPr>
    </w:p>
    <w:p w14:paraId="6E1CB257">
      <w:pPr>
        <w:tabs>
          <w:tab w:val="left" w:pos="0"/>
          <w:tab w:val="left" w:pos="255"/>
        </w:tabs>
        <w:spacing w:line="360" w:lineRule="auto"/>
        <w:ind w:left="567"/>
        <w:rPr>
          <w:rFonts w:ascii="宋体" w:hAnsi="宋体"/>
          <w:sz w:val="24"/>
          <w:szCs w:val="24"/>
          <w:highlight w:val="none"/>
          <w:lang w:val="zh-CN"/>
        </w:rPr>
      </w:pPr>
    </w:p>
    <w:p w14:paraId="115420F6">
      <w:pPr>
        <w:tabs>
          <w:tab w:val="left" w:pos="0"/>
          <w:tab w:val="left" w:pos="255"/>
        </w:tabs>
        <w:spacing w:line="360" w:lineRule="auto"/>
        <w:ind w:left="567"/>
        <w:rPr>
          <w:rFonts w:ascii="宋体" w:hAnsi="宋体"/>
          <w:sz w:val="24"/>
          <w:szCs w:val="24"/>
          <w:highlight w:val="none"/>
          <w:lang w:val="zh-CN"/>
        </w:rPr>
      </w:pPr>
    </w:p>
    <w:p w14:paraId="02DD74A0">
      <w:pPr>
        <w:tabs>
          <w:tab w:val="left" w:pos="0"/>
          <w:tab w:val="left" w:pos="255"/>
        </w:tabs>
        <w:spacing w:line="360" w:lineRule="auto"/>
        <w:ind w:left="567"/>
        <w:rPr>
          <w:rFonts w:ascii="宋体" w:hAnsi="宋体"/>
          <w:sz w:val="24"/>
          <w:szCs w:val="24"/>
          <w:highlight w:val="none"/>
          <w:lang w:val="zh-CN"/>
        </w:rPr>
      </w:pPr>
    </w:p>
    <w:p w14:paraId="0A87DCDF">
      <w:pPr>
        <w:tabs>
          <w:tab w:val="left" w:pos="0"/>
          <w:tab w:val="left" w:pos="255"/>
        </w:tabs>
        <w:spacing w:line="360" w:lineRule="auto"/>
        <w:ind w:left="567"/>
        <w:rPr>
          <w:rFonts w:ascii="宋体" w:hAnsi="宋体"/>
          <w:sz w:val="24"/>
          <w:szCs w:val="24"/>
          <w:highlight w:val="none"/>
          <w:lang w:val="zh-CN"/>
        </w:rPr>
      </w:pPr>
    </w:p>
    <w:p w14:paraId="625CBFC7">
      <w:pPr>
        <w:tabs>
          <w:tab w:val="left" w:pos="0"/>
          <w:tab w:val="left" w:pos="255"/>
        </w:tabs>
        <w:spacing w:line="360" w:lineRule="auto"/>
        <w:ind w:left="567"/>
        <w:rPr>
          <w:rFonts w:ascii="宋体" w:hAnsi="宋体"/>
          <w:sz w:val="24"/>
          <w:szCs w:val="24"/>
          <w:highlight w:val="none"/>
          <w:lang w:val="zh-CN"/>
        </w:rPr>
      </w:pPr>
    </w:p>
    <w:p w14:paraId="63DE23DF">
      <w:pPr>
        <w:tabs>
          <w:tab w:val="left" w:pos="0"/>
          <w:tab w:val="left" w:pos="255"/>
        </w:tabs>
        <w:spacing w:line="360" w:lineRule="auto"/>
        <w:ind w:left="567"/>
        <w:rPr>
          <w:rFonts w:ascii="宋体" w:hAnsi="宋体"/>
          <w:sz w:val="24"/>
          <w:szCs w:val="24"/>
          <w:highlight w:val="none"/>
          <w:lang w:val="zh-CN"/>
        </w:rPr>
      </w:pPr>
    </w:p>
    <w:p w14:paraId="7AA7F416">
      <w:pPr>
        <w:tabs>
          <w:tab w:val="left" w:pos="0"/>
          <w:tab w:val="left" w:pos="255"/>
        </w:tabs>
        <w:spacing w:line="360" w:lineRule="auto"/>
        <w:ind w:left="567"/>
        <w:rPr>
          <w:rFonts w:ascii="宋体" w:hAnsi="宋体"/>
          <w:sz w:val="24"/>
          <w:szCs w:val="24"/>
          <w:highlight w:val="none"/>
          <w:lang w:val="zh-CN"/>
        </w:rPr>
      </w:pPr>
    </w:p>
    <w:p w14:paraId="5320E6E1">
      <w:pPr>
        <w:tabs>
          <w:tab w:val="left" w:pos="0"/>
          <w:tab w:val="left" w:pos="255"/>
        </w:tabs>
        <w:spacing w:line="360" w:lineRule="auto"/>
        <w:ind w:left="567"/>
        <w:rPr>
          <w:rFonts w:ascii="宋体" w:hAnsi="宋体"/>
          <w:sz w:val="24"/>
          <w:szCs w:val="24"/>
          <w:highlight w:val="none"/>
          <w:lang w:val="zh-CN"/>
        </w:rPr>
      </w:pPr>
    </w:p>
    <w:p w14:paraId="12C43172">
      <w:pPr>
        <w:tabs>
          <w:tab w:val="left" w:pos="0"/>
          <w:tab w:val="left" w:pos="255"/>
        </w:tabs>
        <w:spacing w:line="360" w:lineRule="auto"/>
        <w:ind w:left="567"/>
        <w:rPr>
          <w:rFonts w:ascii="宋体" w:hAnsi="宋体"/>
          <w:sz w:val="24"/>
          <w:szCs w:val="24"/>
          <w:highlight w:val="none"/>
          <w:lang w:val="zh-CN"/>
        </w:rPr>
      </w:pPr>
    </w:p>
    <w:p w14:paraId="4EB62F1F">
      <w:pPr>
        <w:tabs>
          <w:tab w:val="left" w:pos="0"/>
          <w:tab w:val="left" w:pos="255"/>
        </w:tabs>
        <w:spacing w:line="360" w:lineRule="auto"/>
        <w:ind w:left="567"/>
        <w:rPr>
          <w:rFonts w:ascii="宋体" w:hAnsi="宋体"/>
          <w:sz w:val="24"/>
          <w:szCs w:val="24"/>
          <w:highlight w:val="none"/>
          <w:lang w:val="zh-CN"/>
        </w:rPr>
      </w:pPr>
    </w:p>
    <w:p w14:paraId="52DBCA05">
      <w:pPr>
        <w:tabs>
          <w:tab w:val="left" w:pos="0"/>
          <w:tab w:val="left" w:pos="255"/>
        </w:tabs>
        <w:spacing w:line="360" w:lineRule="auto"/>
        <w:ind w:left="567"/>
        <w:rPr>
          <w:rFonts w:ascii="宋体" w:hAnsi="宋体"/>
          <w:sz w:val="24"/>
          <w:szCs w:val="24"/>
          <w:highlight w:val="none"/>
          <w:lang w:val="zh-CN"/>
        </w:rPr>
      </w:pPr>
    </w:p>
    <w:p w14:paraId="60977580">
      <w:pPr>
        <w:tabs>
          <w:tab w:val="left" w:pos="0"/>
          <w:tab w:val="left" w:pos="255"/>
        </w:tabs>
        <w:spacing w:line="360" w:lineRule="auto"/>
        <w:ind w:left="567"/>
        <w:rPr>
          <w:rFonts w:ascii="宋体" w:hAnsi="宋体"/>
          <w:sz w:val="24"/>
          <w:szCs w:val="24"/>
          <w:highlight w:val="none"/>
          <w:lang w:val="zh-CN"/>
        </w:rPr>
      </w:pPr>
    </w:p>
    <w:p w14:paraId="7685C1B5">
      <w:pPr>
        <w:tabs>
          <w:tab w:val="left" w:pos="0"/>
          <w:tab w:val="left" w:pos="255"/>
        </w:tabs>
        <w:spacing w:line="360" w:lineRule="auto"/>
        <w:ind w:left="567"/>
        <w:rPr>
          <w:rFonts w:ascii="宋体" w:hAnsi="宋体"/>
          <w:sz w:val="24"/>
          <w:szCs w:val="24"/>
          <w:highlight w:val="none"/>
          <w:lang w:val="zh-CN"/>
        </w:rPr>
      </w:pPr>
    </w:p>
    <w:p w14:paraId="40B66D90">
      <w:pPr>
        <w:tabs>
          <w:tab w:val="left" w:pos="0"/>
          <w:tab w:val="left" w:pos="255"/>
        </w:tabs>
        <w:spacing w:line="360" w:lineRule="auto"/>
        <w:ind w:left="567"/>
        <w:rPr>
          <w:rFonts w:ascii="宋体" w:hAnsi="宋体"/>
          <w:sz w:val="24"/>
          <w:szCs w:val="24"/>
          <w:highlight w:val="none"/>
          <w:lang w:val="zh-CN"/>
        </w:rPr>
      </w:pPr>
    </w:p>
    <w:p w14:paraId="621F1116">
      <w:pPr>
        <w:tabs>
          <w:tab w:val="left" w:pos="0"/>
          <w:tab w:val="left" w:pos="255"/>
        </w:tabs>
        <w:spacing w:line="360" w:lineRule="auto"/>
        <w:ind w:left="567"/>
        <w:rPr>
          <w:rFonts w:ascii="宋体" w:hAnsi="宋体"/>
          <w:sz w:val="24"/>
          <w:szCs w:val="24"/>
          <w:highlight w:val="none"/>
          <w:lang w:val="zh-CN"/>
        </w:rPr>
      </w:pPr>
    </w:p>
    <w:p w14:paraId="63ECBD19">
      <w:pPr>
        <w:tabs>
          <w:tab w:val="left" w:pos="0"/>
          <w:tab w:val="left" w:pos="255"/>
        </w:tabs>
        <w:spacing w:line="360" w:lineRule="auto"/>
        <w:ind w:left="567"/>
        <w:rPr>
          <w:rFonts w:ascii="宋体" w:hAnsi="宋体"/>
          <w:sz w:val="24"/>
          <w:szCs w:val="24"/>
          <w:highlight w:val="none"/>
          <w:lang w:val="zh-CN"/>
        </w:rPr>
      </w:pPr>
    </w:p>
    <w:p w14:paraId="40B62355">
      <w:pPr>
        <w:tabs>
          <w:tab w:val="left" w:pos="0"/>
          <w:tab w:val="left" w:pos="255"/>
        </w:tabs>
        <w:spacing w:line="360" w:lineRule="auto"/>
        <w:rPr>
          <w:rFonts w:ascii="宋体" w:hAnsi="宋体"/>
          <w:sz w:val="24"/>
          <w:szCs w:val="24"/>
          <w:highlight w:val="none"/>
          <w:lang w:val="zh-CN"/>
        </w:rPr>
      </w:pPr>
    </w:p>
    <w:p w14:paraId="55F7B537">
      <w:pPr>
        <w:pStyle w:val="14"/>
        <w:rPr>
          <w:rFonts w:ascii="宋体" w:hAnsi="宋体"/>
          <w:sz w:val="24"/>
          <w:szCs w:val="24"/>
          <w:highlight w:val="none"/>
          <w:lang w:val="zh-CN"/>
        </w:rPr>
      </w:pPr>
    </w:p>
    <w:p w14:paraId="4994E833">
      <w:pPr>
        <w:pStyle w:val="33"/>
        <w:ind w:firstLine="200"/>
        <w:rPr>
          <w:highlight w:val="none"/>
          <w:lang w:val="zh-CN"/>
        </w:rPr>
      </w:pPr>
    </w:p>
    <w:p w14:paraId="4A1F553C">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（九）其他（供应商认为有必要提供的声明和文件，如有自拟并自行添加）</w:t>
      </w:r>
    </w:p>
    <w:p w14:paraId="5EAD93B9">
      <w:pPr>
        <w:spacing w:line="360" w:lineRule="auto"/>
        <w:ind w:right="2240"/>
        <w:rPr>
          <w:rFonts w:ascii="宋体" w:hAnsi="宋体"/>
          <w:sz w:val="24"/>
          <w:szCs w:val="24"/>
          <w:highlight w:val="none"/>
        </w:rPr>
      </w:pPr>
    </w:p>
    <w:p w14:paraId="203BD436">
      <w:pPr>
        <w:spacing w:line="360" w:lineRule="auto"/>
        <w:ind w:right="2240"/>
        <w:rPr>
          <w:rFonts w:ascii="宋体" w:hAnsi="宋体"/>
          <w:sz w:val="24"/>
          <w:szCs w:val="24"/>
          <w:highlight w:val="none"/>
        </w:rPr>
      </w:pPr>
    </w:p>
    <w:p w14:paraId="3DBA214A">
      <w:pPr>
        <w:spacing w:line="360" w:lineRule="auto"/>
        <w:ind w:right="2240"/>
        <w:rPr>
          <w:rFonts w:ascii="宋体" w:hAnsi="宋体"/>
          <w:sz w:val="24"/>
          <w:szCs w:val="24"/>
          <w:highlight w:val="none"/>
        </w:rPr>
      </w:pPr>
    </w:p>
    <w:p w14:paraId="0184D0C3">
      <w:pPr>
        <w:spacing w:line="360" w:lineRule="auto"/>
        <w:rPr>
          <w:rFonts w:ascii="宋体" w:hAnsi="宋体"/>
          <w:sz w:val="24"/>
          <w:szCs w:val="24"/>
          <w:highlight w:val="none"/>
        </w:rPr>
      </w:pPr>
    </w:p>
    <w:p w14:paraId="7781B5D2">
      <w:pPr>
        <w:rPr>
          <w:highlight w:val="none"/>
        </w:rPr>
      </w:pPr>
    </w:p>
    <w:p w14:paraId="39B0B83A">
      <w:pPr>
        <w:rPr>
          <w:highlight w:val="none"/>
        </w:rPr>
      </w:pPr>
    </w:p>
    <w:p w14:paraId="7114638B">
      <w:pPr>
        <w:rPr>
          <w:highlight w:val="none"/>
        </w:rPr>
      </w:pPr>
    </w:p>
    <w:p w14:paraId="5CCCA6C1">
      <w:pPr>
        <w:rPr>
          <w:highlight w:val="none"/>
        </w:rPr>
      </w:pPr>
    </w:p>
    <w:sectPr>
      <w:pgSz w:w="11906" w:h="16838"/>
      <w:pgMar w:top="1134" w:right="1134" w:bottom="1134" w:left="113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9BF1">
    <w:pPr>
      <w:pStyle w:val="23"/>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E820">
    <w:pPr>
      <w:pStyle w:val="23"/>
      <w:framePr w:wrap="around" w:vAnchor="text" w:hAnchor="margin" w:xAlign="center" w:yAlign="top"/>
    </w:pPr>
    <w:r>
      <w:rPr>
        <w:rStyle w:val="40"/>
      </w:rPr>
      <w:t>GE  - 3 -</w:t>
    </w:r>
  </w:p>
  <w:p w14:paraId="5436AC6F">
    <w:pPr>
      <w:pStyle w:val="23"/>
    </w:pPr>
  </w:p>
  <w:p w14:paraId="73894FBD"/>
  <w:p w14:paraId="34EDF528">
    <w:pPr>
      <w:pStyle w:val="24"/>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F8D6">
    <w:pPr>
      <w:pStyle w:val="23"/>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C8D6">
    <w:pPr>
      <w:pStyle w:val="23"/>
      <w:ind w:right="360"/>
      <w:jc w:val="center"/>
    </w:pPr>
    <w:r>
      <w:fldChar w:fldCharType="begin"/>
    </w:r>
    <w:r>
      <w:instrText xml:space="preserve">PAGE   \* MERGEFORMAT</w:instrText>
    </w:r>
    <w:r>
      <w:fldChar w:fldCharType="separate"/>
    </w:r>
    <w:r>
      <w:rPr>
        <w:lang w:val="zh-CN"/>
      </w:rPr>
      <w:t>-</w:t>
    </w:r>
    <w:r>
      <w:t xml:space="preserve"> 17 -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21D8EC0C">
        <w:pPr>
          <w:pStyle w:val="23"/>
          <w:jc w:val="center"/>
        </w:pPr>
        <w:r>
          <w:fldChar w:fldCharType="begin"/>
        </w:r>
        <w:r>
          <w:instrText xml:space="preserve">PAGE   \* MERGEFORMAT</w:instrText>
        </w:r>
        <w:r>
          <w:fldChar w:fldCharType="separate"/>
        </w:r>
        <w:r>
          <w:rPr>
            <w:lang w:val="zh-CN"/>
          </w:rPr>
          <w:t>-</w:t>
        </w:r>
        <w:r>
          <w:t xml:space="preserve"> 39 -</w:t>
        </w:r>
        <w:r>
          <w:fldChar w:fldCharType="end"/>
        </w:r>
      </w:p>
    </w:sdtContent>
  </w:sdt>
  <w:p w14:paraId="7189A17E">
    <w:pPr>
      <w:pStyle w:val="2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DB28">
    <w:pPr>
      <w:pStyle w:val="24"/>
      <w:jc w:val="right"/>
      <w:rPr>
        <w:rFonts w:hint="eastAsia" w:ascii="宋体" w:hAnsi="宋体" w:eastAsia="宋体"/>
        <w:sz w:val="24"/>
        <w:szCs w:val="24"/>
        <w:highlight w:val="none"/>
        <w:lang w:eastAsia="zh-CN"/>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eastAsia="zh-CN"/>
      </w:rPr>
      <w:t>YXGYJT202601009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BBED5"/>
    <w:multiLevelType w:val="singleLevel"/>
    <w:tmpl w:val="E3FBBED5"/>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3">
    <w:nsid w:val="0000001E"/>
    <w:multiLevelType w:val="singleLevel"/>
    <w:tmpl w:val="0000001E"/>
    <w:lvl w:ilvl="0" w:tentative="0">
      <w:start w:val="1"/>
      <w:numFmt w:val="decimal"/>
      <w:suff w:val="nothing"/>
      <w:lvlText w:val="（%1）"/>
      <w:lvlJc w:val="left"/>
      <w:pPr>
        <w:ind w:left="0" w:firstLine="420"/>
      </w:pPr>
    </w:lvl>
  </w:abstractNum>
  <w:abstractNum w:abstractNumId="4">
    <w:nsid w:val="00000029"/>
    <w:multiLevelType w:val="singleLevel"/>
    <w:tmpl w:val="00000029"/>
    <w:lvl w:ilvl="0" w:tentative="0">
      <w:start w:val="4"/>
      <w:numFmt w:val="chineseCounting"/>
      <w:suff w:val="nothing"/>
      <w:lvlText w:val="%1、"/>
      <w:lvlJc w:val="left"/>
    </w:lvl>
  </w:abstractNum>
  <w:abstractNum w:abstractNumId="5">
    <w:nsid w:val="420C153B"/>
    <w:multiLevelType w:val="multilevel"/>
    <w:tmpl w:val="420C153B"/>
    <w:lvl w:ilvl="0" w:tentative="0">
      <w:start w:val="1"/>
      <w:numFmt w:val="decimal"/>
      <w:pStyle w:val="165"/>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6">
    <w:nsid w:val="42835982"/>
    <w:multiLevelType w:val="multilevel"/>
    <w:tmpl w:val="42835982"/>
    <w:lvl w:ilvl="0" w:tentative="0">
      <w:start w:val="1"/>
      <w:numFmt w:val="bullet"/>
      <w:pStyle w:val="17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45B9758C"/>
    <w:multiLevelType w:val="singleLevel"/>
    <w:tmpl w:val="45B9758C"/>
    <w:lvl w:ilvl="0" w:tentative="0">
      <w:start w:val="4"/>
      <w:numFmt w:val="chineseCounting"/>
      <w:suff w:val="space"/>
      <w:lvlText w:val="第%1章"/>
      <w:lvlJc w:val="left"/>
      <w:rPr>
        <w:rFonts w:hint="eastAsia"/>
      </w:rPr>
    </w:lvl>
  </w:abstractNum>
  <w:abstractNum w:abstractNumId="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1">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2">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3">
    <w:nsid w:val="6EE775EE"/>
    <w:multiLevelType w:val="multilevel"/>
    <w:tmpl w:val="6EE775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0041CCF"/>
    <w:multiLevelType w:val="singleLevel"/>
    <w:tmpl w:val="70041CCF"/>
    <w:lvl w:ilvl="0" w:tentative="0">
      <w:start w:val="1"/>
      <w:numFmt w:val="bullet"/>
      <w:pStyle w:val="19"/>
      <w:lvlText w:val=""/>
      <w:lvlJc w:val="left"/>
      <w:pPr>
        <w:tabs>
          <w:tab w:val="left" w:pos="2040"/>
        </w:tabs>
        <w:ind w:left="2040" w:hanging="360"/>
      </w:pPr>
      <w:rPr>
        <w:rFonts w:hint="default" w:ascii="Wingdings" w:hAnsi="Wingdings"/>
      </w:rPr>
    </w:lvl>
  </w:abstractNum>
  <w:num w:numId="1">
    <w:abstractNumId w:val="14"/>
  </w:num>
  <w:num w:numId="2">
    <w:abstractNumId w:val="5"/>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lvlOverride w:ilvl="0">
      <w:startOverride w:val="1"/>
    </w:lvlOverride>
  </w:num>
  <w:num w:numId="7">
    <w:abstractNumId w:val="4"/>
  </w:num>
  <w:num w:numId="8">
    <w:abstractNumId w:val="8"/>
    <w:lvlOverride w:ilvl="0">
      <w:startOverride w:val="1"/>
    </w:lvlOverride>
  </w:num>
  <w:num w:numId="9">
    <w:abstractNumId w:val="9"/>
    <w:lvlOverride w:ilvl="0">
      <w:startOverride w:val="1"/>
    </w:lvlOverride>
  </w:num>
  <w:num w:numId="10">
    <w:abstractNumId w:val="1"/>
    <w:lvlOverride w:ilvl="0">
      <w:startOverride w:val="1"/>
    </w:lvlOverride>
  </w:num>
  <w:num w:numId="11">
    <w:abstractNumId w:val="11"/>
    <w:lvlOverride w:ilvl="0">
      <w:startOverride w:val="1"/>
    </w:lvlOverride>
  </w:num>
  <w:num w:numId="12">
    <w:abstractNumId w:val="3"/>
    <w:lvlOverride w:ilvl="0">
      <w:startOverride w:val="1"/>
    </w:lvlOverride>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76"/>
    <w:rsid w:val="0001495D"/>
    <w:rsid w:val="000B4285"/>
    <w:rsid w:val="000C6CA3"/>
    <w:rsid w:val="000F0E26"/>
    <w:rsid w:val="00151F26"/>
    <w:rsid w:val="00154421"/>
    <w:rsid w:val="00185F1A"/>
    <w:rsid w:val="0021588E"/>
    <w:rsid w:val="002235CA"/>
    <w:rsid w:val="00235C89"/>
    <w:rsid w:val="00252E8A"/>
    <w:rsid w:val="0027309E"/>
    <w:rsid w:val="002D79FC"/>
    <w:rsid w:val="003223E8"/>
    <w:rsid w:val="00331FFB"/>
    <w:rsid w:val="00341C3C"/>
    <w:rsid w:val="0037316B"/>
    <w:rsid w:val="0039214E"/>
    <w:rsid w:val="003D058B"/>
    <w:rsid w:val="0047652B"/>
    <w:rsid w:val="00480052"/>
    <w:rsid w:val="004A4440"/>
    <w:rsid w:val="004C2B8F"/>
    <w:rsid w:val="004C7BE6"/>
    <w:rsid w:val="004D15CA"/>
    <w:rsid w:val="0054195D"/>
    <w:rsid w:val="0057272D"/>
    <w:rsid w:val="00580DBF"/>
    <w:rsid w:val="0059047D"/>
    <w:rsid w:val="005B0BA9"/>
    <w:rsid w:val="005F18CD"/>
    <w:rsid w:val="0063551B"/>
    <w:rsid w:val="0063606F"/>
    <w:rsid w:val="00672629"/>
    <w:rsid w:val="006C3769"/>
    <w:rsid w:val="006E2A2E"/>
    <w:rsid w:val="00723B3A"/>
    <w:rsid w:val="00747DCC"/>
    <w:rsid w:val="007F5248"/>
    <w:rsid w:val="008005A3"/>
    <w:rsid w:val="008272EB"/>
    <w:rsid w:val="00853E52"/>
    <w:rsid w:val="00866BE0"/>
    <w:rsid w:val="0088503E"/>
    <w:rsid w:val="008B73C2"/>
    <w:rsid w:val="00920750"/>
    <w:rsid w:val="00930F85"/>
    <w:rsid w:val="009A620D"/>
    <w:rsid w:val="009C5621"/>
    <w:rsid w:val="00A00903"/>
    <w:rsid w:val="00A307CF"/>
    <w:rsid w:val="00A67358"/>
    <w:rsid w:val="00A85894"/>
    <w:rsid w:val="00A94A9F"/>
    <w:rsid w:val="00AD7F77"/>
    <w:rsid w:val="00B108F4"/>
    <w:rsid w:val="00B1777C"/>
    <w:rsid w:val="00B44E76"/>
    <w:rsid w:val="00BA433C"/>
    <w:rsid w:val="00BB4FD8"/>
    <w:rsid w:val="00BC12BB"/>
    <w:rsid w:val="00BC7038"/>
    <w:rsid w:val="00C04CBE"/>
    <w:rsid w:val="00C9549B"/>
    <w:rsid w:val="00CC62FB"/>
    <w:rsid w:val="00D175D8"/>
    <w:rsid w:val="00D538CB"/>
    <w:rsid w:val="00D72641"/>
    <w:rsid w:val="00D7300F"/>
    <w:rsid w:val="00DA4278"/>
    <w:rsid w:val="00E0070D"/>
    <w:rsid w:val="00E24455"/>
    <w:rsid w:val="00E26944"/>
    <w:rsid w:val="00E54FF1"/>
    <w:rsid w:val="00E960A8"/>
    <w:rsid w:val="00EE10B4"/>
    <w:rsid w:val="00EF19F1"/>
    <w:rsid w:val="00EF4B71"/>
    <w:rsid w:val="00F50175"/>
    <w:rsid w:val="00F51FDD"/>
    <w:rsid w:val="00F56525"/>
    <w:rsid w:val="00F644F4"/>
    <w:rsid w:val="00F922FE"/>
    <w:rsid w:val="00F96814"/>
    <w:rsid w:val="00FA7A80"/>
    <w:rsid w:val="0361440A"/>
    <w:rsid w:val="03A660F5"/>
    <w:rsid w:val="04891E6A"/>
    <w:rsid w:val="058C1C12"/>
    <w:rsid w:val="05953CBE"/>
    <w:rsid w:val="05BC1DCB"/>
    <w:rsid w:val="06510766"/>
    <w:rsid w:val="06731C29"/>
    <w:rsid w:val="0749768F"/>
    <w:rsid w:val="07A66002"/>
    <w:rsid w:val="089C4E7D"/>
    <w:rsid w:val="08F407AD"/>
    <w:rsid w:val="0ADD081A"/>
    <w:rsid w:val="0C3F26AC"/>
    <w:rsid w:val="0CE002DF"/>
    <w:rsid w:val="0CFD48A0"/>
    <w:rsid w:val="0E1E3623"/>
    <w:rsid w:val="0EAD60FB"/>
    <w:rsid w:val="0EC853E9"/>
    <w:rsid w:val="0EE7063E"/>
    <w:rsid w:val="0EFE5203"/>
    <w:rsid w:val="0F0D5446"/>
    <w:rsid w:val="0F1C2D99"/>
    <w:rsid w:val="102D2243"/>
    <w:rsid w:val="129037CB"/>
    <w:rsid w:val="130A36BC"/>
    <w:rsid w:val="135328D7"/>
    <w:rsid w:val="13702B73"/>
    <w:rsid w:val="13AC7923"/>
    <w:rsid w:val="144F61B0"/>
    <w:rsid w:val="14575AE1"/>
    <w:rsid w:val="14A44A77"/>
    <w:rsid w:val="14B4672E"/>
    <w:rsid w:val="14EF5D19"/>
    <w:rsid w:val="154A2F50"/>
    <w:rsid w:val="16B94831"/>
    <w:rsid w:val="175E7186"/>
    <w:rsid w:val="17B26AC1"/>
    <w:rsid w:val="17D86F39"/>
    <w:rsid w:val="17E56F60"/>
    <w:rsid w:val="185A16FC"/>
    <w:rsid w:val="18F953B8"/>
    <w:rsid w:val="19653F51"/>
    <w:rsid w:val="1B2B56F3"/>
    <w:rsid w:val="1BD95F08"/>
    <w:rsid w:val="1C7A6810"/>
    <w:rsid w:val="1F201A06"/>
    <w:rsid w:val="1F443106"/>
    <w:rsid w:val="20B8131A"/>
    <w:rsid w:val="20BB2F53"/>
    <w:rsid w:val="224A27E1"/>
    <w:rsid w:val="22B91715"/>
    <w:rsid w:val="230F7587"/>
    <w:rsid w:val="2366189C"/>
    <w:rsid w:val="243A52D2"/>
    <w:rsid w:val="25E62821"/>
    <w:rsid w:val="268F2EB8"/>
    <w:rsid w:val="278A18D2"/>
    <w:rsid w:val="280B2164"/>
    <w:rsid w:val="298F1238"/>
    <w:rsid w:val="29BB5D72"/>
    <w:rsid w:val="2ACA5D11"/>
    <w:rsid w:val="2AE90D9C"/>
    <w:rsid w:val="2CCA0648"/>
    <w:rsid w:val="2CE05682"/>
    <w:rsid w:val="2E563B09"/>
    <w:rsid w:val="2E884DBD"/>
    <w:rsid w:val="2EFA10EB"/>
    <w:rsid w:val="2F471235"/>
    <w:rsid w:val="2F6E7F4B"/>
    <w:rsid w:val="2F8F0008"/>
    <w:rsid w:val="2F9B6846"/>
    <w:rsid w:val="30C916BD"/>
    <w:rsid w:val="31876A27"/>
    <w:rsid w:val="33633282"/>
    <w:rsid w:val="33977850"/>
    <w:rsid w:val="34E42621"/>
    <w:rsid w:val="35D54660"/>
    <w:rsid w:val="35E00B47"/>
    <w:rsid w:val="35F04FF6"/>
    <w:rsid w:val="36070CBD"/>
    <w:rsid w:val="37041359"/>
    <w:rsid w:val="378E13FF"/>
    <w:rsid w:val="385C6972"/>
    <w:rsid w:val="392D1825"/>
    <w:rsid w:val="39697599"/>
    <w:rsid w:val="39E430C3"/>
    <w:rsid w:val="3B783AC3"/>
    <w:rsid w:val="3C245D91"/>
    <w:rsid w:val="3C8D17F0"/>
    <w:rsid w:val="3DB86A43"/>
    <w:rsid w:val="3DD85D99"/>
    <w:rsid w:val="3DFA2EB5"/>
    <w:rsid w:val="3E2D3BA9"/>
    <w:rsid w:val="3EF5367D"/>
    <w:rsid w:val="3F3146B5"/>
    <w:rsid w:val="3FAC33F3"/>
    <w:rsid w:val="40384169"/>
    <w:rsid w:val="40B76E3C"/>
    <w:rsid w:val="41A5061A"/>
    <w:rsid w:val="43A062DF"/>
    <w:rsid w:val="450C50BB"/>
    <w:rsid w:val="45185DAE"/>
    <w:rsid w:val="45FA5780"/>
    <w:rsid w:val="466A2DB8"/>
    <w:rsid w:val="468B6D9E"/>
    <w:rsid w:val="46EB3CE3"/>
    <w:rsid w:val="473D712A"/>
    <w:rsid w:val="485F60A2"/>
    <w:rsid w:val="48E50615"/>
    <w:rsid w:val="497F6571"/>
    <w:rsid w:val="49B91E77"/>
    <w:rsid w:val="49CD76D0"/>
    <w:rsid w:val="4A2117CA"/>
    <w:rsid w:val="4A34774F"/>
    <w:rsid w:val="4AE64EED"/>
    <w:rsid w:val="4CFD651E"/>
    <w:rsid w:val="4D7D140D"/>
    <w:rsid w:val="4D9D3203"/>
    <w:rsid w:val="4E2E0D75"/>
    <w:rsid w:val="4EAE296F"/>
    <w:rsid w:val="4EC56CD6"/>
    <w:rsid w:val="4EFA3CF4"/>
    <w:rsid w:val="4F2256F8"/>
    <w:rsid w:val="4F454AA0"/>
    <w:rsid w:val="4FAD422B"/>
    <w:rsid w:val="51186C94"/>
    <w:rsid w:val="54F13EC6"/>
    <w:rsid w:val="577613A7"/>
    <w:rsid w:val="57E36310"/>
    <w:rsid w:val="58124773"/>
    <w:rsid w:val="58726012"/>
    <w:rsid w:val="58A03243"/>
    <w:rsid w:val="59126EAD"/>
    <w:rsid w:val="59162E41"/>
    <w:rsid w:val="59490525"/>
    <w:rsid w:val="597E4984"/>
    <w:rsid w:val="5A7871E4"/>
    <w:rsid w:val="5A7B0A82"/>
    <w:rsid w:val="5AF2343A"/>
    <w:rsid w:val="5B647768"/>
    <w:rsid w:val="5BFE1ADF"/>
    <w:rsid w:val="5C9B2B0D"/>
    <w:rsid w:val="5D1A27D4"/>
    <w:rsid w:val="5EE409B8"/>
    <w:rsid w:val="5F1E5F60"/>
    <w:rsid w:val="5F1E72AE"/>
    <w:rsid w:val="606D1D3A"/>
    <w:rsid w:val="60B612C5"/>
    <w:rsid w:val="614A290A"/>
    <w:rsid w:val="61D27D8E"/>
    <w:rsid w:val="63E36016"/>
    <w:rsid w:val="640F6E0B"/>
    <w:rsid w:val="645E0747"/>
    <w:rsid w:val="65AF11EC"/>
    <w:rsid w:val="663074CD"/>
    <w:rsid w:val="66881DFA"/>
    <w:rsid w:val="66974E96"/>
    <w:rsid w:val="66EB050D"/>
    <w:rsid w:val="66F9345B"/>
    <w:rsid w:val="67650AF0"/>
    <w:rsid w:val="679C6C08"/>
    <w:rsid w:val="6815216E"/>
    <w:rsid w:val="68613F4D"/>
    <w:rsid w:val="68684D3C"/>
    <w:rsid w:val="6A3A6264"/>
    <w:rsid w:val="6A9516EC"/>
    <w:rsid w:val="6BC07C08"/>
    <w:rsid w:val="6BCE649B"/>
    <w:rsid w:val="6BFB2E17"/>
    <w:rsid w:val="6C051A46"/>
    <w:rsid w:val="6D0019E7"/>
    <w:rsid w:val="6D657A9C"/>
    <w:rsid w:val="6D6B6D9A"/>
    <w:rsid w:val="6DB175E8"/>
    <w:rsid w:val="6FD1766A"/>
    <w:rsid w:val="705B0CE2"/>
    <w:rsid w:val="705F5206"/>
    <w:rsid w:val="71BF5462"/>
    <w:rsid w:val="72007D93"/>
    <w:rsid w:val="735C549D"/>
    <w:rsid w:val="74192A57"/>
    <w:rsid w:val="742E6D1C"/>
    <w:rsid w:val="75451BF2"/>
    <w:rsid w:val="758D4EA4"/>
    <w:rsid w:val="759251A6"/>
    <w:rsid w:val="75F53987"/>
    <w:rsid w:val="76233B13"/>
    <w:rsid w:val="774442C4"/>
    <w:rsid w:val="77DE7EB2"/>
    <w:rsid w:val="78F87A16"/>
    <w:rsid w:val="7A2E1215"/>
    <w:rsid w:val="7A340F22"/>
    <w:rsid w:val="7A5331BB"/>
    <w:rsid w:val="7AB14320"/>
    <w:rsid w:val="7AFD7566"/>
    <w:rsid w:val="7B4909FD"/>
    <w:rsid w:val="7BD209F2"/>
    <w:rsid w:val="7D5F62B6"/>
    <w:rsid w:val="7D9B26AB"/>
    <w:rsid w:val="7DDA1DE0"/>
    <w:rsid w:val="7E5020A2"/>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link w:val="58"/>
    <w:qFormat/>
    <w:uiPriority w:val="99"/>
    <w:rPr>
      <w:kern w:val="0"/>
      <w:sz w:val="20"/>
    </w:rPr>
  </w:style>
  <w:style w:type="paragraph" w:styleId="15">
    <w:name w:val="Body Text Indent"/>
    <w:basedOn w:val="1"/>
    <w:next w:val="16"/>
    <w:link w:val="61"/>
    <w:unhideWhenUsed/>
    <w:qFormat/>
    <w:uiPriority w:val="99"/>
    <w:pPr>
      <w:spacing w:line="360" w:lineRule="auto"/>
      <w:ind w:firstLine="480" w:firstLineChars="200"/>
    </w:pPr>
    <w:rPr>
      <w:rFonts w:ascii="宋体"/>
      <w:sz w:val="24"/>
    </w:rPr>
  </w:style>
  <w:style w:type="paragraph" w:styleId="16">
    <w:name w:val="envelope return"/>
    <w:basedOn w:val="1"/>
    <w:unhideWhenUsed/>
    <w:qFormat/>
    <w:uiPriority w:val="99"/>
    <w:rPr>
      <w:rFonts w:hint="eastAsia" w:ascii="Arial" w:hAnsi="Arial"/>
    </w:rPr>
  </w:style>
  <w:style w:type="paragraph" w:styleId="17">
    <w:name w:val="index 4"/>
    <w:basedOn w:val="1"/>
    <w:next w:val="1"/>
    <w:unhideWhenUsed/>
    <w:qFormat/>
    <w:uiPriority w:val="99"/>
    <w:pPr>
      <w:ind w:left="600" w:leftChars="600"/>
    </w:pPr>
    <w:rPr>
      <w:rFonts w:ascii="Calibri" w:hAnsi="Calibri"/>
      <w:szCs w:val="22"/>
    </w:rPr>
  </w:style>
  <w:style w:type="paragraph" w:styleId="18">
    <w:name w:val="Plain Text"/>
    <w:basedOn w:val="1"/>
    <w:link w:val="62"/>
    <w:qFormat/>
    <w:uiPriority w:val="0"/>
    <w:rPr>
      <w:rFonts w:ascii="Calibri" w:hAnsi="Calibri"/>
      <w:kern w:val="0"/>
      <w:sz w:val="24"/>
      <w:szCs w:val="24"/>
    </w:rPr>
  </w:style>
  <w:style w:type="paragraph" w:styleId="19">
    <w:name w:val="List Bullet 5"/>
    <w:basedOn w:val="1"/>
    <w:semiHidden/>
    <w:unhideWhenUsed/>
    <w:qFormat/>
    <w:uiPriority w:val="99"/>
    <w:pPr>
      <w:numPr>
        <w:ilvl w:val="0"/>
        <w:numId w:val="1"/>
      </w:numPr>
    </w:pPr>
  </w:style>
  <w:style w:type="paragraph" w:styleId="20">
    <w:name w:val="Date"/>
    <w:basedOn w:val="1"/>
    <w:next w:val="1"/>
    <w:link w:val="63"/>
    <w:unhideWhenUsed/>
    <w:qFormat/>
    <w:uiPriority w:val="99"/>
    <w:rPr>
      <w:sz w:val="24"/>
    </w:rPr>
  </w:style>
  <w:style w:type="paragraph" w:styleId="21">
    <w:name w:val="endnote text"/>
    <w:basedOn w:val="1"/>
    <w:link w:val="64"/>
    <w:qFormat/>
    <w:uiPriority w:val="0"/>
    <w:pPr>
      <w:snapToGrid w:val="0"/>
      <w:jc w:val="left"/>
    </w:pPr>
    <w:rPr>
      <w:rFonts w:ascii="仿宋_GB2312" w:eastAsia="仿宋_GB2312"/>
      <w:sz w:val="28"/>
      <w:szCs w:val="28"/>
    </w:rPr>
  </w:style>
  <w:style w:type="paragraph" w:styleId="22">
    <w:name w:val="Balloon Text"/>
    <w:basedOn w:val="1"/>
    <w:link w:val="65"/>
    <w:qFormat/>
    <w:uiPriority w:val="99"/>
    <w:rPr>
      <w:kern w:val="0"/>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66"/>
    <w:qFormat/>
    <w:uiPriority w:val="99"/>
    <w:pPr>
      <w:widowControl/>
      <w:spacing w:after="120"/>
      <w:ind w:left="420" w:leftChars="200"/>
      <w:jc w:val="left"/>
    </w:pPr>
    <w:rPr>
      <w:kern w:val="0"/>
      <w:sz w:val="16"/>
      <w:szCs w:val="16"/>
    </w:rPr>
  </w:style>
  <w:style w:type="paragraph" w:styleId="27">
    <w:name w:val="toc 2"/>
    <w:basedOn w:val="1"/>
    <w:next w:val="1"/>
    <w:qFormat/>
    <w:uiPriority w:val="39"/>
    <w:pPr>
      <w:ind w:left="420" w:leftChars="200"/>
    </w:pPr>
  </w:style>
  <w:style w:type="paragraph" w:styleId="28">
    <w:name w:val="Body Text 2"/>
    <w:basedOn w:val="1"/>
    <w:link w:val="67"/>
    <w:qFormat/>
    <w:uiPriority w:val="99"/>
    <w:pPr>
      <w:spacing w:after="120" w:line="480" w:lineRule="auto"/>
    </w:pPr>
    <w:rPr>
      <w:kern w:val="0"/>
      <w:sz w:val="20"/>
    </w:rPr>
  </w:style>
  <w:style w:type="paragraph" w:styleId="29">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2">
    <w:name w:val="annotation subject"/>
    <w:basedOn w:val="13"/>
    <w:next w:val="13"/>
    <w:link w:val="70"/>
    <w:qFormat/>
    <w:uiPriority w:val="99"/>
    <w:rPr>
      <w:b/>
      <w:bCs/>
    </w:rPr>
  </w:style>
  <w:style w:type="paragraph" w:styleId="33">
    <w:name w:val="Body Text First Indent"/>
    <w:basedOn w:val="14"/>
    <w:link w:val="71"/>
    <w:unhideWhenUsed/>
    <w:qFormat/>
    <w:uiPriority w:val="99"/>
    <w:pPr>
      <w:ind w:firstLine="420" w:firstLineChars="100"/>
    </w:pPr>
    <w:rPr>
      <w:kern w:val="2"/>
    </w:rPr>
  </w:style>
  <w:style w:type="paragraph" w:styleId="34">
    <w:name w:val="Body Text First Indent 2"/>
    <w:basedOn w:val="15"/>
    <w:link w:val="72"/>
    <w:qFormat/>
    <w:uiPriority w:val="99"/>
    <w:pPr>
      <w:ind w:firstLine="42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Elegant"/>
    <w:basedOn w:val="35"/>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auto"/>
      <w:u w:val="none"/>
    </w:rPr>
  </w:style>
  <w:style w:type="character" w:styleId="42">
    <w:name w:val="Emphasis"/>
    <w:qFormat/>
    <w:uiPriority w:val="20"/>
    <w:rPr>
      <w:i/>
    </w:rPr>
  </w:style>
  <w:style w:type="character" w:styleId="43">
    <w:name w:val="Hyperlink"/>
    <w:unhideWhenUsed/>
    <w:qFormat/>
    <w:uiPriority w:val="99"/>
    <w:rPr>
      <w:color w:val="0000FF"/>
      <w:u w:val="single"/>
    </w:rPr>
  </w:style>
  <w:style w:type="character" w:styleId="44">
    <w:name w:val="HTML Code"/>
    <w:qFormat/>
    <w:uiPriority w:val="99"/>
    <w:rPr>
      <w:rFonts w:ascii="Consolas" w:hAnsi="Consolas" w:eastAsia="Times New Roman"/>
      <w:color w:val="DD1144"/>
      <w:sz w:val="18"/>
      <w:bdr w:val="single" w:color="E1E1E8" w:sz="6" w:space="0"/>
      <w:shd w:val="clear" w:color="auto" w:fill="F7F7F9"/>
    </w:rPr>
  </w:style>
  <w:style w:type="character" w:styleId="45">
    <w:name w:val="annotation reference"/>
    <w:qFormat/>
    <w:uiPriority w:val="0"/>
    <w:rPr>
      <w:sz w:val="21"/>
      <w:szCs w:val="21"/>
    </w:rPr>
  </w:style>
  <w:style w:type="character" w:styleId="46">
    <w:name w:val="HTML Cite"/>
    <w:qFormat/>
    <w:uiPriority w:val="99"/>
  </w:style>
  <w:style w:type="character" w:customStyle="1" w:styleId="47">
    <w:name w:val="页眉 Char"/>
    <w:basedOn w:val="38"/>
    <w:link w:val="24"/>
    <w:qFormat/>
    <w:uiPriority w:val="99"/>
    <w:rPr>
      <w:sz w:val="18"/>
      <w:szCs w:val="18"/>
    </w:rPr>
  </w:style>
  <w:style w:type="character" w:customStyle="1" w:styleId="48">
    <w:name w:val="页脚 Char"/>
    <w:basedOn w:val="38"/>
    <w:link w:val="23"/>
    <w:qFormat/>
    <w:uiPriority w:val="99"/>
    <w:rPr>
      <w:sz w:val="18"/>
      <w:szCs w:val="18"/>
    </w:rPr>
  </w:style>
  <w:style w:type="character" w:customStyle="1" w:styleId="49">
    <w:name w:val="标题 1 Char"/>
    <w:basedOn w:val="38"/>
    <w:link w:val="2"/>
    <w:qFormat/>
    <w:uiPriority w:val="9"/>
    <w:rPr>
      <w:rFonts w:ascii="Times New Roman" w:hAnsi="Times New Roman" w:eastAsia="宋体" w:cs="Times New Roman"/>
      <w:b/>
      <w:kern w:val="44"/>
      <w:sz w:val="44"/>
      <w:szCs w:val="20"/>
    </w:rPr>
  </w:style>
  <w:style w:type="character" w:customStyle="1" w:styleId="50">
    <w:name w:val="标题 2 Char"/>
    <w:basedOn w:val="38"/>
    <w:link w:val="3"/>
    <w:qFormat/>
    <w:uiPriority w:val="9"/>
    <w:rPr>
      <w:rFonts w:ascii="Arial" w:hAnsi="Arial" w:eastAsia="黑体" w:cs="Times New Roman"/>
      <w:b/>
      <w:kern w:val="0"/>
      <w:sz w:val="32"/>
      <w:szCs w:val="20"/>
    </w:rPr>
  </w:style>
  <w:style w:type="character" w:customStyle="1" w:styleId="51">
    <w:name w:val="标题 3 Char"/>
    <w:basedOn w:val="38"/>
    <w:link w:val="4"/>
    <w:qFormat/>
    <w:uiPriority w:val="9"/>
    <w:rPr>
      <w:rFonts w:ascii="Times New Roman" w:hAnsi="Times New Roman" w:eastAsia="宋体" w:cs="Times New Roman"/>
      <w:b/>
      <w:kern w:val="0"/>
      <w:sz w:val="32"/>
      <w:szCs w:val="20"/>
    </w:rPr>
  </w:style>
  <w:style w:type="character" w:customStyle="1" w:styleId="52">
    <w:name w:val="标题 4 Char"/>
    <w:basedOn w:val="38"/>
    <w:link w:val="5"/>
    <w:qFormat/>
    <w:uiPriority w:val="9"/>
    <w:rPr>
      <w:rFonts w:ascii="Arial" w:hAnsi="Arial" w:eastAsia="黑体" w:cs="Times New Roman"/>
      <w:b/>
      <w:kern w:val="0"/>
      <w:sz w:val="28"/>
      <w:szCs w:val="20"/>
    </w:rPr>
  </w:style>
  <w:style w:type="character" w:customStyle="1" w:styleId="53">
    <w:name w:val="标题 5 Char"/>
    <w:basedOn w:val="38"/>
    <w:link w:val="6"/>
    <w:qFormat/>
    <w:uiPriority w:val="9"/>
    <w:rPr>
      <w:rFonts w:ascii="Times New Roman" w:hAnsi="Times New Roman" w:eastAsia="宋体" w:cs="Times New Roman"/>
      <w:b/>
      <w:kern w:val="0"/>
      <w:sz w:val="28"/>
      <w:szCs w:val="20"/>
    </w:rPr>
  </w:style>
  <w:style w:type="character" w:customStyle="1" w:styleId="54">
    <w:name w:val="标题 6 Char"/>
    <w:basedOn w:val="38"/>
    <w:link w:val="7"/>
    <w:qFormat/>
    <w:uiPriority w:val="9"/>
    <w:rPr>
      <w:rFonts w:ascii="Arial" w:hAnsi="Arial" w:eastAsia="黑体" w:cs="Times New Roman"/>
      <w:b/>
      <w:kern w:val="0"/>
      <w:sz w:val="24"/>
      <w:szCs w:val="20"/>
    </w:rPr>
  </w:style>
  <w:style w:type="character" w:customStyle="1" w:styleId="55">
    <w:name w:val="标题 7 Char"/>
    <w:basedOn w:val="38"/>
    <w:link w:val="8"/>
    <w:qFormat/>
    <w:uiPriority w:val="9"/>
    <w:rPr>
      <w:rFonts w:ascii="Times New Roman" w:hAnsi="Times New Roman" w:eastAsia="宋体" w:cs="Times New Roman"/>
      <w:b/>
      <w:kern w:val="0"/>
      <w:sz w:val="24"/>
      <w:szCs w:val="20"/>
    </w:rPr>
  </w:style>
  <w:style w:type="character" w:customStyle="1" w:styleId="56">
    <w:name w:val="标题 8 Char"/>
    <w:basedOn w:val="38"/>
    <w:link w:val="9"/>
    <w:qFormat/>
    <w:uiPriority w:val="9"/>
    <w:rPr>
      <w:rFonts w:ascii="Arial" w:hAnsi="Arial" w:eastAsia="黑体" w:cs="Times New Roman"/>
      <w:kern w:val="0"/>
      <w:sz w:val="24"/>
      <w:szCs w:val="20"/>
    </w:rPr>
  </w:style>
  <w:style w:type="character" w:customStyle="1" w:styleId="57">
    <w:name w:val="标题 9 Char"/>
    <w:basedOn w:val="38"/>
    <w:link w:val="10"/>
    <w:qFormat/>
    <w:uiPriority w:val="9"/>
    <w:rPr>
      <w:rFonts w:ascii="Arial" w:hAnsi="Arial" w:eastAsia="黑体" w:cs="Times New Roman"/>
      <w:kern w:val="0"/>
      <w:sz w:val="20"/>
      <w:szCs w:val="20"/>
    </w:rPr>
  </w:style>
  <w:style w:type="character" w:customStyle="1" w:styleId="58">
    <w:name w:val="正文文本 Char"/>
    <w:basedOn w:val="38"/>
    <w:link w:val="14"/>
    <w:qFormat/>
    <w:uiPriority w:val="99"/>
    <w:rPr>
      <w:rFonts w:ascii="Times New Roman" w:hAnsi="Times New Roman" w:eastAsia="宋体" w:cs="Times New Roman"/>
      <w:kern w:val="0"/>
      <w:sz w:val="20"/>
      <w:szCs w:val="20"/>
    </w:rPr>
  </w:style>
  <w:style w:type="character" w:customStyle="1" w:styleId="59">
    <w:name w:val="文档结构图 Char"/>
    <w:basedOn w:val="38"/>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8"/>
    <w:link w:val="13"/>
    <w:qFormat/>
    <w:uiPriority w:val="99"/>
    <w:rPr>
      <w:rFonts w:ascii="Times New Roman" w:hAnsi="Times New Roman" w:eastAsia="宋体" w:cs="Times New Roman"/>
      <w:kern w:val="0"/>
      <w:sz w:val="20"/>
      <w:szCs w:val="20"/>
    </w:rPr>
  </w:style>
  <w:style w:type="character" w:customStyle="1" w:styleId="61">
    <w:name w:val="正文文本缩进 Char"/>
    <w:basedOn w:val="38"/>
    <w:link w:val="15"/>
    <w:qFormat/>
    <w:uiPriority w:val="99"/>
    <w:rPr>
      <w:rFonts w:ascii="宋体" w:hAnsi="Times New Roman" w:eastAsia="宋体" w:cs="Times New Roman"/>
      <w:sz w:val="24"/>
      <w:szCs w:val="20"/>
    </w:rPr>
  </w:style>
  <w:style w:type="character" w:customStyle="1" w:styleId="62">
    <w:name w:val="纯文本 Char"/>
    <w:basedOn w:val="38"/>
    <w:link w:val="18"/>
    <w:qFormat/>
    <w:uiPriority w:val="0"/>
    <w:rPr>
      <w:rFonts w:ascii="Calibri" w:hAnsi="Calibri" w:eastAsia="宋体" w:cs="Times New Roman"/>
      <w:kern w:val="0"/>
      <w:sz w:val="24"/>
      <w:szCs w:val="24"/>
    </w:rPr>
  </w:style>
  <w:style w:type="character" w:customStyle="1" w:styleId="63">
    <w:name w:val="日期 Char"/>
    <w:basedOn w:val="38"/>
    <w:link w:val="20"/>
    <w:qFormat/>
    <w:uiPriority w:val="99"/>
    <w:rPr>
      <w:rFonts w:ascii="Times New Roman" w:hAnsi="Times New Roman" w:eastAsia="宋体" w:cs="Times New Roman"/>
      <w:sz w:val="24"/>
      <w:szCs w:val="20"/>
    </w:rPr>
  </w:style>
  <w:style w:type="character" w:customStyle="1" w:styleId="64">
    <w:name w:val="尾注文本 Char"/>
    <w:basedOn w:val="38"/>
    <w:link w:val="21"/>
    <w:qFormat/>
    <w:uiPriority w:val="0"/>
    <w:rPr>
      <w:rFonts w:ascii="仿宋_GB2312" w:hAnsi="Times New Roman" w:eastAsia="仿宋_GB2312" w:cs="Times New Roman"/>
      <w:sz w:val="28"/>
      <w:szCs w:val="28"/>
    </w:rPr>
  </w:style>
  <w:style w:type="character" w:customStyle="1" w:styleId="65">
    <w:name w:val="批注框文本 Char"/>
    <w:basedOn w:val="38"/>
    <w:link w:val="22"/>
    <w:qFormat/>
    <w:uiPriority w:val="99"/>
    <w:rPr>
      <w:rFonts w:ascii="Times New Roman" w:hAnsi="Times New Roman" w:eastAsia="宋体" w:cs="Times New Roman"/>
      <w:kern w:val="0"/>
      <w:sz w:val="18"/>
      <w:szCs w:val="18"/>
    </w:rPr>
  </w:style>
  <w:style w:type="character" w:customStyle="1" w:styleId="66">
    <w:name w:val="正文文本缩进 3 Char"/>
    <w:basedOn w:val="38"/>
    <w:link w:val="26"/>
    <w:qFormat/>
    <w:uiPriority w:val="99"/>
    <w:rPr>
      <w:rFonts w:ascii="Times New Roman" w:hAnsi="Times New Roman" w:eastAsia="宋体" w:cs="Times New Roman"/>
      <w:kern w:val="0"/>
      <w:sz w:val="16"/>
      <w:szCs w:val="16"/>
    </w:rPr>
  </w:style>
  <w:style w:type="character" w:customStyle="1" w:styleId="67">
    <w:name w:val="正文文本 2 Char"/>
    <w:basedOn w:val="38"/>
    <w:link w:val="28"/>
    <w:qFormat/>
    <w:uiPriority w:val="99"/>
    <w:rPr>
      <w:rFonts w:ascii="Times New Roman" w:hAnsi="Times New Roman" w:eastAsia="宋体" w:cs="Times New Roman"/>
      <w:kern w:val="0"/>
      <w:sz w:val="20"/>
      <w:szCs w:val="20"/>
    </w:rPr>
  </w:style>
  <w:style w:type="character" w:customStyle="1" w:styleId="68">
    <w:name w:val="HTML 预设格式 Char"/>
    <w:basedOn w:val="38"/>
    <w:link w:val="29"/>
    <w:qFormat/>
    <w:uiPriority w:val="99"/>
    <w:rPr>
      <w:rFonts w:ascii="宋体" w:hAnsi="宋体" w:eastAsia="宋体" w:cs="Times New Roman"/>
      <w:kern w:val="0"/>
      <w:sz w:val="24"/>
      <w:szCs w:val="24"/>
    </w:rPr>
  </w:style>
  <w:style w:type="character" w:customStyle="1" w:styleId="69">
    <w:name w:val="标题 Char"/>
    <w:basedOn w:val="38"/>
    <w:link w:val="31"/>
    <w:qFormat/>
    <w:uiPriority w:val="0"/>
    <w:rPr>
      <w:rFonts w:ascii="Cambria" w:hAnsi="Cambria" w:eastAsia="宋体" w:cs="Times New Roman"/>
      <w:b/>
      <w:sz w:val="24"/>
      <w:szCs w:val="32"/>
    </w:rPr>
  </w:style>
  <w:style w:type="character" w:customStyle="1" w:styleId="70">
    <w:name w:val="批注主题 Char"/>
    <w:basedOn w:val="60"/>
    <w:link w:val="32"/>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33"/>
    <w:qFormat/>
    <w:uiPriority w:val="99"/>
    <w:rPr>
      <w:rFonts w:ascii="Times New Roman" w:hAnsi="Times New Roman" w:eastAsia="宋体" w:cs="Times New Roman"/>
      <w:kern w:val="0"/>
      <w:sz w:val="20"/>
      <w:szCs w:val="20"/>
    </w:rPr>
  </w:style>
  <w:style w:type="character" w:customStyle="1" w:styleId="72">
    <w:name w:val="正文首行缩进 2 Char"/>
    <w:basedOn w:val="61"/>
    <w:link w:val="34"/>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8"/>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6">
    <w:name w:val="1 Char Char Char Char Char"/>
    <w:basedOn w:val="1"/>
    <w:qFormat/>
    <w:uiPriority w:val="0"/>
    <w:pPr>
      <w:tabs>
        <w:tab w:val="left" w:pos="360"/>
      </w:tabs>
      <w:ind w:left="360" w:hanging="360" w:hangingChars="200"/>
    </w:pPr>
    <w:rPr>
      <w:sz w:val="24"/>
      <w:szCs w:val="24"/>
    </w:rPr>
  </w:style>
  <w:style w:type="paragraph" w:customStyle="1" w:styleId="137">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8">
    <w:name w:val="Char Char Char"/>
    <w:basedOn w:val="12"/>
    <w:qFormat/>
    <w:uiPriority w:val="0"/>
    <w:pPr>
      <w:jc w:val="center"/>
    </w:pPr>
    <w:rPr>
      <w:rFonts w:ascii="宋体" w:hAnsi="宋体"/>
      <w:sz w:val="24"/>
    </w:rPr>
  </w:style>
  <w:style w:type="paragraph" w:customStyle="1" w:styleId="139">
    <w:name w:val="pa-2"/>
    <w:basedOn w:val="1"/>
    <w:qFormat/>
    <w:uiPriority w:val="0"/>
    <w:pPr>
      <w:widowControl/>
      <w:spacing w:before="150" w:after="150"/>
      <w:jc w:val="left"/>
    </w:pPr>
    <w:rPr>
      <w:rFonts w:ascii="宋体" w:hAnsi="宋体" w:cs="宋体"/>
      <w:kern w:val="0"/>
      <w:sz w:val="24"/>
      <w:szCs w:val="24"/>
    </w:rPr>
  </w:style>
  <w:style w:type="paragraph" w:styleId="140">
    <w:name w:val="List Paragraph"/>
    <w:basedOn w:val="1"/>
    <w:qFormat/>
    <w:uiPriority w:val="34"/>
    <w:pPr>
      <w:ind w:firstLine="420" w:firstLineChars="200"/>
    </w:pPr>
  </w:style>
  <w:style w:type="paragraph" w:customStyle="1" w:styleId="141">
    <w:name w:val="Normal_30"/>
    <w:qFormat/>
    <w:uiPriority w:val="0"/>
    <w:rPr>
      <w:rFonts w:ascii="黑体" w:hAnsi="黑体" w:eastAsia="黑体" w:cs="Times New Roman"/>
      <w:b/>
      <w:sz w:val="32"/>
      <w:szCs w:val="24"/>
      <w:lang w:val="en-US" w:eastAsia="zh-CN" w:bidi="ar-SA"/>
    </w:rPr>
  </w:style>
  <w:style w:type="paragraph" w:customStyle="1" w:styleId="142">
    <w:name w:val="pa-4"/>
    <w:basedOn w:val="1"/>
    <w:qFormat/>
    <w:uiPriority w:val="0"/>
    <w:pPr>
      <w:widowControl/>
      <w:spacing w:before="150" w:after="150"/>
      <w:jc w:val="left"/>
    </w:pPr>
    <w:rPr>
      <w:rFonts w:ascii="宋体" w:hAnsi="宋体" w:cs="宋体"/>
      <w:kern w:val="0"/>
      <w:sz w:val="24"/>
      <w:szCs w:val="24"/>
    </w:rPr>
  </w:style>
  <w:style w:type="paragraph" w:customStyle="1" w:styleId="143">
    <w:name w:val="正文1"/>
    <w:qFormat/>
    <w:uiPriority w:val="0"/>
    <w:pPr>
      <w:adjustRightInd w:val="0"/>
      <w:snapToGrid w:val="0"/>
    </w:pPr>
    <w:rPr>
      <w:rFonts w:ascii="Tahoma" w:hAnsi="Tahoma" w:eastAsia="微软雅黑" w:cs="Times New Roman"/>
      <w:lang w:val="en-US" w:eastAsia="zh-CN" w:bidi="ar-SA"/>
    </w:rPr>
  </w:style>
  <w:style w:type="paragraph" w:customStyle="1" w:styleId="1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8">
    <w:name w:val="普通文字"/>
    <w:basedOn w:val="1"/>
    <w:next w:val="1"/>
    <w:qFormat/>
    <w:uiPriority w:val="0"/>
    <w:rPr>
      <w:rFonts w:ascii="宋体"/>
      <w:kern w:val="0"/>
      <w:sz w:val="24"/>
      <w:u w:color="000000"/>
    </w:rPr>
  </w:style>
  <w:style w:type="paragraph" w:customStyle="1" w:styleId="149">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表标题"/>
    <w:next w:val="135"/>
    <w:qFormat/>
    <w:uiPriority w:val="0"/>
    <w:pPr>
      <w:jc w:val="center"/>
    </w:pPr>
    <w:rPr>
      <w:rFonts w:ascii="黑体" w:hAnsi="Times New Roman" w:eastAsia="黑体" w:cs="Times New Roman"/>
      <w:sz w:val="21"/>
      <w:lang w:val="en-US" w:eastAsia="zh-CN" w:bidi="ar-SA"/>
    </w:rPr>
  </w:style>
  <w:style w:type="paragraph" w:customStyle="1" w:styleId="151">
    <w:name w:val="索引 11"/>
    <w:basedOn w:val="1"/>
    <w:next w:val="1"/>
    <w:qFormat/>
    <w:uiPriority w:val="0"/>
    <w:pPr>
      <w:spacing w:line="360" w:lineRule="auto"/>
    </w:pPr>
    <w:rPr>
      <w:rFonts w:ascii="仿宋_GB2312" w:eastAsia="仿宋_GB2312"/>
      <w:sz w:val="24"/>
    </w:rPr>
  </w:style>
  <w:style w:type="paragraph" w:customStyle="1" w:styleId="152">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3">
    <w:name w:val="Char Char Char Char Char Char1 Char"/>
    <w:basedOn w:val="1"/>
    <w:qFormat/>
    <w:uiPriority w:val="0"/>
    <w:pPr>
      <w:widowControl/>
      <w:spacing w:after="160" w:line="240" w:lineRule="exact"/>
      <w:jc w:val="left"/>
    </w:p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Default Paragraph Font Para Char"/>
    <w:basedOn w:val="1"/>
    <w:qFormat/>
    <w:uiPriority w:val="0"/>
    <w:pPr>
      <w:widowControl/>
      <w:spacing w:after="160" w:line="240" w:lineRule="exact"/>
      <w:jc w:val="left"/>
    </w:pPr>
  </w:style>
  <w:style w:type="paragraph" w:customStyle="1" w:styleId="156">
    <w:name w:val="样式 标题 2 + 黑色 行距: 1.5 倍行距"/>
    <w:basedOn w:val="3"/>
    <w:qFormat/>
    <w:uiPriority w:val="0"/>
    <w:pPr>
      <w:spacing w:line="600" w:lineRule="exact"/>
    </w:pPr>
    <w:rPr>
      <w:rFonts w:ascii="黑体" w:cs="宋体"/>
      <w:bCs/>
      <w:color w:val="000000"/>
      <w:szCs w:val="32"/>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a-6"/>
    <w:basedOn w:val="1"/>
    <w:qFormat/>
    <w:uiPriority w:val="0"/>
    <w:pPr>
      <w:widowControl/>
      <w:spacing w:before="150" w:after="150"/>
      <w:jc w:val="left"/>
    </w:pPr>
    <w:rPr>
      <w:rFonts w:ascii="宋体" w:hAnsi="宋体" w:cs="宋体"/>
      <w:kern w:val="0"/>
      <w:sz w:val="24"/>
      <w:szCs w:val="24"/>
    </w:rPr>
  </w:style>
  <w:style w:type="paragraph" w:customStyle="1" w:styleId="159">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Normal_1"/>
    <w:qFormat/>
    <w:uiPriority w:val="0"/>
    <w:pPr>
      <w:adjustRightInd w:val="0"/>
      <w:snapToGrid w:val="0"/>
    </w:pPr>
    <w:rPr>
      <w:rFonts w:ascii="Tahoma" w:hAnsi="Tahoma" w:eastAsia="微软雅黑" w:cs="Times New Roman"/>
      <w:lang w:val="en-US" w:eastAsia="zh-CN" w:bidi="ar-SA"/>
    </w:rPr>
  </w:style>
  <w:style w:type="paragraph" w:customStyle="1" w:styleId="16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pa-3"/>
    <w:basedOn w:val="1"/>
    <w:qFormat/>
    <w:uiPriority w:val="0"/>
    <w:pPr>
      <w:widowControl/>
      <w:spacing w:before="150" w:after="150"/>
      <w:jc w:val="left"/>
    </w:pPr>
    <w:rPr>
      <w:rFonts w:ascii="宋体" w:hAnsi="宋体" w:cs="宋体"/>
      <w:kern w:val="0"/>
      <w:sz w:val="24"/>
      <w:szCs w:val="24"/>
    </w:rPr>
  </w:style>
  <w:style w:type="paragraph" w:customStyle="1" w:styleId="1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1"/>
    <w:basedOn w:val="1"/>
    <w:qFormat/>
    <w:uiPriority w:val="0"/>
    <w:pPr>
      <w:numPr>
        <w:ilvl w:val="0"/>
        <w:numId w:val="2"/>
      </w:numPr>
      <w:adjustRightInd w:val="0"/>
    </w:pPr>
    <w:rPr>
      <w:rFonts w:ascii="宋体" w:hAnsi="宋体"/>
      <w:kern w:val="0"/>
      <w:szCs w:val="21"/>
    </w:rPr>
  </w:style>
  <w:style w:type="paragraph" w:customStyle="1" w:styleId="16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1 Char Char Char"/>
    <w:basedOn w:val="1"/>
    <w:qFormat/>
    <w:uiPriority w:val="0"/>
    <w:rPr>
      <w:rFonts w:ascii="Tahoma" w:hAnsi="Tahoma" w:eastAsia="仿宋_GB2312"/>
      <w:b/>
      <w:sz w:val="24"/>
    </w:rPr>
  </w:style>
  <w:style w:type="paragraph" w:customStyle="1" w:styleId="168">
    <w:name w:val="pa-1"/>
    <w:basedOn w:val="1"/>
    <w:qFormat/>
    <w:uiPriority w:val="0"/>
    <w:pPr>
      <w:widowControl/>
      <w:spacing w:before="150" w:after="150"/>
      <w:jc w:val="left"/>
    </w:pPr>
    <w:rPr>
      <w:rFonts w:ascii="宋体" w:hAnsi="宋体" w:cs="宋体"/>
      <w:kern w:val="0"/>
      <w:sz w:val="24"/>
      <w:szCs w:val="24"/>
    </w:rPr>
  </w:style>
  <w:style w:type="paragraph" w:customStyle="1" w:styleId="169">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列出段落11"/>
    <w:basedOn w:val="1"/>
    <w:qFormat/>
    <w:uiPriority w:val="0"/>
    <w:pPr>
      <w:ind w:firstLine="420" w:firstLineChars="200"/>
    </w:pPr>
    <w:rPr>
      <w:rFonts w:ascii="Calibri" w:hAnsi="Calibri"/>
      <w:sz w:val="24"/>
      <w:szCs w:val="24"/>
    </w:rPr>
  </w:style>
  <w:style w:type="table" w:customStyle="1" w:styleId="171">
    <w:name w:val="网格型1"/>
    <w:basedOn w:val="3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修订1"/>
    <w:semiHidden/>
    <w:qFormat/>
    <w:uiPriority w:val="99"/>
    <w:rPr>
      <w:rFonts w:ascii="Calibri" w:hAnsi="Calibri" w:eastAsia="宋体" w:cs="Times New Roman"/>
      <w:kern w:val="2"/>
      <w:sz w:val="21"/>
      <w:szCs w:val="22"/>
      <w:lang w:val="en-US" w:eastAsia="zh-CN" w:bidi="ar-SA"/>
    </w:rPr>
  </w:style>
  <w:style w:type="paragraph" w:customStyle="1" w:styleId="173">
    <w:name w:val="修订2"/>
    <w:semiHidden/>
    <w:qFormat/>
    <w:uiPriority w:val="99"/>
    <w:rPr>
      <w:rFonts w:ascii="Calibri" w:hAnsi="Calibri" w:eastAsia="宋体" w:cs="Times New Roman"/>
      <w:kern w:val="2"/>
      <w:sz w:val="21"/>
      <w:szCs w:val="22"/>
      <w:lang w:val="en-US" w:eastAsia="zh-CN" w:bidi="ar-SA"/>
    </w:rPr>
  </w:style>
  <w:style w:type="character" w:customStyle="1" w:styleId="174">
    <w:name w:val="font01"/>
    <w:qFormat/>
    <w:uiPriority w:val="0"/>
    <w:rPr>
      <w:rFonts w:hint="eastAsia" w:ascii="宋体" w:hAnsi="宋体" w:eastAsia="宋体" w:cs="宋体"/>
      <w:b/>
      <w:bCs/>
      <w:color w:val="000000"/>
      <w:sz w:val="24"/>
      <w:szCs w:val="24"/>
      <w:u w:val="none"/>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表格文字"/>
    <w:basedOn w:val="1"/>
    <w:next w:val="14"/>
    <w:qFormat/>
    <w:uiPriority w:val="0"/>
    <w:pPr>
      <w:adjustRightInd w:val="0"/>
      <w:spacing w:line="420" w:lineRule="atLeast"/>
      <w:jc w:val="left"/>
      <w:textAlignment w:val="baseline"/>
    </w:pPr>
    <w:rPr>
      <w:kern w:val="0"/>
      <w:szCs w:val="24"/>
    </w:rPr>
  </w:style>
  <w:style w:type="character" w:customStyle="1" w:styleId="177">
    <w:name w:val="textcontents1"/>
    <w:qFormat/>
    <w:uiPriority w:val="99"/>
    <w:rPr>
      <w:rFonts w:cs="Times New Roman"/>
      <w:color w:val="000000"/>
      <w:sz w:val="30"/>
      <w:szCs w:val="30"/>
    </w:rPr>
  </w:style>
  <w:style w:type="paragraph" w:customStyle="1" w:styleId="178">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9">
    <w:name w:val="列表项目符号 21"/>
    <w:basedOn w:val="1"/>
    <w:qFormat/>
    <w:uiPriority w:val="0"/>
    <w:pPr>
      <w:numPr>
        <w:ilvl w:val="0"/>
        <w:numId w:val="3"/>
      </w:numPr>
    </w:pPr>
  </w:style>
  <w:style w:type="paragraph" w:customStyle="1" w:styleId="180">
    <w:name w:val="Fließtext"/>
    <w:basedOn w:val="1"/>
    <w:qFormat/>
    <w:uiPriority w:val="0"/>
    <w:pPr>
      <w:overflowPunct w:val="0"/>
      <w:autoSpaceDE w:val="0"/>
      <w:autoSpaceDN w:val="0"/>
      <w:textAlignment w:val="baseline"/>
    </w:pPr>
    <w:rPr>
      <w:kern w:val="28"/>
    </w:rPr>
  </w:style>
  <w:style w:type="character" w:customStyle="1" w:styleId="181">
    <w:name w:val="标题1"/>
    <w:basedOn w:val="38"/>
    <w:qFormat/>
    <w:uiPriority w:val="0"/>
  </w:style>
  <w:style w:type="paragraph" w:customStyle="1" w:styleId="182">
    <w:name w:val="普通(网站)2"/>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customStyle="1" w:styleId="183">
    <w:name w:val="表格居中"/>
    <w:basedOn w:val="1"/>
    <w:qFormat/>
    <w:uiPriority w:val="1"/>
    <w:pPr>
      <w:widowControl w:val="0"/>
      <w:spacing w:line="240" w:lineRule="auto"/>
      <w:ind w:firstLine="0" w:firstLineChars="0"/>
      <w:jc w:val="center"/>
    </w:pPr>
    <w:rPr>
      <w:rFonts w:ascii="宋体" w:eastAsia="宋体" w:hAnsiTheme="minorHAnsi"/>
      <w:bCs/>
      <w:sz w:val="24"/>
      <w:szCs w:val="52"/>
    </w:rPr>
  </w:style>
  <w:style w:type="paragraph" w:customStyle="1" w:styleId="184">
    <w:name w:val="表格左对齐"/>
    <w:basedOn w:val="183"/>
    <w:qFormat/>
    <w:uiPriority w:val="1"/>
    <w:pPr>
      <w:jc w:val="left"/>
    </w:pPr>
  </w:style>
  <w:style w:type="paragraph" w:customStyle="1" w:styleId="185">
    <w:name w:val="List Paragraph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5D1FB-0A9C-44E6-B818-454458D0A670}">
  <ds:schemaRefs/>
</ds:datastoreItem>
</file>

<file path=docProps/app.xml><?xml version="1.0" encoding="utf-8"?>
<Properties xmlns="http://schemas.openxmlformats.org/officeDocument/2006/extended-properties" xmlns:vt="http://schemas.openxmlformats.org/officeDocument/2006/docPropsVTypes">
  <Template>Normal</Template>
  <Pages>57</Pages>
  <Words>12106</Words>
  <Characters>12684</Characters>
  <Lines>193</Lines>
  <Paragraphs>54</Paragraphs>
  <TotalTime>0</TotalTime>
  <ScaleCrop>false</ScaleCrop>
  <LinksUpToDate>false</LinksUpToDate>
  <CharactersWithSpaces>12865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dcterms:modified xsi:type="dcterms:W3CDTF">2026-01-07T07:39:53Z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2052-12.1.0.24034</vt:lpwstr>
  </property>
  <property fmtid="{D5CDD505-2E9C-101B-9397-08002B2CF9AE}" pid="4" name="ICV">
    <vt:lpwstr>BC6BF916A1514DD8956216D373425B73_13</vt:lpwstr>
  </property>
</Properties>
</file>