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17EEF">
      <w:pPr>
        <w:jc w:val="center"/>
        <w:rPr>
          <w:rFonts w:hint="eastAsia" w:ascii="宋体" w:hAnsi="宋体" w:eastAsiaTheme="minorEastAsia"/>
          <w:b/>
          <w:bCs/>
          <w:color w:val="auto"/>
          <w:sz w:val="52"/>
          <w:highlight w:val="none"/>
          <w:lang w:eastAsia="zh-CN"/>
        </w:rPr>
      </w:pPr>
      <w:r>
        <w:rPr>
          <w:rFonts w:hint="eastAsia" w:ascii="宋体" w:hAnsi="宋体"/>
          <w:b/>
          <w:bCs/>
          <w:color w:val="auto"/>
          <w:sz w:val="52"/>
          <w:highlight w:val="none"/>
          <w:lang w:eastAsia="zh-CN"/>
        </w:rPr>
        <w:t>西渚污水厂细格栅及精准除砂装置、除臭系统、活性炭吸附罐采购项目</w:t>
      </w:r>
    </w:p>
    <w:p w14:paraId="3B511BF6">
      <w:pPr>
        <w:jc w:val="center"/>
        <w:rPr>
          <w:rFonts w:ascii="宋体" w:hAnsi="宋体"/>
          <w:b/>
          <w:bCs/>
          <w:color w:val="auto"/>
          <w:sz w:val="52"/>
          <w:highlight w:val="none"/>
        </w:rPr>
      </w:pPr>
    </w:p>
    <w:p w14:paraId="5F9B258A">
      <w:pPr>
        <w:jc w:val="center"/>
        <w:rPr>
          <w:rFonts w:ascii="黑体" w:hAnsi="黑体" w:eastAsia="黑体"/>
          <w:b/>
          <w:bCs/>
          <w:color w:val="auto"/>
          <w:sz w:val="96"/>
          <w:szCs w:val="96"/>
          <w:highlight w:val="none"/>
        </w:rPr>
      </w:pPr>
      <w:r>
        <w:rPr>
          <w:rFonts w:hint="eastAsia" w:ascii="黑体" w:hAnsi="黑体" w:eastAsia="黑体"/>
          <w:b/>
          <w:bCs/>
          <w:color w:val="auto"/>
          <w:sz w:val="96"/>
          <w:szCs w:val="96"/>
          <w:highlight w:val="none"/>
        </w:rPr>
        <w:t>招</w:t>
      </w:r>
    </w:p>
    <w:p w14:paraId="68C7FAA7">
      <w:pPr>
        <w:jc w:val="center"/>
        <w:rPr>
          <w:rFonts w:ascii="黑体" w:hAnsi="黑体" w:eastAsia="黑体"/>
          <w:b/>
          <w:bCs/>
          <w:color w:val="auto"/>
          <w:sz w:val="96"/>
          <w:szCs w:val="96"/>
          <w:highlight w:val="none"/>
        </w:rPr>
      </w:pPr>
      <w:r>
        <w:rPr>
          <w:rFonts w:hint="eastAsia" w:ascii="黑体" w:hAnsi="黑体" w:eastAsia="黑体"/>
          <w:b/>
          <w:bCs/>
          <w:color w:val="auto"/>
          <w:sz w:val="96"/>
          <w:szCs w:val="96"/>
          <w:highlight w:val="none"/>
        </w:rPr>
        <w:t>标</w:t>
      </w:r>
    </w:p>
    <w:p w14:paraId="4B5C874A">
      <w:pPr>
        <w:jc w:val="center"/>
        <w:rPr>
          <w:rFonts w:ascii="黑体" w:hAnsi="黑体" w:eastAsia="黑体"/>
          <w:b/>
          <w:bCs/>
          <w:color w:val="auto"/>
          <w:sz w:val="96"/>
          <w:szCs w:val="96"/>
          <w:highlight w:val="none"/>
        </w:rPr>
      </w:pPr>
      <w:r>
        <w:rPr>
          <w:rFonts w:hint="eastAsia" w:ascii="黑体" w:hAnsi="黑体" w:eastAsia="黑体"/>
          <w:b/>
          <w:bCs/>
          <w:color w:val="auto"/>
          <w:sz w:val="96"/>
          <w:szCs w:val="96"/>
          <w:highlight w:val="none"/>
        </w:rPr>
        <w:t>文</w:t>
      </w:r>
    </w:p>
    <w:p w14:paraId="55CCCCEF">
      <w:pPr>
        <w:jc w:val="center"/>
        <w:rPr>
          <w:rFonts w:ascii="黑体" w:hAnsi="黑体" w:eastAsia="黑体"/>
          <w:b/>
          <w:bCs/>
          <w:color w:val="auto"/>
          <w:sz w:val="96"/>
          <w:szCs w:val="96"/>
          <w:highlight w:val="none"/>
        </w:rPr>
      </w:pPr>
      <w:r>
        <w:rPr>
          <w:rFonts w:hint="eastAsia" w:ascii="黑体" w:hAnsi="黑体" w:eastAsia="黑体"/>
          <w:b/>
          <w:bCs/>
          <w:color w:val="auto"/>
          <w:sz w:val="96"/>
          <w:szCs w:val="96"/>
          <w:highlight w:val="none"/>
        </w:rPr>
        <w:t>件</w:t>
      </w:r>
    </w:p>
    <w:p w14:paraId="6C5373C7">
      <w:pPr>
        <w:jc w:val="center"/>
        <w:rPr>
          <w:rFonts w:ascii="宋体" w:hAnsi="宋体"/>
          <w:b/>
          <w:bCs/>
          <w:color w:val="auto"/>
          <w:sz w:val="84"/>
          <w:highlight w:val="none"/>
        </w:rPr>
      </w:pPr>
    </w:p>
    <w:p w14:paraId="138931C5">
      <w:pPr>
        <w:ind w:firstLine="2720" w:firstLineChars="850"/>
        <w:jc w:val="left"/>
        <w:rPr>
          <w:rFonts w:hint="default" w:ascii="宋体" w:hAnsi="宋体" w:eastAsiaTheme="minorEastAsia"/>
          <w:color w:val="auto"/>
          <w:sz w:val="32"/>
          <w:highlight w:val="none"/>
          <w:lang w:val="en-US" w:eastAsia="zh-CN"/>
        </w:rPr>
      </w:pPr>
      <w:r>
        <w:rPr>
          <w:rFonts w:hint="eastAsia" w:ascii="宋体" w:hAnsi="宋体"/>
          <w:color w:val="auto"/>
          <w:sz w:val="32"/>
          <w:highlight w:val="none"/>
        </w:rPr>
        <w:t>项目编号：</w:t>
      </w:r>
      <w:r>
        <w:rPr>
          <w:rFonts w:hint="eastAsia" w:ascii="宋体" w:hAnsi="宋体"/>
          <w:color w:val="auto"/>
          <w:sz w:val="32"/>
          <w:highlight w:val="none"/>
          <w:lang w:eastAsia="zh-CN"/>
        </w:rPr>
        <w:t>YXGYJT202512012（EPC）</w:t>
      </w:r>
      <w:r>
        <w:rPr>
          <w:rFonts w:hint="eastAsia" w:ascii="宋体" w:hAnsi="宋体"/>
          <w:color w:val="auto"/>
          <w:sz w:val="32"/>
          <w:highlight w:val="none"/>
        </w:rPr>
        <w:t xml:space="preserve"> </w:t>
      </w:r>
    </w:p>
    <w:p w14:paraId="0F9AA8C9">
      <w:pPr>
        <w:ind w:firstLine="2080" w:firstLineChars="650"/>
        <w:rPr>
          <w:rFonts w:hint="eastAsia" w:ascii="宋体" w:hAnsi="宋体" w:eastAsiaTheme="minorEastAsia"/>
          <w:color w:val="auto"/>
          <w:sz w:val="32"/>
          <w:highlight w:val="none"/>
          <w:lang w:eastAsia="zh-CN"/>
        </w:rPr>
      </w:pPr>
      <w:r>
        <w:rPr>
          <w:rFonts w:hint="eastAsia" w:ascii="宋体" w:hAnsi="宋体"/>
          <w:color w:val="auto"/>
          <w:sz w:val="32"/>
          <w:highlight w:val="none"/>
        </w:rPr>
        <w:t>采购人：</w:t>
      </w:r>
      <w:r>
        <w:rPr>
          <w:rFonts w:hint="eastAsia" w:ascii="宋体" w:hAnsi="宋体"/>
          <w:color w:val="auto"/>
          <w:sz w:val="32"/>
          <w:highlight w:val="none"/>
          <w:lang w:eastAsia="zh-CN"/>
        </w:rPr>
        <w:t>宜兴市公用环保集团有限公司</w:t>
      </w:r>
    </w:p>
    <w:p w14:paraId="0C7EF1D5">
      <w:pPr>
        <w:ind w:firstLine="1440" w:firstLineChars="450"/>
        <w:rPr>
          <w:rFonts w:hint="eastAsia" w:ascii="宋体" w:hAnsi="宋体" w:eastAsiaTheme="minorEastAsia"/>
          <w:color w:val="auto"/>
          <w:sz w:val="32"/>
          <w:highlight w:val="none"/>
          <w:lang w:eastAsia="zh-CN"/>
        </w:rPr>
      </w:pPr>
      <w:r>
        <w:rPr>
          <w:rFonts w:hint="eastAsia" w:ascii="宋体" w:hAnsi="宋体"/>
          <w:color w:val="auto"/>
          <w:sz w:val="32"/>
          <w:highlight w:val="none"/>
        </w:rPr>
        <w:t>采购机构：</w:t>
      </w:r>
      <w:r>
        <w:rPr>
          <w:rFonts w:hint="eastAsia" w:ascii="宋体" w:hAnsi="宋体"/>
          <w:color w:val="auto"/>
          <w:sz w:val="32"/>
          <w:highlight w:val="none"/>
          <w:lang w:eastAsia="zh-CN"/>
        </w:rPr>
        <w:t>江苏希地丰华项目管理集团有限公司</w:t>
      </w:r>
    </w:p>
    <w:p w14:paraId="170234B3">
      <w:pPr>
        <w:jc w:val="center"/>
        <w:rPr>
          <w:rFonts w:ascii="宋体" w:hAnsi="宋体"/>
          <w:color w:val="auto"/>
          <w:sz w:val="32"/>
          <w:highlight w:val="none"/>
        </w:rPr>
      </w:pPr>
      <w:r>
        <w:rPr>
          <w:rFonts w:hint="eastAsia" w:ascii="宋体" w:hAnsi="宋体"/>
          <w:color w:val="auto"/>
          <w:sz w:val="32"/>
          <w:highlight w:val="none"/>
        </w:rPr>
        <w:t>二〇二</w:t>
      </w:r>
      <w:r>
        <w:rPr>
          <w:rFonts w:hint="eastAsia" w:ascii="宋体" w:hAnsi="宋体"/>
          <w:color w:val="auto"/>
          <w:sz w:val="32"/>
          <w:highlight w:val="none"/>
          <w:lang w:val="en-US" w:eastAsia="zh-CN"/>
        </w:rPr>
        <w:t>五</w:t>
      </w:r>
      <w:r>
        <w:rPr>
          <w:rFonts w:hint="eastAsia" w:ascii="宋体" w:hAnsi="宋体"/>
          <w:color w:val="auto"/>
          <w:sz w:val="32"/>
          <w:highlight w:val="none"/>
        </w:rPr>
        <w:t>年</w:t>
      </w:r>
      <w:r>
        <w:rPr>
          <w:rFonts w:hint="eastAsia" w:ascii="宋体" w:hAnsi="宋体"/>
          <w:color w:val="auto"/>
          <w:sz w:val="32"/>
          <w:highlight w:val="none"/>
          <w:lang w:val="en-US" w:eastAsia="zh-CN"/>
        </w:rPr>
        <w:t>十二</w:t>
      </w:r>
      <w:r>
        <w:rPr>
          <w:rFonts w:hint="eastAsia" w:ascii="宋体" w:hAnsi="宋体"/>
          <w:color w:val="auto"/>
          <w:sz w:val="32"/>
          <w:highlight w:val="none"/>
        </w:rPr>
        <w:t>月</w:t>
      </w:r>
    </w:p>
    <w:p w14:paraId="20C2B629">
      <w:pPr>
        <w:rPr>
          <w:color w:val="auto"/>
          <w:highlight w:val="none"/>
        </w:rPr>
      </w:pPr>
    </w:p>
    <w:p w14:paraId="0A88ED87">
      <w:pPr>
        <w:rPr>
          <w:rStyle w:val="31"/>
          <w:color w:val="auto"/>
          <w:highlight w:val="none"/>
        </w:rPr>
        <w:sectPr>
          <w:footerReference r:id="rId4" w:type="first"/>
          <w:footerReference r:id="rId3" w:type="default"/>
          <w:pgSz w:w="11906" w:h="16838"/>
          <w:pgMar w:top="1134" w:right="1134" w:bottom="1134" w:left="1134" w:header="851" w:footer="992" w:gutter="0"/>
          <w:pgNumType w:fmt="numberInDash" w:start="1"/>
          <w:cols w:space="720" w:num="1"/>
          <w:docGrid w:type="lines" w:linePitch="312" w:charSpace="0"/>
        </w:sectPr>
      </w:pPr>
    </w:p>
    <w:p w14:paraId="06918A4F">
      <w:pPr>
        <w:rPr>
          <w:rStyle w:val="31"/>
          <w:rFonts w:eastAsia="黑体"/>
          <w:bCs/>
          <w:color w:val="auto"/>
          <w:sz w:val="48"/>
          <w:highlight w:val="none"/>
        </w:rPr>
      </w:pPr>
    </w:p>
    <w:p w14:paraId="19B85A69">
      <w:pPr>
        <w:jc w:val="center"/>
        <w:rPr>
          <w:rStyle w:val="31"/>
          <w:rFonts w:eastAsia="黑体"/>
          <w:bCs/>
          <w:color w:val="auto"/>
          <w:sz w:val="48"/>
          <w:highlight w:val="none"/>
        </w:rPr>
      </w:pPr>
      <w:r>
        <w:rPr>
          <w:rStyle w:val="31"/>
          <w:rFonts w:hint="eastAsia" w:eastAsia="黑体"/>
          <w:bCs/>
          <w:color w:val="auto"/>
          <w:sz w:val="48"/>
          <w:highlight w:val="none"/>
        </w:rPr>
        <w:t>目录</w:t>
      </w:r>
    </w:p>
    <w:p w14:paraId="3E0F38A0">
      <w:pPr>
        <w:jc w:val="center"/>
        <w:rPr>
          <w:rFonts w:ascii="黑体" w:eastAsia="黑体"/>
          <w:bCs/>
          <w:color w:val="auto"/>
          <w:sz w:val="30"/>
          <w:highlight w:val="none"/>
        </w:rPr>
      </w:pPr>
    </w:p>
    <w:p w14:paraId="1DA34170">
      <w:pPr>
        <w:jc w:val="center"/>
        <w:rPr>
          <w:rFonts w:ascii="黑体" w:eastAsia="黑体"/>
          <w:bCs/>
          <w:color w:val="auto"/>
          <w:sz w:val="44"/>
          <w:highlight w:val="none"/>
        </w:rPr>
      </w:pPr>
    </w:p>
    <w:p w14:paraId="5EA63C58">
      <w:pPr>
        <w:pStyle w:val="21"/>
        <w:tabs>
          <w:tab w:val="right" w:leader="dot" w:pos="9629"/>
        </w:tabs>
        <w:rPr>
          <w:rFonts w:ascii="Calibri" w:hAnsi="Calibri"/>
          <w:color w:val="auto"/>
          <w:sz w:val="32"/>
          <w:szCs w:val="22"/>
          <w:highlight w:val="none"/>
        </w:rPr>
      </w:pPr>
      <w:r>
        <w:rPr>
          <w:rFonts w:hint="eastAsia" w:ascii="黑体" w:hAnsi="黑体" w:eastAsia="黑体" w:cs="黑体"/>
          <w:color w:val="auto"/>
          <w:sz w:val="48"/>
          <w:szCs w:val="32"/>
          <w:highlight w:val="none"/>
        </w:rPr>
        <w:fldChar w:fldCharType="begin"/>
      </w:r>
      <w:r>
        <w:rPr>
          <w:rFonts w:hint="eastAsia" w:ascii="黑体" w:hAnsi="黑体" w:eastAsia="黑体" w:cs="黑体"/>
          <w:color w:val="auto"/>
          <w:sz w:val="48"/>
          <w:szCs w:val="32"/>
          <w:highlight w:val="none"/>
        </w:rPr>
        <w:instrText xml:space="preserve">TOC \o "1-1" \h  \u </w:instrText>
      </w:r>
      <w:r>
        <w:rPr>
          <w:rFonts w:hint="eastAsia" w:ascii="黑体" w:hAnsi="黑体" w:eastAsia="黑体" w:cs="黑体"/>
          <w:color w:val="auto"/>
          <w:sz w:val="48"/>
          <w:szCs w:val="32"/>
          <w:highlight w:val="none"/>
        </w:rPr>
        <w:fldChar w:fldCharType="separate"/>
      </w:r>
      <w:r>
        <w:rPr>
          <w:color w:val="auto"/>
          <w:highlight w:val="none"/>
        </w:rPr>
        <w:fldChar w:fldCharType="begin"/>
      </w:r>
      <w:r>
        <w:rPr>
          <w:color w:val="auto"/>
          <w:highlight w:val="none"/>
        </w:rPr>
        <w:instrText xml:space="preserve"> HYPERLINK \l "_Toc64637564" </w:instrText>
      </w:r>
      <w:r>
        <w:rPr>
          <w:color w:val="auto"/>
          <w:highlight w:val="none"/>
        </w:rPr>
        <w:fldChar w:fldCharType="separate"/>
      </w:r>
      <w:r>
        <w:rPr>
          <w:rStyle w:val="32"/>
          <w:rFonts w:hint="eastAsia" w:ascii="黑体" w:hAnsi="黑体" w:eastAsia="黑体"/>
          <w:color w:val="auto"/>
          <w:sz w:val="32"/>
          <w:highlight w:val="none"/>
        </w:rPr>
        <w:t>第一章投标邀请函</w:t>
      </w:r>
      <w:r>
        <w:rPr>
          <w:color w:val="auto"/>
          <w:sz w:val="32"/>
          <w:highlight w:val="none"/>
        </w:rPr>
        <w:tab/>
      </w:r>
      <w:r>
        <w:rPr>
          <w:color w:val="auto"/>
          <w:sz w:val="32"/>
          <w:highlight w:val="none"/>
        </w:rPr>
        <w:fldChar w:fldCharType="begin"/>
      </w:r>
      <w:r>
        <w:rPr>
          <w:color w:val="auto"/>
          <w:sz w:val="32"/>
          <w:highlight w:val="none"/>
        </w:rPr>
        <w:instrText xml:space="preserve"> PAGEREF _Toc64637564 \h </w:instrText>
      </w:r>
      <w:r>
        <w:rPr>
          <w:color w:val="auto"/>
          <w:sz w:val="32"/>
          <w:highlight w:val="none"/>
        </w:rPr>
        <w:fldChar w:fldCharType="separate"/>
      </w:r>
      <w:r>
        <w:rPr>
          <w:color w:val="auto"/>
          <w:sz w:val="32"/>
          <w:highlight w:val="none"/>
        </w:rPr>
        <w:t>3</w:t>
      </w:r>
      <w:r>
        <w:rPr>
          <w:color w:val="auto"/>
          <w:sz w:val="32"/>
          <w:highlight w:val="none"/>
        </w:rPr>
        <w:fldChar w:fldCharType="end"/>
      </w:r>
      <w:r>
        <w:rPr>
          <w:color w:val="auto"/>
          <w:sz w:val="32"/>
          <w:highlight w:val="none"/>
        </w:rPr>
        <w:fldChar w:fldCharType="end"/>
      </w:r>
    </w:p>
    <w:p w14:paraId="4B6858B6">
      <w:pPr>
        <w:pStyle w:val="21"/>
        <w:tabs>
          <w:tab w:val="right" w:leader="dot" w:pos="9629"/>
        </w:tabs>
        <w:rPr>
          <w:rFonts w:ascii="Calibri" w:hAnsi="Calibri"/>
          <w:color w:val="auto"/>
          <w:sz w:val="32"/>
          <w:szCs w:val="22"/>
          <w:highlight w:val="none"/>
        </w:rPr>
      </w:pPr>
      <w:r>
        <w:rPr>
          <w:color w:val="auto"/>
          <w:highlight w:val="none"/>
        </w:rPr>
        <w:fldChar w:fldCharType="begin"/>
      </w:r>
      <w:r>
        <w:rPr>
          <w:color w:val="auto"/>
          <w:highlight w:val="none"/>
        </w:rPr>
        <w:instrText xml:space="preserve"> HYPERLINK \l "_Toc64637565" </w:instrText>
      </w:r>
      <w:r>
        <w:rPr>
          <w:color w:val="auto"/>
          <w:highlight w:val="none"/>
        </w:rPr>
        <w:fldChar w:fldCharType="separate"/>
      </w:r>
      <w:r>
        <w:rPr>
          <w:rStyle w:val="32"/>
          <w:rFonts w:hint="eastAsia" w:ascii="黑体" w:hAnsi="黑体" w:eastAsia="黑体"/>
          <w:color w:val="auto"/>
          <w:sz w:val="32"/>
          <w:highlight w:val="none"/>
        </w:rPr>
        <w:t>第二章投标人须知</w:t>
      </w:r>
      <w:r>
        <w:rPr>
          <w:color w:val="auto"/>
          <w:sz w:val="32"/>
          <w:highlight w:val="none"/>
        </w:rPr>
        <w:tab/>
      </w:r>
      <w:r>
        <w:rPr>
          <w:color w:val="auto"/>
          <w:sz w:val="32"/>
          <w:highlight w:val="none"/>
        </w:rPr>
        <w:fldChar w:fldCharType="begin"/>
      </w:r>
      <w:r>
        <w:rPr>
          <w:color w:val="auto"/>
          <w:sz w:val="32"/>
          <w:highlight w:val="none"/>
        </w:rPr>
        <w:instrText xml:space="preserve"> PAGEREF _Toc64637565 \h </w:instrText>
      </w:r>
      <w:r>
        <w:rPr>
          <w:color w:val="auto"/>
          <w:sz w:val="32"/>
          <w:highlight w:val="none"/>
        </w:rPr>
        <w:fldChar w:fldCharType="separate"/>
      </w:r>
      <w:r>
        <w:rPr>
          <w:color w:val="auto"/>
          <w:sz w:val="32"/>
          <w:highlight w:val="none"/>
        </w:rPr>
        <w:t>5</w:t>
      </w:r>
      <w:r>
        <w:rPr>
          <w:color w:val="auto"/>
          <w:sz w:val="32"/>
          <w:highlight w:val="none"/>
        </w:rPr>
        <w:fldChar w:fldCharType="end"/>
      </w:r>
      <w:r>
        <w:rPr>
          <w:color w:val="auto"/>
          <w:sz w:val="32"/>
          <w:highlight w:val="none"/>
        </w:rPr>
        <w:fldChar w:fldCharType="end"/>
      </w:r>
    </w:p>
    <w:p w14:paraId="5E3D60CF">
      <w:pPr>
        <w:pStyle w:val="21"/>
        <w:tabs>
          <w:tab w:val="right" w:leader="dot" w:pos="9629"/>
        </w:tabs>
        <w:rPr>
          <w:rFonts w:ascii="Calibri" w:hAnsi="Calibri"/>
          <w:color w:val="auto"/>
          <w:sz w:val="32"/>
          <w:szCs w:val="22"/>
          <w:highlight w:val="none"/>
        </w:rPr>
      </w:pPr>
      <w:r>
        <w:rPr>
          <w:color w:val="auto"/>
          <w:highlight w:val="none"/>
        </w:rPr>
        <w:fldChar w:fldCharType="begin"/>
      </w:r>
      <w:r>
        <w:rPr>
          <w:color w:val="auto"/>
          <w:highlight w:val="none"/>
        </w:rPr>
        <w:instrText xml:space="preserve"> HYPERLINK \l "_Toc64637566" </w:instrText>
      </w:r>
      <w:r>
        <w:rPr>
          <w:color w:val="auto"/>
          <w:highlight w:val="none"/>
        </w:rPr>
        <w:fldChar w:fldCharType="separate"/>
      </w:r>
      <w:r>
        <w:rPr>
          <w:rStyle w:val="32"/>
          <w:rFonts w:hint="eastAsia" w:ascii="黑体" w:hAnsi="黑体" w:eastAsia="黑体"/>
          <w:color w:val="auto"/>
          <w:sz w:val="32"/>
          <w:highlight w:val="none"/>
        </w:rPr>
        <w:t>第三章评标方法和标准</w:t>
      </w:r>
      <w:r>
        <w:rPr>
          <w:color w:val="auto"/>
          <w:sz w:val="32"/>
          <w:highlight w:val="none"/>
        </w:rPr>
        <w:tab/>
      </w:r>
      <w:r>
        <w:rPr>
          <w:color w:val="auto"/>
          <w:sz w:val="32"/>
          <w:highlight w:val="none"/>
        </w:rPr>
        <w:fldChar w:fldCharType="begin"/>
      </w:r>
      <w:r>
        <w:rPr>
          <w:color w:val="auto"/>
          <w:sz w:val="32"/>
          <w:highlight w:val="none"/>
        </w:rPr>
        <w:instrText xml:space="preserve"> PAGEREF _Toc64637566 \h </w:instrText>
      </w:r>
      <w:r>
        <w:rPr>
          <w:color w:val="auto"/>
          <w:sz w:val="32"/>
          <w:highlight w:val="none"/>
        </w:rPr>
        <w:fldChar w:fldCharType="separate"/>
      </w:r>
      <w:r>
        <w:rPr>
          <w:color w:val="auto"/>
          <w:sz w:val="32"/>
          <w:highlight w:val="none"/>
        </w:rPr>
        <w:t>14</w:t>
      </w:r>
      <w:r>
        <w:rPr>
          <w:color w:val="auto"/>
          <w:sz w:val="32"/>
          <w:highlight w:val="none"/>
        </w:rPr>
        <w:fldChar w:fldCharType="end"/>
      </w:r>
      <w:r>
        <w:rPr>
          <w:color w:val="auto"/>
          <w:sz w:val="32"/>
          <w:highlight w:val="none"/>
        </w:rPr>
        <w:fldChar w:fldCharType="end"/>
      </w:r>
    </w:p>
    <w:p w14:paraId="2F85C120">
      <w:pPr>
        <w:pStyle w:val="21"/>
        <w:tabs>
          <w:tab w:val="right" w:leader="dot" w:pos="9629"/>
        </w:tabs>
        <w:rPr>
          <w:rFonts w:hint="eastAsia" w:ascii="Calibri" w:hAnsi="Calibri" w:eastAsia="宋体"/>
          <w:color w:val="auto"/>
          <w:sz w:val="32"/>
          <w:szCs w:val="22"/>
          <w:highlight w:val="none"/>
          <w:lang w:val="en-US" w:eastAsia="zh-CN"/>
        </w:rPr>
      </w:pPr>
      <w:r>
        <w:rPr>
          <w:color w:val="auto"/>
          <w:highlight w:val="none"/>
        </w:rPr>
        <w:fldChar w:fldCharType="begin"/>
      </w:r>
      <w:r>
        <w:rPr>
          <w:color w:val="auto"/>
          <w:highlight w:val="none"/>
        </w:rPr>
        <w:instrText xml:space="preserve"> HYPERLINK \l "_Toc64637567" </w:instrText>
      </w:r>
      <w:r>
        <w:rPr>
          <w:color w:val="auto"/>
          <w:highlight w:val="none"/>
        </w:rPr>
        <w:fldChar w:fldCharType="separate"/>
      </w:r>
      <w:r>
        <w:rPr>
          <w:rStyle w:val="32"/>
          <w:rFonts w:hint="eastAsia" w:ascii="黑体" w:hAnsi="黑体" w:eastAsia="黑体"/>
          <w:color w:val="auto"/>
          <w:sz w:val="32"/>
          <w:highlight w:val="none"/>
        </w:rPr>
        <w:t>第四章项目技术要求和有关说明</w:t>
      </w:r>
      <w:r>
        <w:rPr>
          <w:color w:val="auto"/>
          <w:sz w:val="32"/>
          <w:highlight w:val="none"/>
        </w:rPr>
        <w:tab/>
      </w:r>
      <w:r>
        <w:rPr>
          <w:rFonts w:hint="eastAsia"/>
          <w:color w:val="auto"/>
          <w:sz w:val="32"/>
          <w:highlight w:val="none"/>
          <w:lang w:val="en-US" w:eastAsia="zh-CN"/>
        </w:rPr>
        <w:t>1</w:t>
      </w:r>
      <w:r>
        <w:rPr>
          <w:color w:val="auto"/>
          <w:sz w:val="32"/>
          <w:highlight w:val="none"/>
        </w:rPr>
        <w:fldChar w:fldCharType="end"/>
      </w:r>
      <w:r>
        <w:rPr>
          <w:rFonts w:hint="eastAsia"/>
          <w:color w:val="auto"/>
          <w:sz w:val="32"/>
          <w:highlight w:val="none"/>
          <w:lang w:val="en-US" w:eastAsia="zh-CN"/>
        </w:rPr>
        <w:t>7</w:t>
      </w:r>
    </w:p>
    <w:p w14:paraId="5FA1B86D">
      <w:pPr>
        <w:pStyle w:val="21"/>
        <w:tabs>
          <w:tab w:val="right" w:leader="dot" w:pos="9629"/>
        </w:tabs>
        <w:rPr>
          <w:rFonts w:hint="eastAsia" w:ascii="Calibri" w:hAnsi="Calibri" w:eastAsia="宋体"/>
          <w:color w:val="auto"/>
          <w:sz w:val="32"/>
          <w:szCs w:val="22"/>
          <w:highlight w:val="none"/>
          <w:lang w:val="en-US" w:eastAsia="zh-CN"/>
        </w:rPr>
      </w:pPr>
      <w:r>
        <w:rPr>
          <w:color w:val="auto"/>
          <w:highlight w:val="none"/>
        </w:rPr>
        <w:fldChar w:fldCharType="begin"/>
      </w:r>
      <w:r>
        <w:rPr>
          <w:color w:val="auto"/>
          <w:highlight w:val="none"/>
        </w:rPr>
        <w:instrText xml:space="preserve"> HYPERLINK \l "_Toc64637568" </w:instrText>
      </w:r>
      <w:r>
        <w:rPr>
          <w:color w:val="auto"/>
          <w:highlight w:val="none"/>
        </w:rPr>
        <w:fldChar w:fldCharType="separate"/>
      </w:r>
      <w:r>
        <w:rPr>
          <w:rStyle w:val="32"/>
          <w:rFonts w:hint="eastAsia" w:ascii="黑体" w:hAnsi="黑体" w:eastAsia="黑体"/>
          <w:color w:val="auto"/>
          <w:sz w:val="32"/>
          <w:highlight w:val="none"/>
        </w:rPr>
        <w:t>第</w:t>
      </w:r>
      <w:r>
        <w:rPr>
          <w:rStyle w:val="32"/>
          <w:rFonts w:hint="eastAsia" w:ascii="黑体" w:hAnsi="黑体" w:eastAsia="黑体"/>
          <w:color w:val="auto"/>
          <w:sz w:val="32"/>
          <w:highlight w:val="none"/>
          <w:lang w:val="en-US" w:eastAsia="zh-CN"/>
        </w:rPr>
        <w:t>五</w:t>
      </w:r>
      <w:r>
        <w:rPr>
          <w:rStyle w:val="32"/>
          <w:rFonts w:hint="eastAsia" w:ascii="黑体" w:hAnsi="黑体" w:eastAsia="黑体"/>
          <w:color w:val="auto"/>
          <w:sz w:val="32"/>
          <w:highlight w:val="none"/>
        </w:rPr>
        <w:t>章合同条款</w:t>
      </w:r>
      <w:r>
        <w:rPr>
          <w:color w:val="auto"/>
          <w:sz w:val="32"/>
          <w:highlight w:val="none"/>
        </w:rPr>
        <w:tab/>
      </w:r>
      <w:r>
        <w:rPr>
          <w:rFonts w:hint="eastAsia"/>
          <w:color w:val="auto"/>
          <w:sz w:val="32"/>
          <w:highlight w:val="none"/>
          <w:lang w:val="en-US" w:eastAsia="zh-CN"/>
        </w:rPr>
        <w:t>4</w:t>
      </w:r>
      <w:r>
        <w:rPr>
          <w:rFonts w:hint="eastAsia"/>
          <w:color w:val="auto"/>
          <w:sz w:val="32"/>
          <w:highlight w:val="none"/>
        </w:rPr>
        <w:fldChar w:fldCharType="end"/>
      </w:r>
      <w:r>
        <w:rPr>
          <w:rFonts w:hint="eastAsia"/>
          <w:color w:val="auto"/>
          <w:sz w:val="32"/>
          <w:highlight w:val="none"/>
          <w:lang w:val="en-US" w:eastAsia="zh-CN"/>
        </w:rPr>
        <w:t>0</w:t>
      </w:r>
    </w:p>
    <w:p w14:paraId="6C6B6199">
      <w:pPr>
        <w:pStyle w:val="21"/>
        <w:tabs>
          <w:tab w:val="right" w:leader="dot" w:pos="9629"/>
        </w:tabs>
        <w:rPr>
          <w:rFonts w:hint="eastAsia" w:ascii="Calibri" w:hAnsi="Calibri" w:eastAsia="宋体"/>
          <w:color w:val="auto"/>
          <w:sz w:val="32"/>
          <w:szCs w:val="22"/>
          <w:highlight w:val="none"/>
          <w:lang w:val="en-US" w:eastAsia="zh-CN"/>
        </w:rPr>
      </w:pPr>
      <w:r>
        <w:rPr>
          <w:color w:val="auto"/>
          <w:highlight w:val="none"/>
        </w:rPr>
        <w:fldChar w:fldCharType="begin"/>
      </w:r>
      <w:r>
        <w:rPr>
          <w:color w:val="auto"/>
          <w:highlight w:val="none"/>
        </w:rPr>
        <w:instrText xml:space="preserve"> HYPERLINK \l "_Toc64637570" </w:instrText>
      </w:r>
      <w:r>
        <w:rPr>
          <w:color w:val="auto"/>
          <w:highlight w:val="none"/>
        </w:rPr>
        <w:fldChar w:fldCharType="separate"/>
      </w:r>
      <w:r>
        <w:rPr>
          <w:rStyle w:val="32"/>
          <w:rFonts w:hint="eastAsia" w:ascii="黑体" w:hAnsi="黑体" w:eastAsia="黑体"/>
          <w:color w:val="auto"/>
          <w:sz w:val="32"/>
          <w:highlight w:val="none"/>
        </w:rPr>
        <w:t>第</w:t>
      </w:r>
      <w:r>
        <w:rPr>
          <w:rStyle w:val="32"/>
          <w:rFonts w:hint="eastAsia" w:ascii="黑体" w:hAnsi="黑体" w:eastAsia="黑体"/>
          <w:color w:val="auto"/>
          <w:sz w:val="32"/>
          <w:highlight w:val="none"/>
          <w:lang w:val="en-US" w:eastAsia="zh-CN"/>
        </w:rPr>
        <w:t>六</w:t>
      </w:r>
      <w:r>
        <w:rPr>
          <w:rStyle w:val="32"/>
          <w:rFonts w:hint="eastAsia" w:ascii="黑体" w:hAnsi="黑体" w:eastAsia="黑体"/>
          <w:color w:val="auto"/>
          <w:sz w:val="32"/>
          <w:highlight w:val="none"/>
        </w:rPr>
        <w:t>章投标文件（格式）</w:t>
      </w:r>
      <w:r>
        <w:rPr>
          <w:color w:val="auto"/>
          <w:sz w:val="32"/>
          <w:highlight w:val="none"/>
        </w:rPr>
        <w:tab/>
      </w:r>
      <w:r>
        <w:rPr>
          <w:rFonts w:hint="eastAsia"/>
          <w:color w:val="auto"/>
          <w:sz w:val="32"/>
          <w:highlight w:val="none"/>
          <w:lang w:val="en-US" w:eastAsia="zh-CN"/>
        </w:rPr>
        <w:t>4</w:t>
      </w:r>
      <w:r>
        <w:rPr>
          <w:color w:val="auto"/>
          <w:sz w:val="32"/>
          <w:highlight w:val="none"/>
        </w:rPr>
        <w:fldChar w:fldCharType="end"/>
      </w:r>
      <w:r>
        <w:rPr>
          <w:rFonts w:hint="eastAsia"/>
          <w:color w:val="auto"/>
          <w:sz w:val="32"/>
          <w:highlight w:val="none"/>
          <w:lang w:val="en-US" w:eastAsia="zh-CN"/>
        </w:rPr>
        <w:t>5</w:t>
      </w:r>
    </w:p>
    <w:p w14:paraId="389D07EF">
      <w:pPr>
        <w:spacing w:line="360" w:lineRule="auto"/>
        <w:rPr>
          <w:rFonts w:ascii="黑体" w:hAnsi="黑体" w:eastAsia="黑体"/>
          <w:color w:val="auto"/>
          <w:sz w:val="28"/>
          <w:highlight w:val="none"/>
        </w:rPr>
      </w:pPr>
      <w:r>
        <w:rPr>
          <w:rFonts w:hint="eastAsia" w:ascii="黑体" w:hAnsi="黑体" w:eastAsia="黑体" w:cs="黑体"/>
          <w:color w:val="auto"/>
          <w:sz w:val="48"/>
          <w:szCs w:val="32"/>
          <w:highlight w:val="none"/>
        </w:rPr>
        <w:fldChar w:fldCharType="end"/>
      </w:r>
      <w:bookmarkStart w:id="0" w:name="_Toc30211"/>
    </w:p>
    <w:p w14:paraId="50D2FF53">
      <w:pPr>
        <w:jc w:val="center"/>
        <w:outlineLvl w:val="0"/>
        <w:rPr>
          <w:rFonts w:ascii="黑体" w:hAnsi="黑体" w:eastAsia="黑体"/>
          <w:color w:val="auto"/>
          <w:sz w:val="28"/>
          <w:highlight w:val="none"/>
        </w:rPr>
        <w:sectPr>
          <w:footerReference r:id="rId7" w:type="first"/>
          <w:headerReference r:id="rId5" w:type="default"/>
          <w:footerReference r:id="rId6" w:type="default"/>
          <w:pgSz w:w="11907" w:h="16840"/>
          <w:pgMar w:top="1134" w:right="1134" w:bottom="1134" w:left="1134" w:header="851" w:footer="850" w:gutter="0"/>
          <w:cols w:space="720" w:num="1"/>
          <w:titlePg/>
          <w:docGrid w:linePitch="462" w:charSpace="0"/>
        </w:sectPr>
      </w:pPr>
    </w:p>
    <w:p w14:paraId="6DB32184">
      <w:pPr>
        <w:jc w:val="center"/>
        <w:outlineLvl w:val="0"/>
        <w:rPr>
          <w:rFonts w:ascii="黑体" w:hAnsi="黑体" w:eastAsia="黑体"/>
          <w:color w:val="auto"/>
          <w:sz w:val="28"/>
          <w:highlight w:val="none"/>
        </w:rPr>
      </w:pPr>
      <w:bookmarkStart w:id="1" w:name="_Toc64637564"/>
      <w:r>
        <w:rPr>
          <w:rFonts w:hint="eastAsia" w:ascii="黑体" w:hAnsi="黑体" w:eastAsia="黑体"/>
          <w:color w:val="auto"/>
          <w:sz w:val="28"/>
          <w:highlight w:val="none"/>
        </w:rPr>
        <w:t>第一章 投标邀请函</w:t>
      </w:r>
      <w:bookmarkEnd w:id="0"/>
      <w:bookmarkEnd w:id="1"/>
    </w:p>
    <w:p w14:paraId="616AAAD4">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eastAsia="zh-CN"/>
        </w:rPr>
        <w:t>江苏希地丰华项目管理集团有限公司</w:t>
      </w:r>
      <w:r>
        <w:rPr>
          <w:rFonts w:hint="eastAsia" w:ascii="宋体" w:hAnsi="宋体"/>
          <w:bCs/>
          <w:color w:val="auto"/>
          <w:sz w:val="24"/>
          <w:szCs w:val="24"/>
          <w:highlight w:val="none"/>
        </w:rPr>
        <w:t>受</w:t>
      </w:r>
      <w:r>
        <w:rPr>
          <w:rFonts w:hint="eastAsia" w:ascii="宋体" w:hAnsi="宋体"/>
          <w:bCs/>
          <w:color w:val="auto"/>
          <w:sz w:val="24"/>
          <w:szCs w:val="24"/>
          <w:highlight w:val="none"/>
          <w:lang w:eastAsia="zh-CN"/>
        </w:rPr>
        <w:t>宜兴市公用环保集团有限公司</w:t>
      </w:r>
      <w:r>
        <w:rPr>
          <w:rFonts w:hint="eastAsia" w:ascii="宋体" w:hAnsi="宋体"/>
          <w:bCs/>
          <w:color w:val="auto"/>
          <w:sz w:val="24"/>
          <w:szCs w:val="24"/>
          <w:highlight w:val="none"/>
        </w:rPr>
        <w:t>委托，就</w:t>
      </w:r>
      <w:r>
        <w:rPr>
          <w:rFonts w:hint="eastAsia" w:ascii="宋体" w:hAnsi="宋体"/>
          <w:bCs/>
          <w:color w:val="auto"/>
          <w:sz w:val="24"/>
          <w:szCs w:val="24"/>
          <w:highlight w:val="none"/>
          <w:lang w:eastAsia="zh-CN"/>
        </w:rPr>
        <w:t>西渚污水厂细格栅及精准除砂装置、除臭系统、活性炭吸附罐采购项目</w:t>
      </w:r>
      <w:r>
        <w:rPr>
          <w:rFonts w:hint="eastAsia" w:ascii="宋体" w:hAnsi="宋体"/>
          <w:bCs/>
          <w:color w:val="auto"/>
          <w:sz w:val="24"/>
          <w:szCs w:val="24"/>
          <w:highlight w:val="none"/>
        </w:rPr>
        <w:t>组织采购，欢迎你单位参加投标并提请注意下列附表中的相关事项：</w:t>
      </w:r>
    </w:p>
    <w:tbl>
      <w:tblPr>
        <w:tblStyle w:val="27"/>
        <w:tblW w:w="10740"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5070"/>
        <w:gridCol w:w="5175"/>
      </w:tblGrid>
      <w:tr w14:paraId="04FEC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495" w:type="dxa"/>
          </w:tcPr>
          <w:p w14:paraId="1DDB8779">
            <w:pPr>
              <w:jc w:val="center"/>
              <w:rPr>
                <w:rFonts w:ascii="宋体" w:hAnsi="宋体"/>
                <w:bCs/>
                <w:color w:val="auto"/>
                <w:sz w:val="24"/>
                <w:szCs w:val="24"/>
                <w:highlight w:val="none"/>
              </w:rPr>
            </w:pPr>
            <w:bookmarkStart w:id="2" w:name="_Toc29543"/>
            <w:r>
              <w:rPr>
                <w:rFonts w:hint="eastAsia" w:ascii="宋体" w:hAnsi="宋体"/>
                <w:bCs/>
                <w:color w:val="auto"/>
                <w:sz w:val="24"/>
                <w:szCs w:val="24"/>
                <w:highlight w:val="none"/>
              </w:rPr>
              <w:t>序号</w:t>
            </w:r>
          </w:p>
        </w:tc>
        <w:tc>
          <w:tcPr>
            <w:tcW w:w="10245" w:type="dxa"/>
            <w:gridSpan w:val="2"/>
          </w:tcPr>
          <w:p w14:paraId="342CC909">
            <w:pPr>
              <w:jc w:val="center"/>
              <w:rPr>
                <w:rFonts w:ascii="宋体" w:hAnsi="宋体"/>
                <w:bCs/>
                <w:color w:val="auto"/>
                <w:sz w:val="24"/>
                <w:szCs w:val="24"/>
                <w:highlight w:val="none"/>
              </w:rPr>
            </w:pPr>
            <w:r>
              <w:rPr>
                <w:rFonts w:hint="eastAsia" w:ascii="宋体" w:hAnsi="宋体"/>
                <w:bCs/>
                <w:color w:val="auto"/>
                <w:sz w:val="24"/>
                <w:szCs w:val="24"/>
                <w:highlight w:val="none"/>
              </w:rPr>
              <w:t>内容</w:t>
            </w:r>
          </w:p>
        </w:tc>
      </w:tr>
      <w:tr w14:paraId="088D1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495" w:type="dxa"/>
            <w:vAlign w:val="center"/>
          </w:tcPr>
          <w:p w14:paraId="5DF7B77F">
            <w:pPr>
              <w:jc w:val="center"/>
              <w:rPr>
                <w:rFonts w:ascii="宋体" w:hAnsi="宋体"/>
                <w:bCs/>
                <w:color w:val="auto"/>
                <w:sz w:val="24"/>
                <w:szCs w:val="24"/>
                <w:highlight w:val="none"/>
              </w:rPr>
            </w:pPr>
            <w:r>
              <w:rPr>
                <w:rFonts w:ascii="宋体" w:hAnsi="宋体"/>
                <w:bCs/>
                <w:color w:val="auto"/>
                <w:sz w:val="24"/>
                <w:szCs w:val="24"/>
                <w:highlight w:val="none"/>
              </w:rPr>
              <w:t>1</w:t>
            </w:r>
          </w:p>
        </w:tc>
        <w:tc>
          <w:tcPr>
            <w:tcW w:w="10245" w:type="dxa"/>
            <w:gridSpan w:val="2"/>
          </w:tcPr>
          <w:p w14:paraId="6C1D1464">
            <w:pPr>
              <w:jc w:val="left"/>
              <w:rPr>
                <w:rFonts w:hint="eastAsia" w:ascii="宋体" w:hAnsi="宋体" w:eastAsiaTheme="minorEastAsia"/>
                <w:bCs/>
                <w:color w:val="auto"/>
                <w:sz w:val="24"/>
                <w:szCs w:val="24"/>
                <w:highlight w:val="none"/>
                <w:lang w:eastAsia="zh-CN"/>
              </w:rPr>
            </w:pPr>
            <w:r>
              <w:rPr>
                <w:rFonts w:hint="eastAsia" w:ascii="宋体" w:hAnsi="宋体"/>
                <w:bCs/>
                <w:color w:val="auto"/>
                <w:sz w:val="24"/>
                <w:szCs w:val="24"/>
                <w:highlight w:val="none"/>
              </w:rPr>
              <w:t>采购人：</w:t>
            </w:r>
            <w:r>
              <w:rPr>
                <w:rFonts w:hint="eastAsia" w:ascii="宋体" w:hAnsi="宋体"/>
                <w:bCs/>
                <w:color w:val="auto"/>
                <w:sz w:val="24"/>
                <w:szCs w:val="24"/>
                <w:highlight w:val="none"/>
                <w:lang w:eastAsia="zh-CN"/>
              </w:rPr>
              <w:t>宜兴市公用环保集团有限公司</w:t>
            </w:r>
          </w:p>
          <w:p w14:paraId="44735C30">
            <w:pPr>
              <w:jc w:val="left"/>
              <w:rPr>
                <w:rFonts w:hint="eastAsia" w:ascii="宋体" w:hAnsi="宋体" w:eastAsiaTheme="minorEastAsia"/>
                <w:bCs/>
                <w:color w:val="auto"/>
                <w:sz w:val="24"/>
                <w:szCs w:val="24"/>
                <w:highlight w:val="none"/>
                <w:lang w:eastAsia="zh-CN"/>
              </w:rPr>
            </w:pPr>
            <w:r>
              <w:rPr>
                <w:rFonts w:hint="eastAsia" w:ascii="宋体" w:hAnsi="宋体"/>
                <w:bCs/>
                <w:color w:val="auto"/>
                <w:sz w:val="24"/>
                <w:szCs w:val="24"/>
                <w:highlight w:val="none"/>
              </w:rPr>
              <w:t>采购代理机构：</w:t>
            </w:r>
            <w:r>
              <w:rPr>
                <w:rFonts w:hint="eastAsia" w:ascii="宋体" w:hAnsi="宋体"/>
                <w:bCs/>
                <w:color w:val="auto"/>
                <w:sz w:val="24"/>
                <w:szCs w:val="24"/>
                <w:highlight w:val="none"/>
                <w:lang w:eastAsia="zh-CN"/>
              </w:rPr>
              <w:t>江苏希地丰华项目管理集团有限公司</w:t>
            </w:r>
          </w:p>
          <w:p w14:paraId="266DEA8E">
            <w:pPr>
              <w:jc w:val="left"/>
              <w:rPr>
                <w:rFonts w:hint="eastAsia" w:ascii="宋体" w:hAnsi="宋体" w:eastAsiaTheme="minorEastAsia"/>
                <w:bCs/>
                <w:color w:val="auto"/>
                <w:sz w:val="24"/>
                <w:szCs w:val="24"/>
                <w:highlight w:val="none"/>
                <w:lang w:eastAsia="zh-CN"/>
              </w:rPr>
            </w:pPr>
            <w:r>
              <w:rPr>
                <w:rFonts w:hint="eastAsia" w:ascii="宋体" w:hAnsi="宋体"/>
                <w:bCs/>
                <w:color w:val="auto"/>
                <w:sz w:val="24"/>
                <w:szCs w:val="24"/>
                <w:highlight w:val="none"/>
              </w:rPr>
              <w:t>项目名称：</w:t>
            </w:r>
            <w:r>
              <w:rPr>
                <w:rFonts w:hint="eastAsia" w:ascii="宋体" w:hAnsi="宋体"/>
                <w:bCs/>
                <w:color w:val="auto"/>
                <w:sz w:val="24"/>
                <w:szCs w:val="24"/>
                <w:highlight w:val="none"/>
                <w:lang w:eastAsia="zh-CN"/>
              </w:rPr>
              <w:t>西渚污水厂细格栅及精准除砂装置、除臭系统、活性炭吸附罐采购项目</w:t>
            </w:r>
          </w:p>
          <w:p w14:paraId="7EE0197C">
            <w:pPr>
              <w:jc w:val="left"/>
              <w:rPr>
                <w:rFonts w:hint="default" w:ascii="宋体" w:hAnsi="宋体" w:eastAsiaTheme="minorEastAsia"/>
                <w:bCs/>
                <w:color w:val="auto"/>
                <w:sz w:val="24"/>
                <w:szCs w:val="24"/>
                <w:highlight w:val="none"/>
                <w:lang w:val="en-US" w:eastAsia="zh-CN"/>
              </w:rPr>
            </w:pPr>
            <w:r>
              <w:rPr>
                <w:rFonts w:hint="eastAsia" w:ascii="宋体" w:hAnsi="宋体"/>
                <w:bCs/>
                <w:color w:val="auto"/>
                <w:sz w:val="24"/>
                <w:szCs w:val="24"/>
                <w:highlight w:val="none"/>
              </w:rPr>
              <w:t>项目编号：</w:t>
            </w:r>
            <w:r>
              <w:rPr>
                <w:rFonts w:hint="eastAsia" w:ascii="宋体" w:hAnsi="宋体"/>
                <w:bCs/>
                <w:color w:val="auto"/>
                <w:sz w:val="24"/>
                <w:szCs w:val="24"/>
                <w:highlight w:val="none"/>
                <w:lang w:eastAsia="zh-CN"/>
              </w:rPr>
              <w:t>YXGYJT202512012（EPC）</w:t>
            </w:r>
          </w:p>
          <w:p w14:paraId="17223888">
            <w:pPr>
              <w:jc w:val="left"/>
              <w:rPr>
                <w:rFonts w:ascii="宋体" w:hAnsi="宋体"/>
                <w:bCs/>
                <w:color w:val="auto"/>
                <w:sz w:val="24"/>
                <w:szCs w:val="24"/>
                <w:highlight w:val="none"/>
              </w:rPr>
            </w:pPr>
            <w:r>
              <w:rPr>
                <w:rFonts w:hint="eastAsia" w:ascii="宋体" w:hAnsi="宋体"/>
                <w:bCs/>
                <w:color w:val="auto"/>
                <w:sz w:val="24"/>
                <w:szCs w:val="24"/>
                <w:highlight w:val="none"/>
              </w:rPr>
              <w:t>评标方法：综合评分法</w:t>
            </w:r>
            <w:r>
              <w:rPr>
                <w:rFonts w:hint="eastAsia" w:ascii="宋体" w:cs="宋体"/>
                <w:bCs/>
                <w:color w:val="auto"/>
                <w:sz w:val="24"/>
                <w:szCs w:val="24"/>
                <w:highlight w:val="none"/>
                <w:lang w:bidi="ar-SA"/>
              </w:rPr>
              <w:t>（集团网站公开招标）</w:t>
            </w:r>
          </w:p>
          <w:p w14:paraId="2D35C5A8">
            <w:pPr>
              <w:jc w:val="left"/>
              <w:rPr>
                <w:rFonts w:hint="eastAsia" w:ascii="宋体" w:hAnsi="宋体" w:eastAsia="宋体"/>
                <w:bCs/>
                <w:color w:val="auto"/>
                <w:sz w:val="24"/>
                <w:szCs w:val="24"/>
                <w:highlight w:val="none"/>
                <w:lang w:eastAsia="zh-CN"/>
              </w:rPr>
            </w:pPr>
            <w:bookmarkStart w:id="3" w:name="OLE_LINK3"/>
            <w:r>
              <w:rPr>
                <w:rFonts w:hint="eastAsia" w:ascii="宋体" w:hAnsi="宋体"/>
                <w:bCs/>
                <w:color w:val="auto"/>
                <w:sz w:val="24"/>
                <w:szCs w:val="24"/>
                <w:highlight w:val="yellow"/>
              </w:rPr>
              <w:t>本项目</w:t>
            </w:r>
            <w:r>
              <w:rPr>
                <w:rFonts w:hint="eastAsia" w:ascii="宋体" w:hAnsi="宋体"/>
                <w:bCs/>
                <w:color w:val="auto"/>
                <w:sz w:val="24"/>
                <w:szCs w:val="24"/>
                <w:highlight w:val="yellow"/>
                <w:lang w:val="en-US" w:eastAsia="zh-CN"/>
              </w:rPr>
              <w:t>预算</w:t>
            </w:r>
            <w:r>
              <w:rPr>
                <w:rFonts w:hint="eastAsia" w:ascii="宋体" w:hAnsi="宋体"/>
                <w:bCs/>
                <w:color w:val="auto"/>
                <w:sz w:val="24"/>
                <w:szCs w:val="24"/>
                <w:highlight w:val="yellow"/>
              </w:rPr>
              <w:t>为</w:t>
            </w:r>
            <w:bookmarkEnd w:id="3"/>
            <w:r>
              <w:rPr>
                <w:rFonts w:hint="eastAsia" w:ascii="宋体" w:hAnsi="宋体"/>
                <w:bCs/>
                <w:color w:val="auto"/>
                <w:sz w:val="24"/>
                <w:szCs w:val="24"/>
                <w:highlight w:val="yellow"/>
              </w:rPr>
              <w:t>：</w:t>
            </w:r>
            <w:r>
              <w:rPr>
                <w:rFonts w:hint="eastAsia" w:ascii="宋体" w:hAnsi="宋体"/>
                <w:bCs/>
                <w:color w:val="auto"/>
                <w:sz w:val="24"/>
                <w:szCs w:val="24"/>
                <w:highlight w:val="yellow"/>
                <w:lang w:val="en-US" w:eastAsia="zh-CN"/>
              </w:rPr>
              <w:t>2420000</w:t>
            </w:r>
            <w:r>
              <w:rPr>
                <w:rFonts w:hint="eastAsia" w:ascii="宋体" w:hAnsi="宋体" w:eastAsia="宋体" w:cs="Times New Roman"/>
                <w:bCs/>
                <w:color w:val="auto"/>
                <w:sz w:val="24"/>
                <w:szCs w:val="24"/>
                <w:highlight w:val="yellow"/>
              </w:rPr>
              <w:t>元</w:t>
            </w:r>
            <w:r>
              <w:rPr>
                <w:rFonts w:hint="eastAsia" w:ascii="宋体" w:hAnsi="宋体" w:eastAsia="宋体" w:cs="Times New Roman"/>
                <w:bCs/>
                <w:color w:val="auto"/>
                <w:sz w:val="24"/>
                <w:szCs w:val="24"/>
                <w:highlight w:val="yellow"/>
                <w:lang w:eastAsia="zh-CN"/>
              </w:rPr>
              <w:t>。</w:t>
            </w:r>
          </w:p>
        </w:tc>
      </w:tr>
      <w:tr w14:paraId="7481D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95" w:type="dxa"/>
            <w:vMerge w:val="restart"/>
            <w:vAlign w:val="center"/>
          </w:tcPr>
          <w:p w14:paraId="2CCEDB29">
            <w:pPr>
              <w:jc w:val="center"/>
              <w:rPr>
                <w:rFonts w:ascii="宋体" w:hAnsi="宋体"/>
                <w:bCs/>
                <w:color w:val="auto"/>
                <w:sz w:val="24"/>
                <w:szCs w:val="24"/>
                <w:highlight w:val="none"/>
              </w:rPr>
            </w:pPr>
            <w:r>
              <w:rPr>
                <w:rFonts w:ascii="宋体" w:hAnsi="宋体"/>
                <w:bCs/>
                <w:color w:val="auto"/>
                <w:sz w:val="24"/>
                <w:szCs w:val="24"/>
                <w:highlight w:val="none"/>
              </w:rPr>
              <w:t>2</w:t>
            </w:r>
          </w:p>
        </w:tc>
        <w:tc>
          <w:tcPr>
            <w:tcW w:w="10245" w:type="dxa"/>
            <w:gridSpan w:val="2"/>
          </w:tcPr>
          <w:p w14:paraId="498BDA7C">
            <w:pPr>
              <w:pStyle w:val="55"/>
              <w:spacing w:line="276" w:lineRule="auto"/>
              <w:rPr>
                <w:color w:val="auto"/>
                <w:highlight w:val="none"/>
              </w:rPr>
            </w:pPr>
            <w:r>
              <w:rPr>
                <w:rFonts w:hint="eastAsia"/>
                <w:color w:val="auto"/>
                <w:highlight w:val="none"/>
              </w:rPr>
              <w:t>2.1投标人参加本次采购活动</w:t>
            </w:r>
            <w:r>
              <w:rPr>
                <w:rFonts w:hint="eastAsia"/>
                <w:color w:val="auto"/>
                <w:highlight w:val="none"/>
                <w:lang w:val="zh-CN"/>
              </w:rPr>
              <w:t>应具备下列资格条件：</w:t>
            </w:r>
          </w:p>
          <w:p w14:paraId="074D90B0">
            <w:pPr>
              <w:pStyle w:val="55"/>
              <w:spacing w:line="276" w:lineRule="auto"/>
              <w:rPr>
                <w:rFonts w:hint="eastAsia"/>
                <w:color w:val="auto"/>
                <w:highlight w:val="none"/>
                <w:lang w:val="zh-CN"/>
              </w:rPr>
            </w:pPr>
            <w:r>
              <w:rPr>
                <w:rFonts w:hint="eastAsia"/>
                <w:color w:val="auto"/>
                <w:highlight w:val="none"/>
              </w:rPr>
              <w:t>①</w:t>
            </w:r>
            <w:r>
              <w:rPr>
                <w:rFonts w:hint="eastAsia"/>
                <w:color w:val="auto"/>
                <w:highlight w:val="none"/>
                <w:lang w:val="zh-CN"/>
              </w:rPr>
              <w:t>具有独立承担民事责任的能力；</w:t>
            </w:r>
          </w:p>
          <w:p w14:paraId="2E5BEB4D">
            <w:pPr>
              <w:rPr>
                <w:rFonts w:hint="eastAsia" w:ascii="宋体" w:hAnsi="Times New Roman" w:eastAsia="宋体" w:cs="Times New Roman"/>
                <w:color w:val="auto"/>
                <w:kern w:val="0"/>
                <w:sz w:val="24"/>
                <w:szCs w:val="20"/>
                <w:highlight w:val="none"/>
                <w:u w:color="000000"/>
                <w:lang w:val="zh-CN" w:eastAsia="zh-CN" w:bidi="ar-SA"/>
              </w:rPr>
            </w:pPr>
            <w:r>
              <w:rPr>
                <w:rFonts w:hint="eastAsia" w:ascii="宋体" w:hAnsi="Times New Roman" w:eastAsia="宋体" w:cs="Times New Roman"/>
                <w:color w:val="auto"/>
                <w:kern w:val="0"/>
                <w:sz w:val="24"/>
                <w:szCs w:val="20"/>
                <w:highlight w:val="none"/>
                <w:u w:color="000000"/>
                <w:lang w:val="zh-CN" w:eastAsia="zh-CN" w:bidi="ar-SA"/>
              </w:rPr>
              <w:t>②具有良好的商业信誉和健全的财务会计制度；</w:t>
            </w:r>
          </w:p>
          <w:p w14:paraId="0CCB64C0">
            <w:pPr>
              <w:pStyle w:val="55"/>
              <w:spacing w:line="276" w:lineRule="auto"/>
              <w:rPr>
                <w:color w:val="auto"/>
                <w:highlight w:val="none"/>
              </w:rPr>
            </w:pPr>
            <w:r>
              <w:rPr>
                <w:rFonts w:hint="eastAsia" w:ascii="宋体" w:hAnsi="Times New Roman" w:eastAsia="宋体" w:cs="Times New Roman"/>
                <w:color w:val="auto"/>
                <w:kern w:val="0"/>
                <w:sz w:val="24"/>
                <w:szCs w:val="20"/>
                <w:highlight w:val="none"/>
                <w:u w:color="000000"/>
                <w:lang w:val="zh-CN" w:eastAsia="zh-CN" w:bidi="ar-SA"/>
              </w:rPr>
              <w:t>③有依法缴纳税收和社会保障资金的良好记录</w:t>
            </w:r>
            <w:r>
              <w:rPr>
                <w:rFonts w:hint="eastAsia"/>
                <w:color w:val="auto"/>
                <w:highlight w:val="none"/>
              </w:rPr>
              <w:t>；</w:t>
            </w:r>
          </w:p>
          <w:p w14:paraId="01364855">
            <w:pPr>
              <w:pStyle w:val="55"/>
              <w:spacing w:line="276" w:lineRule="auto"/>
              <w:rPr>
                <w:color w:val="auto"/>
                <w:highlight w:val="none"/>
              </w:rPr>
            </w:pPr>
            <w:r>
              <w:rPr>
                <w:rFonts w:hint="eastAsia"/>
                <w:color w:val="auto"/>
                <w:highlight w:val="none"/>
              </w:rPr>
              <w:t>④具有履行合同所必需的设备和专业技术能力；</w:t>
            </w:r>
          </w:p>
          <w:p w14:paraId="5EC1D420">
            <w:pPr>
              <w:pStyle w:val="55"/>
              <w:spacing w:line="276" w:lineRule="auto"/>
              <w:rPr>
                <w:color w:val="auto"/>
                <w:highlight w:val="none"/>
              </w:rPr>
            </w:pPr>
            <w:r>
              <w:rPr>
                <w:rFonts w:hint="eastAsia"/>
                <w:color w:val="auto"/>
                <w:highlight w:val="none"/>
              </w:rPr>
              <w:t>⑤不接受联合体，不接受中标后分包；</w:t>
            </w:r>
          </w:p>
          <w:p w14:paraId="45AA912D">
            <w:pPr>
              <w:pStyle w:val="55"/>
              <w:spacing w:line="276" w:lineRule="auto"/>
              <w:rPr>
                <w:rFonts w:hint="eastAsia"/>
                <w:color w:val="auto"/>
                <w:highlight w:val="none"/>
                <w:lang w:eastAsia="zh-CN"/>
              </w:rPr>
            </w:pPr>
            <w:r>
              <w:rPr>
                <w:rFonts w:hint="eastAsia"/>
                <w:color w:val="auto"/>
                <w:highlight w:val="none"/>
                <w:lang w:eastAsia="zh-CN"/>
              </w:rPr>
              <w:t>⑥</w:t>
            </w:r>
            <w:r>
              <w:rPr>
                <w:rFonts w:hint="eastAsia"/>
                <w:color w:val="auto"/>
                <w:highlight w:val="none"/>
              </w:rPr>
              <w:t>良好的信用记录：投标截止时间之前，未被“信用中国”网站列入失信执行人、</w:t>
            </w:r>
            <w:r>
              <w:rPr>
                <w:rFonts w:hint="eastAsia" w:hAnsi="宋体"/>
                <w:bCs/>
                <w:color w:val="auto"/>
                <w:szCs w:val="24"/>
                <w:highlight w:val="none"/>
                <w:lang w:val="zh-CN"/>
              </w:rPr>
              <w:t>税收违法黑名单</w:t>
            </w:r>
            <w:r>
              <w:rPr>
                <w:rFonts w:hint="eastAsia"/>
                <w:color w:val="auto"/>
                <w:highlight w:val="none"/>
                <w:lang w:val="zh-CN"/>
              </w:rPr>
              <w:t>、</w:t>
            </w:r>
            <w:r>
              <w:rPr>
                <w:rFonts w:hint="eastAsia" w:ascii="宋体" w:hAnsi="宋体" w:eastAsia="宋体" w:cs="Times New Roman"/>
                <w:bCs/>
                <w:color w:val="FF0000"/>
                <w:sz w:val="24"/>
                <w:szCs w:val="24"/>
                <w:lang w:val="zh-CN"/>
              </w:rPr>
              <w:t>严重失信主体名单</w:t>
            </w:r>
            <w:r>
              <w:rPr>
                <w:rFonts w:hint="eastAsia"/>
                <w:color w:val="auto"/>
                <w:highlight w:val="none"/>
              </w:rPr>
              <w:t>，未被“中国政府采购网”网站列入政府采购严重违法失信行为记录名单</w:t>
            </w:r>
            <w:r>
              <w:rPr>
                <w:rFonts w:hint="eastAsia"/>
                <w:color w:val="auto"/>
                <w:highlight w:val="none"/>
                <w:lang w:eastAsia="zh-CN"/>
              </w:rPr>
              <w:t>。</w:t>
            </w:r>
          </w:p>
          <w:p w14:paraId="46689210">
            <w:pPr>
              <w:pStyle w:val="55"/>
              <w:spacing w:line="276" w:lineRule="auto"/>
              <w:rPr>
                <w:rFonts w:hint="eastAsia"/>
                <w:lang w:eastAsia="zh-CN"/>
              </w:rPr>
            </w:pPr>
            <w:r>
              <w:rPr>
                <w:rFonts w:hint="eastAsia"/>
                <w:color w:val="auto"/>
                <w:highlight w:val="none"/>
                <w:lang w:val="en-US" w:eastAsia="zh-CN"/>
              </w:rPr>
              <w:t>⑦</w:t>
            </w:r>
            <w:r>
              <w:rPr>
                <w:rFonts w:hint="eastAsia"/>
                <w:color w:val="auto"/>
                <w:highlight w:val="none"/>
                <w:lang w:val="zh-CN"/>
              </w:rPr>
              <w:t>投标人具备</w:t>
            </w:r>
            <w:r>
              <w:rPr>
                <w:rFonts w:hint="eastAsia"/>
                <w:color w:val="auto"/>
                <w:highlight w:val="none"/>
                <w:lang w:val="en-US" w:eastAsia="zh-CN"/>
              </w:rPr>
              <w:t>环保工程专业承包资质叁级及以上资质。</w:t>
            </w:r>
            <w:r>
              <w:rPr>
                <w:rFonts w:hint="eastAsia"/>
                <w:color w:val="auto"/>
                <w:highlight w:val="none"/>
              </w:rPr>
              <w:t>（</w:t>
            </w:r>
            <w:r>
              <w:rPr>
                <w:rFonts w:hint="eastAsia"/>
                <w:b/>
                <w:bCs/>
                <w:color w:val="auto"/>
                <w:highlight w:val="none"/>
              </w:rPr>
              <w:t>需提供有效期内资质证书原件或电子证书复印件（备注网上查询网址）并加盖投标人公章</w:t>
            </w:r>
            <w:r>
              <w:rPr>
                <w:rFonts w:hint="eastAsia"/>
                <w:color w:val="auto"/>
                <w:highlight w:val="none"/>
              </w:rPr>
              <w:t>）</w:t>
            </w:r>
          </w:p>
        </w:tc>
      </w:tr>
      <w:tr w14:paraId="572EC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3" w:hRule="atLeast"/>
        </w:trPr>
        <w:tc>
          <w:tcPr>
            <w:tcW w:w="495" w:type="dxa"/>
            <w:vMerge w:val="continue"/>
            <w:vAlign w:val="center"/>
          </w:tcPr>
          <w:p w14:paraId="30690981">
            <w:pPr>
              <w:spacing w:line="240" w:lineRule="atLeast"/>
              <w:rPr>
                <w:color w:val="auto"/>
                <w:highlight w:val="none"/>
              </w:rPr>
            </w:pPr>
          </w:p>
        </w:tc>
        <w:tc>
          <w:tcPr>
            <w:tcW w:w="10245" w:type="dxa"/>
            <w:gridSpan w:val="2"/>
          </w:tcPr>
          <w:p w14:paraId="3E89171E">
            <w:pPr>
              <w:pStyle w:val="55"/>
              <w:spacing w:line="276" w:lineRule="auto"/>
              <w:rPr>
                <w:color w:val="auto"/>
                <w:highlight w:val="none"/>
                <w:lang w:val="zh-CN"/>
              </w:rPr>
            </w:pPr>
            <w:r>
              <w:rPr>
                <w:rFonts w:hint="eastAsia"/>
                <w:color w:val="auto"/>
                <w:highlight w:val="none"/>
                <w:lang w:val="zh-CN"/>
              </w:rPr>
              <w:t>2.</w:t>
            </w:r>
            <w:r>
              <w:rPr>
                <w:rFonts w:hint="eastAsia"/>
                <w:color w:val="auto"/>
                <w:highlight w:val="none"/>
              </w:rPr>
              <w:t>2</w:t>
            </w:r>
            <w:r>
              <w:rPr>
                <w:rFonts w:hint="eastAsia"/>
                <w:color w:val="auto"/>
                <w:highlight w:val="none"/>
                <w:lang w:val="zh-CN"/>
              </w:rPr>
              <w:t>拒绝下述供应商参加本次采购活动：</w:t>
            </w:r>
          </w:p>
          <w:p w14:paraId="01E1AD90">
            <w:pPr>
              <w:autoSpaceDE w:val="0"/>
              <w:autoSpaceDN w:val="0"/>
              <w:adjustRightInd w:val="0"/>
              <w:rPr>
                <w:rFonts w:ascii="宋体" w:hAnsi="宋体"/>
                <w:bCs/>
                <w:color w:val="auto"/>
                <w:sz w:val="24"/>
                <w:szCs w:val="21"/>
                <w:highlight w:val="none"/>
              </w:rPr>
            </w:pPr>
            <w:r>
              <w:rPr>
                <w:rFonts w:hint="eastAsia" w:ascii="宋体" w:hAnsi="宋体" w:cs="宋体"/>
                <w:bCs/>
                <w:color w:val="auto"/>
                <w:sz w:val="24"/>
                <w:szCs w:val="21"/>
                <w:highlight w:val="none"/>
              </w:rPr>
              <w:t>①</w:t>
            </w:r>
            <w:r>
              <w:rPr>
                <w:rFonts w:hint="eastAsia" w:ascii="宋体" w:hAnsi="宋体"/>
                <w:bCs/>
                <w:color w:val="auto"/>
                <w:sz w:val="24"/>
                <w:szCs w:val="21"/>
                <w:highlight w:val="none"/>
              </w:rPr>
              <w:t>供应商</w:t>
            </w:r>
            <w:r>
              <w:rPr>
                <w:rFonts w:ascii="宋体" w:hAnsi="宋体"/>
                <w:bCs/>
                <w:color w:val="auto"/>
                <w:sz w:val="24"/>
                <w:szCs w:val="21"/>
                <w:highlight w:val="none"/>
              </w:rPr>
              <w:t>单位负责人为同一人或者存在直接控股、管理关系的不同供应商，不得参加同一合同项下的采购活动</w:t>
            </w:r>
            <w:r>
              <w:rPr>
                <w:rFonts w:hint="eastAsia" w:ascii="宋体" w:hAnsi="宋体"/>
                <w:bCs/>
                <w:color w:val="auto"/>
                <w:sz w:val="24"/>
                <w:szCs w:val="21"/>
                <w:highlight w:val="none"/>
              </w:rPr>
              <w:t>；</w:t>
            </w:r>
          </w:p>
          <w:p w14:paraId="452FDDB1">
            <w:pPr>
              <w:pStyle w:val="55"/>
              <w:spacing w:line="276" w:lineRule="auto"/>
              <w:rPr>
                <w:color w:val="auto"/>
                <w:highlight w:val="none"/>
                <w:lang w:val="zh-CN"/>
              </w:rPr>
            </w:pPr>
            <w:r>
              <w:rPr>
                <w:rFonts w:hint="eastAsia" w:hAnsi="宋体" w:cs="宋体"/>
                <w:bCs/>
                <w:color w:val="auto"/>
                <w:szCs w:val="21"/>
                <w:highlight w:val="none"/>
              </w:rPr>
              <w:t>②</w:t>
            </w:r>
            <w:r>
              <w:rPr>
                <w:rFonts w:hint="eastAsia" w:hAnsi="宋体"/>
                <w:bCs/>
                <w:color w:val="auto"/>
                <w:szCs w:val="21"/>
                <w:highlight w:val="none"/>
              </w:rPr>
              <w:t>凡</w:t>
            </w:r>
            <w:r>
              <w:rPr>
                <w:rFonts w:hAnsi="宋体"/>
                <w:bCs/>
                <w:color w:val="auto"/>
                <w:szCs w:val="21"/>
                <w:highlight w:val="none"/>
              </w:rPr>
              <w:t>为采购项目提供整体设计、规范编制或者项目管理、监理、检测等服务的供应商，不得再参加</w:t>
            </w:r>
            <w:r>
              <w:rPr>
                <w:rFonts w:hint="eastAsia" w:hAnsi="宋体"/>
                <w:bCs/>
                <w:color w:val="auto"/>
                <w:szCs w:val="21"/>
                <w:highlight w:val="none"/>
              </w:rPr>
              <w:t>本</w:t>
            </w:r>
            <w:r>
              <w:rPr>
                <w:rFonts w:hAnsi="宋体"/>
                <w:bCs/>
                <w:color w:val="auto"/>
                <w:szCs w:val="21"/>
                <w:highlight w:val="none"/>
              </w:rPr>
              <w:t>项目的采购活动。</w:t>
            </w:r>
          </w:p>
        </w:tc>
      </w:tr>
      <w:tr w14:paraId="58A37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5" w:type="dxa"/>
            <w:vMerge w:val="continue"/>
            <w:vAlign w:val="center"/>
          </w:tcPr>
          <w:p w14:paraId="2CDCD0A2">
            <w:pPr>
              <w:spacing w:line="240" w:lineRule="atLeast"/>
              <w:rPr>
                <w:color w:val="auto"/>
                <w:highlight w:val="none"/>
              </w:rPr>
            </w:pPr>
          </w:p>
        </w:tc>
        <w:tc>
          <w:tcPr>
            <w:tcW w:w="10245" w:type="dxa"/>
            <w:gridSpan w:val="2"/>
          </w:tcPr>
          <w:p w14:paraId="5B544438">
            <w:pPr>
              <w:pStyle w:val="55"/>
              <w:spacing w:line="360" w:lineRule="auto"/>
              <w:rPr>
                <w:rFonts w:hint="eastAsia" w:asciiTheme="minorEastAsia" w:hAnsiTheme="minorEastAsia" w:eastAsiaTheme="minorEastAsia"/>
                <w:szCs w:val="24"/>
                <w:lang w:val="zh-CN"/>
              </w:rPr>
            </w:pPr>
            <w:r>
              <w:rPr>
                <w:rFonts w:hint="eastAsia" w:asciiTheme="minorEastAsia" w:hAnsiTheme="minorEastAsia" w:eastAsiaTheme="minorEastAsia"/>
                <w:szCs w:val="24"/>
                <w:lang w:val="zh-CN"/>
              </w:rPr>
              <w:t>2.3主要部件及材质品牌要求：</w:t>
            </w:r>
          </w:p>
          <w:p w14:paraId="6F562A50">
            <w:pPr>
              <w:rPr>
                <w:rFonts w:hint="eastAsia" w:cs="Times New Roman" w:asciiTheme="minorEastAsia" w:hAnsiTheme="minorEastAsia" w:eastAsiaTheme="minorEastAsia"/>
                <w:kern w:val="0"/>
                <w:sz w:val="24"/>
                <w:szCs w:val="24"/>
                <w:u w:color="000000"/>
                <w:lang w:val="zh-CN" w:eastAsia="zh-CN" w:bidi="ar-SA"/>
              </w:rPr>
            </w:pPr>
            <w:r>
              <w:rPr>
                <w:rFonts w:hint="eastAsia" w:cs="Times New Roman" w:asciiTheme="minorEastAsia" w:hAnsiTheme="minorEastAsia" w:eastAsiaTheme="minorEastAsia"/>
                <w:kern w:val="0"/>
                <w:sz w:val="24"/>
                <w:szCs w:val="24"/>
                <w:u w:color="000000"/>
                <w:lang w:val="en-US" w:eastAsia="zh-CN" w:bidi="ar-SA"/>
              </w:rPr>
              <w:t>①</w:t>
            </w:r>
            <w:r>
              <w:rPr>
                <w:rFonts w:hint="eastAsia" w:cs="Times New Roman" w:asciiTheme="minorEastAsia" w:hAnsiTheme="minorEastAsia" w:eastAsiaTheme="minorEastAsia"/>
                <w:kern w:val="0"/>
                <w:sz w:val="24"/>
                <w:szCs w:val="24"/>
                <w:u w:color="000000"/>
                <w:lang w:val="zh-CN" w:eastAsia="zh-CN" w:bidi="ar-SA"/>
              </w:rPr>
              <w:t>格栅及精准除砂系统：无锡中川环保、江苏阿兰贝尔、南京蓝赛环保、江苏明轩、江苏环球、鹏鹞环保、金山环保、通用环保、江苏一环；</w:t>
            </w:r>
          </w:p>
          <w:p w14:paraId="33D8CA17">
            <w:pPr>
              <w:pStyle w:val="92"/>
              <w:spacing w:before="33" w:line="220" w:lineRule="auto"/>
              <w:jc w:val="both"/>
              <w:rPr>
                <w:rFonts w:hint="eastAsia" w:cs="Times New Roman" w:asciiTheme="minorEastAsia" w:hAnsiTheme="minorEastAsia" w:eastAsiaTheme="minorEastAsia"/>
                <w:kern w:val="0"/>
                <w:sz w:val="24"/>
                <w:szCs w:val="24"/>
                <w:u w:color="000000"/>
                <w:lang w:val="zh-CN" w:eastAsia="zh-CN" w:bidi="ar-SA"/>
              </w:rPr>
            </w:pPr>
            <w:r>
              <w:rPr>
                <w:rFonts w:hint="eastAsia" w:cs="Times New Roman" w:asciiTheme="minorEastAsia" w:hAnsiTheme="minorEastAsia" w:eastAsiaTheme="minorEastAsia"/>
                <w:kern w:val="0"/>
                <w:sz w:val="24"/>
                <w:szCs w:val="24"/>
                <w:u w:color="000000"/>
                <w:lang w:val="en-US" w:eastAsia="zh-CN" w:bidi="ar-SA"/>
              </w:rPr>
              <w:t>②</w:t>
            </w:r>
            <w:r>
              <w:rPr>
                <w:rFonts w:hint="eastAsia" w:cs="Times New Roman" w:asciiTheme="minorEastAsia" w:hAnsiTheme="minorEastAsia" w:eastAsiaTheme="minorEastAsia"/>
                <w:kern w:val="0"/>
                <w:sz w:val="24"/>
                <w:szCs w:val="24"/>
                <w:u w:color="000000"/>
                <w:lang w:val="zh-CN" w:eastAsia="zh-CN" w:bidi="ar-SA"/>
              </w:rPr>
              <w:t>除臭系统：江苏宇动、南方环保、东大能源、鹏鹞环保、金山环保、通用环保、江苏一环、江苏明轩、江苏环球；</w:t>
            </w:r>
          </w:p>
          <w:p w14:paraId="561D8078">
            <w:pPr>
              <w:pStyle w:val="92"/>
              <w:spacing w:before="33" w:line="220" w:lineRule="auto"/>
              <w:jc w:val="both"/>
              <w:rPr>
                <w:rFonts w:hint="eastAsia" w:cs="Times New Roman" w:asciiTheme="minorEastAsia" w:hAnsiTheme="minorEastAsia" w:eastAsiaTheme="minorEastAsia"/>
                <w:kern w:val="0"/>
                <w:sz w:val="24"/>
                <w:szCs w:val="24"/>
                <w:u w:color="000000"/>
                <w:lang w:val="en-US" w:eastAsia="zh-CN" w:bidi="ar-SA"/>
              </w:rPr>
            </w:pPr>
            <w:r>
              <w:rPr>
                <w:rFonts w:hint="eastAsia" w:cs="Times New Roman" w:asciiTheme="minorEastAsia" w:hAnsiTheme="minorEastAsia" w:eastAsiaTheme="minorEastAsia"/>
                <w:kern w:val="0"/>
                <w:sz w:val="24"/>
                <w:szCs w:val="24"/>
                <w:u w:color="000000"/>
                <w:lang w:val="en-US" w:eastAsia="zh-CN" w:bidi="ar-SA"/>
              </w:rPr>
              <w:t>③电气元器件：西门子、施耐德、ABB；</w:t>
            </w:r>
          </w:p>
          <w:p w14:paraId="1DA3435D">
            <w:pPr>
              <w:pStyle w:val="92"/>
              <w:spacing w:before="33" w:line="220" w:lineRule="auto"/>
              <w:jc w:val="both"/>
              <w:rPr>
                <w:rFonts w:hint="eastAsia" w:ascii="宋体" w:hAnsi="宋体" w:eastAsia="宋体" w:cs="宋体"/>
                <w:spacing w:val="-1"/>
                <w:sz w:val="24"/>
                <w:szCs w:val="24"/>
                <w:lang w:eastAsia="zh-CN"/>
              </w:rPr>
            </w:pPr>
            <w:r>
              <w:rPr>
                <w:rFonts w:hint="eastAsia" w:ascii="宋体" w:hAnsi="宋体" w:eastAsia="宋体" w:cs="宋体"/>
                <w:kern w:val="0"/>
                <w:sz w:val="24"/>
                <w:szCs w:val="24"/>
                <w:u w:color="000000"/>
                <w:lang w:val="en-US" w:eastAsia="zh-CN" w:bidi="ar-SA"/>
              </w:rPr>
              <w:t>④PLC模块：</w:t>
            </w:r>
            <w:r>
              <w:rPr>
                <w:rFonts w:hint="eastAsia" w:ascii="宋体" w:hAnsi="宋体" w:eastAsia="宋体" w:cs="宋体"/>
                <w:spacing w:val="-1"/>
                <w:sz w:val="24"/>
                <w:szCs w:val="24"/>
              </w:rPr>
              <w:t>AB、施耐德、西门子</w:t>
            </w:r>
            <w:r>
              <w:rPr>
                <w:rFonts w:hint="eastAsia" w:ascii="宋体" w:hAnsi="宋体" w:eastAsia="宋体" w:cs="宋体"/>
                <w:spacing w:val="-1"/>
                <w:sz w:val="24"/>
                <w:szCs w:val="24"/>
                <w:lang w:eastAsia="zh-CN"/>
              </w:rPr>
              <w:t>；</w:t>
            </w:r>
          </w:p>
          <w:p w14:paraId="51153518">
            <w:pPr>
              <w:pStyle w:val="92"/>
              <w:spacing w:before="33" w:line="220" w:lineRule="auto"/>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val="en-US" w:eastAsia="zh-CN"/>
              </w:rPr>
              <w:t>⑤电线线缆：</w:t>
            </w:r>
            <w:r>
              <w:rPr>
                <w:rFonts w:hint="eastAsia" w:ascii="宋体" w:hAnsi="宋体" w:eastAsia="宋体" w:cs="宋体"/>
                <w:spacing w:val="-1"/>
                <w:sz w:val="24"/>
                <w:szCs w:val="24"/>
              </w:rPr>
              <w:t>远东、上上、江南、中超、新远程</w:t>
            </w:r>
            <w:r>
              <w:rPr>
                <w:rFonts w:hint="eastAsia" w:ascii="宋体" w:hAnsi="宋体" w:eastAsia="宋体" w:cs="宋体"/>
                <w:spacing w:val="-1"/>
                <w:sz w:val="24"/>
                <w:szCs w:val="24"/>
                <w:lang w:eastAsia="zh-CN"/>
              </w:rPr>
              <w:t>；</w:t>
            </w:r>
          </w:p>
          <w:p w14:paraId="4541B178">
            <w:pPr>
              <w:pStyle w:val="92"/>
              <w:spacing w:before="33" w:line="220" w:lineRule="auto"/>
              <w:jc w:val="both"/>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⑥计量泵：普罗名特、米顿罗、格兰富；</w:t>
            </w:r>
          </w:p>
          <w:p w14:paraId="0BCA23EF">
            <w:pPr>
              <w:pStyle w:val="92"/>
              <w:spacing w:before="33" w:line="220" w:lineRule="auto"/>
              <w:jc w:val="both"/>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⑦流量计：E+H、西门子、科隆、ABB；</w:t>
            </w:r>
          </w:p>
          <w:p w14:paraId="6CE98413">
            <w:pPr>
              <w:pStyle w:val="92"/>
              <w:spacing w:before="33" w:line="220" w:lineRule="auto"/>
              <w:jc w:val="both"/>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⑧液位计：E+H、西门子、科隆、ABB；</w:t>
            </w:r>
          </w:p>
          <w:p w14:paraId="17E61F6C">
            <w:pPr>
              <w:pStyle w:val="92"/>
              <w:spacing w:before="33" w:line="220" w:lineRule="auto"/>
              <w:jc w:val="both"/>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⑨潜污泵：上海凯泉、浙江丰球克瑞泵业、南方泵业、上海熊猫</w:t>
            </w:r>
            <w:r>
              <w:rPr>
                <w:rFonts w:hint="eastAsia" w:cs="宋体"/>
                <w:spacing w:val="-1"/>
                <w:sz w:val="24"/>
                <w:szCs w:val="24"/>
                <w:lang w:val="en-US" w:eastAsia="zh-CN"/>
              </w:rPr>
              <w:t>；</w:t>
            </w:r>
          </w:p>
          <w:p w14:paraId="244886AD">
            <w:pPr>
              <w:pStyle w:val="92"/>
              <w:spacing w:before="33" w:line="220" w:lineRule="auto"/>
              <w:jc w:val="both"/>
              <w:rPr>
                <w:rFonts w:hint="default" w:ascii="宋体" w:hAnsi="宋体" w:eastAsia="宋体" w:cs="宋体"/>
                <w:spacing w:val="-1"/>
                <w:sz w:val="24"/>
                <w:szCs w:val="24"/>
                <w:lang w:val="en-US" w:eastAsia="zh-CN"/>
              </w:rPr>
            </w:pPr>
            <w:r>
              <w:rPr>
                <w:rFonts w:hint="eastAsia" w:cs="宋体"/>
                <w:spacing w:val="-1"/>
                <w:sz w:val="24"/>
                <w:szCs w:val="24"/>
                <w:lang w:val="en-US" w:eastAsia="zh-CN"/>
              </w:rPr>
              <w:t>⑩触摸屏：</w:t>
            </w:r>
            <w:r>
              <w:rPr>
                <w:rFonts w:ascii="Times New Roman" w:hAnsi="Times New Roman" w:eastAsia="宋体"/>
                <w:color w:val="auto"/>
                <w:kern w:val="0"/>
                <w:sz w:val="24"/>
                <w:highlight w:val="none"/>
              </w:rPr>
              <w:t>西门子</w:t>
            </w:r>
            <w:r>
              <w:rPr>
                <w:rFonts w:hint="eastAsia" w:ascii="Times New Roman" w:hAnsi="Times New Roman" w:eastAsia="宋体"/>
                <w:color w:val="auto"/>
                <w:kern w:val="0"/>
                <w:sz w:val="24"/>
                <w:highlight w:val="none"/>
                <w:lang w:eastAsia="zh-CN"/>
              </w:rPr>
              <w:t>、</w:t>
            </w:r>
            <w:r>
              <w:rPr>
                <w:rFonts w:hint="eastAsia" w:ascii="Times New Roman" w:hAnsi="Times New Roman" w:eastAsia="宋体"/>
                <w:color w:val="auto"/>
                <w:kern w:val="0"/>
                <w:sz w:val="24"/>
                <w:highlight w:val="none"/>
                <w:lang w:val="en-US" w:eastAsia="zh-CN"/>
              </w:rPr>
              <w:t>施耐德、AB、昆仑通态、威纶通</w:t>
            </w:r>
            <w:r>
              <w:rPr>
                <w:rFonts w:hint="eastAsia" w:ascii="Times New Roman" w:hAnsi="Times New Roman" w:eastAsia="宋体"/>
                <w:color w:val="auto"/>
                <w:kern w:val="0"/>
                <w:sz w:val="24"/>
                <w:highlight w:val="none"/>
              </w:rPr>
              <w:t>；</w:t>
            </w:r>
          </w:p>
        </w:tc>
      </w:tr>
      <w:tr w14:paraId="202C3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95" w:type="dxa"/>
            <w:vAlign w:val="center"/>
          </w:tcPr>
          <w:p w14:paraId="2EBEEA13">
            <w:pPr>
              <w:jc w:val="center"/>
              <w:rPr>
                <w:rFonts w:ascii="宋体" w:hAnsi="宋体"/>
                <w:bCs/>
                <w:color w:val="auto"/>
                <w:sz w:val="24"/>
                <w:szCs w:val="24"/>
                <w:highlight w:val="none"/>
              </w:rPr>
            </w:pPr>
            <w:r>
              <w:rPr>
                <w:rFonts w:hint="eastAsia" w:ascii="宋体" w:hAnsi="宋体"/>
                <w:bCs/>
                <w:color w:val="auto"/>
                <w:sz w:val="24"/>
                <w:szCs w:val="24"/>
                <w:highlight w:val="none"/>
              </w:rPr>
              <w:t>3</w:t>
            </w:r>
          </w:p>
        </w:tc>
        <w:tc>
          <w:tcPr>
            <w:tcW w:w="10245" w:type="dxa"/>
            <w:gridSpan w:val="2"/>
            <w:vAlign w:val="center"/>
          </w:tcPr>
          <w:p w14:paraId="29D53C59">
            <w:pPr>
              <w:pStyle w:val="55"/>
              <w:rPr>
                <w:rFonts w:hAnsi="宋体"/>
                <w:bCs/>
                <w:color w:val="auto"/>
                <w:szCs w:val="24"/>
                <w:highlight w:val="none"/>
                <w:lang w:val="zh-CN"/>
              </w:rPr>
            </w:pPr>
            <w:r>
              <w:rPr>
                <w:rFonts w:hint="eastAsia" w:hAnsi="宋体"/>
                <w:bCs/>
                <w:color w:val="auto"/>
                <w:szCs w:val="24"/>
                <w:highlight w:val="none"/>
                <w:lang w:val="zh-CN"/>
              </w:rPr>
              <w:t>集中考察或答疑：无。</w:t>
            </w:r>
          </w:p>
        </w:tc>
      </w:tr>
      <w:tr w14:paraId="65763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95" w:type="dxa"/>
            <w:vAlign w:val="center"/>
          </w:tcPr>
          <w:p w14:paraId="53C6395B">
            <w:pPr>
              <w:jc w:val="center"/>
              <w:rPr>
                <w:rFonts w:ascii="宋体" w:hAnsi="宋体"/>
                <w:bCs/>
                <w:color w:val="auto"/>
                <w:sz w:val="24"/>
                <w:szCs w:val="24"/>
                <w:highlight w:val="none"/>
              </w:rPr>
            </w:pPr>
            <w:r>
              <w:rPr>
                <w:rFonts w:hint="eastAsia" w:ascii="宋体" w:hAnsi="宋体"/>
                <w:bCs/>
                <w:color w:val="auto"/>
                <w:sz w:val="24"/>
                <w:szCs w:val="24"/>
                <w:highlight w:val="none"/>
              </w:rPr>
              <w:t>4</w:t>
            </w:r>
          </w:p>
        </w:tc>
        <w:tc>
          <w:tcPr>
            <w:tcW w:w="10245" w:type="dxa"/>
            <w:gridSpan w:val="2"/>
          </w:tcPr>
          <w:p w14:paraId="17D675C3">
            <w:pPr>
              <w:pStyle w:val="55"/>
              <w:rPr>
                <w:rFonts w:hAnsi="宋体"/>
                <w:bCs/>
                <w:color w:val="auto"/>
                <w:kern w:val="2"/>
                <w:szCs w:val="24"/>
                <w:highlight w:val="none"/>
              </w:rPr>
            </w:pPr>
            <w:r>
              <w:rPr>
                <w:rFonts w:hint="eastAsia"/>
                <w:color w:val="auto"/>
                <w:sz w:val="24"/>
                <w:szCs w:val="24"/>
                <w:highlight w:val="none"/>
              </w:rPr>
              <w:t>采购人根据项目的实际情况，要求投标人在投标</w:t>
            </w:r>
            <w:r>
              <w:rPr>
                <w:rFonts w:hint="eastAsia"/>
                <w:color w:val="auto"/>
                <w:sz w:val="24"/>
                <w:szCs w:val="24"/>
                <w:highlight w:val="none"/>
                <w:lang w:val="en-US" w:eastAsia="zh-CN"/>
              </w:rPr>
              <w:t>截止时间</w:t>
            </w:r>
            <w:r>
              <w:rPr>
                <w:rFonts w:hint="eastAsia"/>
                <w:color w:val="auto"/>
                <w:sz w:val="24"/>
                <w:szCs w:val="24"/>
                <w:highlight w:val="none"/>
              </w:rPr>
              <w:t>前</w:t>
            </w:r>
            <w:r>
              <w:rPr>
                <w:rFonts w:hint="eastAsia"/>
                <w:color w:val="auto"/>
                <w:highlight w:val="none"/>
              </w:rPr>
              <w:t>须交纳投标保证金</w:t>
            </w:r>
            <w:r>
              <w:rPr>
                <w:rFonts w:hint="eastAsia"/>
                <w:b/>
                <w:bCs/>
                <w:color w:val="auto"/>
                <w:highlight w:val="none"/>
                <w:u w:val="single" w:color="auto"/>
                <w:lang w:val="en-US" w:eastAsia="zh-CN"/>
              </w:rPr>
              <w:t>肆万捌仟</w:t>
            </w:r>
            <w:r>
              <w:rPr>
                <w:rFonts w:hint="eastAsia"/>
                <w:b/>
                <w:bCs/>
                <w:color w:val="auto"/>
                <w:highlight w:val="none"/>
                <w:u w:val="single" w:color="auto"/>
              </w:rPr>
              <w:t>万</w:t>
            </w:r>
            <w:r>
              <w:rPr>
                <w:rFonts w:hint="eastAsia"/>
                <w:color w:val="auto"/>
                <w:highlight w:val="none"/>
              </w:rPr>
              <w:t>元人民币。交纳投标保证金的单位名称必须与参加投标的投标人名称一致，且</w:t>
            </w:r>
            <w:r>
              <w:rPr>
                <w:rFonts w:hint="eastAsia" w:hAnsi="宋体"/>
                <w:bCs/>
                <w:color w:val="auto"/>
                <w:kern w:val="2"/>
                <w:szCs w:val="24"/>
                <w:highlight w:val="none"/>
              </w:rPr>
              <w:t>在投标截止时间前到达以下指定账户：</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14:paraId="3F41C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vAlign w:val="center"/>
                </w:tcPr>
                <w:p w14:paraId="48CACB5F">
                  <w:pPr>
                    <w:jc w:val="center"/>
                    <w:rPr>
                      <w:rFonts w:hAnsi="宋体"/>
                      <w:bCs/>
                      <w:color w:val="auto"/>
                      <w:szCs w:val="21"/>
                      <w:highlight w:val="none"/>
                      <w:lang w:val="zh-CN"/>
                    </w:rPr>
                  </w:pPr>
                  <w:r>
                    <w:rPr>
                      <w:rFonts w:hint="eastAsia"/>
                      <w:color w:val="auto"/>
                      <w:szCs w:val="21"/>
                      <w:highlight w:val="none"/>
                    </w:rPr>
                    <w:t>交纳投标保证金账户名称</w:t>
                  </w:r>
                </w:p>
              </w:tc>
              <w:tc>
                <w:tcPr>
                  <w:tcW w:w="3349" w:type="dxa"/>
                  <w:vAlign w:val="center"/>
                </w:tcPr>
                <w:p w14:paraId="1BB0C0C8">
                  <w:pPr>
                    <w:jc w:val="center"/>
                    <w:rPr>
                      <w:rFonts w:hAnsi="宋体"/>
                      <w:bCs/>
                      <w:color w:val="auto"/>
                      <w:szCs w:val="21"/>
                      <w:highlight w:val="none"/>
                      <w:lang w:val="zh-CN"/>
                    </w:rPr>
                  </w:pPr>
                  <w:r>
                    <w:rPr>
                      <w:rFonts w:hint="eastAsia"/>
                      <w:color w:val="auto"/>
                      <w:szCs w:val="21"/>
                      <w:highlight w:val="none"/>
                    </w:rPr>
                    <w:t>宜兴市公用环保集团有限公司</w:t>
                  </w:r>
                </w:p>
              </w:tc>
              <w:tc>
                <w:tcPr>
                  <w:tcW w:w="1084" w:type="dxa"/>
                  <w:vMerge w:val="restart"/>
                  <w:vAlign w:val="center"/>
                </w:tcPr>
                <w:p w14:paraId="574FC5A1">
                  <w:pPr>
                    <w:jc w:val="center"/>
                    <w:rPr>
                      <w:rFonts w:hAnsi="宋体"/>
                      <w:bCs/>
                      <w:color w:val="auto"/>
                      <w:szCs w:val="21"/>
                      <w:highlight w:val="none"/>
                      <w:lang w:val="zh-CN"/>
                    </w:rPr>
                  </w:pPr>
                  <w:r>
                    <w:rPr>
                      <w:rFonts w:hint="eastAsia" w:hAnsi="宋体"/>
                      <w:bCs/>
                      <w:color w:val="auto"/>
                      <w:szCs w:val="21"/>
                      <w:highlight w:val="none"/>
                      <w:lang w:val="zh-CN"/>
                    </w:rPr>
                    <w:t>交纳</w:t>
                  </w:r>
                </w:p>
                <w:p w14:paraId="661509BF">
                  <w:pPr>
                    <w:jc w:val="center"/>
                    <w:rPr>
                      <w:rFonts w:hAnsi="宋体"/>
                      <w:bCs/>
                      <w:color w:val="auto"/>
                      <w:szCs w:val="21"/>
                      <w:highlight w:val="none"/>
                      <w:lang w:val="zh-CN"/>
                    </w:rPr>
                  </w:pPr>
                  <w:r>
                    <w:rPr>
                      <w:rFonts w:hint="eastAsia" w:hAnsi="宋体"/>
                      <w:bCs/>
                      <w:color w:val="auto"/>
                      <w:szCs w:val="21"/>
                      <w:highlight w:val="none"/>
                      <w:lang w:val="zh-CN"/>
                    </w:rPr>
                    <w:t>形式</w:t>
                  </w:r>
                </w:p>
              </w:tc>
              <w:tc>
                <w:tcPr>
                  <w:tcW w:w="2663" w:type="dxa"/>
                  <w:vMerge w:val="restart"/>
                  <w:vAlign w:val="center"/>
                </w:tcPr>
                <w:p w14:paraId="746B9F12">
                  <w:pPr>
                    <w:jc w:val="center"/>
                    <w:rPr>
                      <w:rFonts w:hAnsi="宋体"/>
                      <w:bCs/>
                      <w:color w:val="auto"/>
                      <w:szCs w:val="21"/>
                      <w:highlight w:val="none"/>
                      <w:lang w:val="zh-CN"/>
                    </w:rPr>
                  </w:pPr>
                  <w:r>
                    <w:rPr>
                      <w:rFonts w:hint="eastAsia"/>
                      <w:color w:val="auto"/>
                      <w:szCs w:val="21"/>
                      <w:highlight w:val="none"/>
                    </w:rPr>
                    <w:t>投标保证金的交纳形式限于</w:t>
                  </w:r>
                  <w:r>
                    <w:rPr>
                      <w:rFonts w:hint="eastAsia"/>
                      <w:color w:val="auto"/>
                      <w:highlight w:val="none"/>
                    </w:rPr>
                    <w:t>转账</w:t>
                  </w:r>
                  <w:r>
                    <w:rPr>
                      <w:rFonts w:hint="eastAsia"/>
                      <w:color w:val="auto"/>
                      <w:szCs w:val="21"/>
                      <w:highlight w:val="none"/>
                    </w:rPr>
                    <w:t>（不接受其他形式的投标保证金）</w:t>
                  </w:r>
                </w:p>
              </w:tc>
            </w:tr>
            <w:tr w14:paraId="781B9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04" w:type="dxa"/>
                  <w:vAlign w:val="center"/>
                </w:tcPr>
                <w:p w14:paraId="0FCBBE60">
                  <w:pPr>
                    <w:jc w:val="center"/>
                    <w:rPr>
                      <w:rFonts w:hAnsi="宋体"/>
                      <w:bCs/>
                      <w:color w:val="auto"/>
                      <w:szCs w:val="21"/>
                      <w:highlight w:val="none"/>
                      <w:lang w:val="zh-CN"/>
                    </w:rPr>
                  </w:pPr>
                  <w:r>
                    <w:rPr>
                      <w:rFonts w:hint="eastAsia" w:hAnsi="宋体"/>
                      <w:bCs/>
                      <w:color w:val="auto"/>
                      <w:szCs w:val="21"/>
                      <w:highlight w:val="none"/>
                      <w:lang w:val="zh-CN"/>
                    </w:rPr>
                    <w:t>开户银行</w:t>
                  </w:r>
                </w:p>
              </w:tc>
              <w:tc>
                <w:tcPr>
                  <w:tcW w:w="3349" w:type="dxa"/>
                  <w:vAlign w:val="center"/>
                </w:tcPr>
                <w:p w14:paraId="634D2B1E">
                  <w:pPr>
                    <w:jc w:val="center"/>
                    <w:rPr>
                      <w:color w:val="auto"/>
                      <w:szCs w:val="21"/>
                      <w:highlight w:val="none"/>
                    </w:rPr>
                  </w:pPr>
                  <w:r>
                    <w:rPr>
                      <w:rFonts w:hint="eastAsia"/>
                      <w:color w:val="auto"/>
                      <w:szCs w:val="21"/>
                      <w:highlight w:val="none"/>
                    </w:rPr>
                    <w:t>光大银行宜兴支行</w:t>
                  </w:r>
                </w:p>
              </w:tc>
              <w:tc>
                <w:tcPr>
                  <w:tcW w:w="1084" w:type="dxa"/>
                  <w:vMerge w:val="continue"/>
                  <w:vAlign w:val="center"/>
                </w:tcPr>
                <w:p w14:paraId="1F864273">
                  <w:pPr>
                    <w:jc w:val="center"/>
                    <w:rPr>
                      <w:rFonts w:hAnsi="宋体"/>
                      <w:bCs/>
                      <w:color w:val="auto"/>
                      <w:szCs w:val="21"/>
                      <w:highlight w:val="none"/>
                      <w:lang w:val="zh-CN"/>
                    </w:rPr>
                  </w:pPr>
                </w:p>
              </w:tc>
              <w:tc>
                <w:tcPr>
                  <w:tcW w:w="2663" w:type="dxa"/>
                  <w:vMerge w:val="continue"/>
                  <w:vAlign w:val="center"/>
                </w:tcPr>
                <w:p w14:paraId="5240A4AE">
                  <w:pPr>
                    <w:jc w:val="center"/>
                    <w:rPr>
                      <w:rFonts w:hAnsi="宋体"/>
                      <w:bCs/>
                      <w:color w:val="auto"/>
                      <w:szCs w:val="21"/>
                      <w:highlight w:val="none"/>
                      <w:lang w:val="zh-CN"/>
                    </w:rPr>
                  </w:pPr>
                </w:p>
              </w:tc>
            </w:tr>
            <w:tr w14:paraId="1BEFF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4" w:type="dxa"/>
                  <w:vAlign w:val="center"/>
                </w:tcPr>
                <w:p w14:paraId="67074748">
                  <w:pPr>
                    <w:jc w:val="center"/>
                    <w:rPr>
                      <w:rFonts w:hAnsi="宋体"/>
                      <w:bCs/>
                      <w:color w:val="auto"/>
                      <w:szCs w:val="21"/>
                      <w:highlight w:val="none"/>
                      <w:lang w:val="zh-CN"/>
                    </w:rPr>
                  </w:pPr>
                  <w:r>
                    <w:rPr>
                      <w:rFonts w:hint="eastAsia" w:hAnsi="宋体"/>
                      <w:bCs/>
                      <w:color w:val="auto"/>
                      <w:szCs w:val="21"/>
                      <w:highlight w:val="none"/>
                      <w:lang w:val="zh-CN"/>
                    </w:rPr>
                    <w:t>账号</w:t>
                  </w:r>
                </w:p>
              </w:tc>
              <w:tc>
                <w:tcPr>
                  <w:tcW w:w="3349" w:type="dxa"/>
                  <w:vAlign w:val="center"/>
                </w:tcPr>
                <w:p w14:paraId="45C79AD1">
                  <w:pPr>
                    <w:jc w:val="center"/>
                    <w:rPr>
                      <w:rFonts w:hint="default" w:eastAsiaTheme="minorEastAsia"/>
                      <w:color w:val="auto"/>
                      <w:szCs w:val="21"/>
                      <w:highlight w:val="none"/>
                      <w:lang w:val="en-US" w:eastAsia="zh-CN"/>
                    </w:rPr>
                  </w:pPr>
                  <w:r>
                    <w:rPr>
                      <w:rFonts w:hint="eastAsia"/>
                      <w:color w:val="auto"/>
                      <w:szCs w:val="21"/>
                      <w:highlight w:val="none"/>
                      <w:lang w:val="en-US" w:eastAsia="zh-CN"/>
                    </w:rPr>
                    <w:t>51610188000326507</w:t>
                  </w:r>
                </w:p>
              </w:tc>
              <w:tc>
                <w:tcPr>
                  <w:tcW w:w="1084" w:type="dxa"/>
                  <w:vMerge w:val="continue"/>
                  <w:vAlign w:val="center"/>
                </w:tcPr>
                <w:p w14:paraId="58877274">
                  <w:pPr>
                    <w:jc w:val="center"/>
                    <w:rPr>
                      <w:rFonts w:hAnsi="宋体"/>
                      <w:bCs/>
                      <w:color w:val="auto"/>
                      <w:szCs w:val="21"/>
                      <w:highlight w:val="none"/>
                      <w:lang w:val="zh-CN"/>
                    </w:rPr>
                  </w:pPr>
                </w:p>
              </w:tc>
              <w:tc>
                <w:tcPr>
                  <w:tcW w:w="2663" w:type="dxa"/>
                  <w:vMerge w:val="continue"/>
                  <w:vAlign w:val="center"/>
                </w:tcPr>
                <w:p w14:paraId="07FF6045">
                  <w:pPr>
                    <w:jc w:val="center"/>
                    <w:rPr>
                      <w:rFonts w:hAnsi="宋体"/>
                      <w:bCs/>
                      <w:color w:val="auto"/>
                      <w:szCs w:val="21"/>
                      <w:highlight w:val="none"/>
                      <w:lang w:val="zh-CN"/>
                    </w:rPr>
                  </w:pPr>
                </w:p>
              </w:tc>
            </w:tr>
          </w:tbl>
          <w:p w14:paraId="3965E4EC">
            <w:pPr>
              <w:rPr>
                <w:rFonts w:hAnsi="宋体"/>
                <w:b/>
                <w:bCs/>
                <w:color w:val="auto"/>
                <w:sz w:val="24"/>
                <w:szCs w:val="24"/>
                <w:highlight w:val="none"/>
              </w:rPr>
            </w:pPr>
            <w:r>
              <w:rPr>
                <w:rFonts w:hint="eastAsia"/>
                <w:b/>
                <w:color w:val="auto"/>
                <w:sz w:val="24"/>
                <w:szCs w:val="24"/>
                <w:highlight w:val="none"/>
              </w:rPr>
              <w:t>注：缴纳投标保证金账户为涉密账户，账号随机，请投标单位仔细核对账号后缴纳投标保证金，否则作废标处理，合同签订后，无息退回。</w:t>
            </w:r>
          </w:p>
        </w:tc>
      </w:tr>
      <w:tr w14:paraId="67777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495" w:type="dxa"/>
            <w:vAlign w:val="center"/>
          </w:tcPr>
          <w:p w14:paraId="2DEB9A57">
            <w:pPr>
              <w:jc w:val="center"/>
              <w:rPr>
                <w:rFonts w:ascii="宋体" w:hAnsi="宋体"/>
                <w:bCs/>
                <w:color w:val="auto"/>
                <w:sz w:val="24"/>
                <w:szCs w:val="24"/>
                <w:highlight w:val="none"/>
              </w:rPr>
            </w:pPr>
            <w:r>
              <w:rPr>
                <w:rFonts w:hint="eastAsia" w:ascii="宋体" w:hAnsi="宋体"/>
                <w:bCs/>
                <w:color w:val="auto"/>
                <w:sz w:val="24"/>
                <w:szCs w:val="24"/>
                <w:highlight w:val="none"/>
              </w:rPr>
              <w:t>5</w:t>
            </w:r>
          </w:p>
        </w:tc>
        <w:tc>
          <w:tcPr>
            <w:tcW w:w="10245" w:type="dxa"/>
            <w:gridSpan w:val="2"/>
          </w:tcPr>
          <w:p w14:paraId="05B08216">
            <w:pPr>
              <w:rPr>
                <w:rFonts w:ascii="宋体" w:hAnsi="宋体" w:eastAsia="宋体"/>
                <w:bCs/>
                <w:color w:val="auto"/>
                <w:sz w:val="24"/>
                <w:szCs w:val="24"/>
                <w:highlight w:val="none"/>
              </w:rPr>
            </w:pPr>
            <w:r>
              <w:rPr>
                <w:rFonts w:hint="eastAsia" w:ascii="宋体" w:hAnsi="宋体"/>
                <w:bCs/>
                <w:color w:val="auto"/>
                <w:sz w:val="24"/>
                <w:szCs w:val="24"/>
                <w:highlight w:val="none"/>
              </w:rPr>
              <w:t>投标文件正本份数：</w:t>
            </w:r>
            <w:r>
              <w:rPr>
                <w:rFonts w:ascii="宋体" w:hAnsi="宋体"/>
                <w:bCs/>
                <w:color w:val="auto"/>
                <w:sz w:val="24"/>
                <w:szCs w:val="24"/>
                <w:highlight w:val="none"/>
              </w:rPr>
              <w:t>1</w:t>
            </w:r>
            <w:r>
              <w:rPr>
                <w:rFonts w:hint="eastAsia" w:ascii="宋体" w:hAnsi="宋体"/>
                <w:bCs/>
                <w:color w:val="auto"/>
                <w:sz w:val="24"/>
                <w:szCs w:val="24"/>
                <w:highlight w:val="none"/>
              </w:rPr>
              <w:t>份（需装订后密封）</w:t>
            </w:r>
          </w:p>
          <w:p w14:paraId="0C6735FB">
            <w:pPr>
              <w:rPr>
                <w:rFonts w:hint="eastAsia" w:ascii="宋体" w:hAnsi="宋体"/>
                <w:bCs/>
                <w:color w:val="auto"/>
                <w:sz w:val="24"/>
                <w:szCs w:val="24"/>
                <w:highlight w:val="none"/>
              </w:rPr>
            </w:pPr>
            <w:r>
              <w:rPr>
                <w:rFonts w:hint="eastAsia" w:ascii="宋体" w:hAnsi="宋体"/>
                <w:bCs/>
                <w:color w:val="auto"/>
                <w:sz w:val="24"/>
                <w:szCs w:val="24"/>
                <w:highlight w:val="none"/>
              </w:rPr>
              <w:t>投标文件副本份数：</w:t>
            </w:r>
            <w:r>
              <w:rPr>
                <w:rFonts w:hint="eastAsia" w:ascii="宋体" w:hAnsi="宋体"/>
                <w:bCs/>
                <w:color w:val="auto"/>
                <w:sz w:val="24"/>
                <w:szCs w:val="24"/>
                <w:highlight w:val="none"/>
                <w:lang w:val="en-US" w:eastAsia="zh-CN"/>
              </w:rPr>
              <w:t>4</w:t>
            </w:r>
            <w:r>
              <w:rPr>
                <w:rFonts w:hint="eastAsia" w:ascii="宋体" w:hAnsi="宋体"/>
                <w:bCs/>
                <w:color w:val="auto"/>
                <w:sz w:val="24"/>
                <w:szCs w:val="24"/>
                <w:highlight w:val="none"/>
              </w:rPr>
              <w:t>份（需装订后密封）</w:t>
            </w:r>
          </w:p>
          <w:p w14:paraId="02B19A92">
            <w:pPr>
              <w:pStyle w:val="2"/>
              <w:rPr>
                <w:color w:val="auto"/>
                <w:highlight w:val="none"/>
              </w:rPr>
            </w:pPr>
            <w:r>
              <w:rPr>
                <w:rFonts w:hint="eastAsia" w:ascii="宋体" w:hAnsi="宋体" w:cs="宋体"/>
                <w:b/>
                <w:color w:val="auto"/>
                <w:sz w:val="24"/>
                <w:szCs w:val="24"/>
                <w:highlight w:val="none"/>
              </w:rPr>
              <w:t>注：</w:t>
            </w:r>
            <w:r>
              <w:rPr>
                <w:rFonts w:hint="eastAsia" w:ascii="宋体" w:hAnsi="宋体" w:cs="宋体"/>
                <w:b/>
                <w:color w:val="auto"/>
                <w:sz w:val="24"/>
                <w:szCs w:val="24"/>
                <w:highlight w:val="none"/>
                <w:lang w:val="en-US" w:eastAsia="zh-CN"/>
              </w:rPr>
              <w:t>投标人</w:t>
            </w:r>
            <w:r>
              <w:rPr>
                <w:rFonts w:ascii="宋体" w:hAnsi="宋体" w:cs="宋体"/>
                <w:b/>
                <w:color w:val="auto"/>
                <w:sz w:val="24"/>
                <w:szCs w:val="24"/>
                <w:highlight w:val="none"/>
              </w:rPr>
              <w:t>须同时递交电子标书U盘（电子标书必须与</w:t>
            </w:r>
            <w:r>
              <w:rPr>
                <w:rFonts w:hint="eastAsia" w:ascii="宋体" w:hAnsi="宋体" w:cs="宋体"/>
                <w:b/>
                <w:color w:val="auto"/>
                <w:sz w:val="24"/>
                <w:szCs w:val="24"/>
                <w:highlight w:val="none"/>
                <w:lang w:val="en-US" w:eastAsia="zh-CN"/>
              </w:rPr>
              <w:t>投标</w:t>
            </w:r>
            <w:r>
              <w:rPr>
                <w:rFonts w:ascii="宋体" w:hAnsi="宋体" w:cs="宋体"/>
                <w:b/>
                <w:color w:val="auto"/>
                <w:sz w:val="24"/>
                <w:szCs w:val="24"/>
                <w:highlight w:val="none"/>
              </w:rPr>
              <w:t>文件正本内容一致的扫描件，应将电子标书U盘密封在一个封套中，并在封套的密封口处加盖</w:t>
            </w:r>
            <w:r>
              <w:rPr>
                <w:rFonts w:hint="eastAsia" w:ascii="宋体" w:hAnsi="宋体" w:cs="宋体"/>
                <w:b/>
                <w:color w:val="auto"/>
                <w:sz w:val="24"/>
                <w:szCs w:val="24"/>
                <w:highlight w:val="none"/>
                <w:lang w:val="en-US" w:eastAsia="zh-CN"/>
              </w:rPr>
              <w:t>投标人</w:t>
            </w:r>
            <w:r>
              <w:rPr>
                <w:rFonts w:ascii="宋体" w:hAnsi="宋体" w:cs="宋体"/>
                <w:b/>
                <w:color w:val="auto"/>
                <w:sz w:val="24"/>
                <w:szCs w:val="24"/>
                <w:highlight w:val="none"/>
              </w:rPr>
              <w:t>公章。</w:t>
            </w:r>
            <w:r>
              <w:rPr>
                <w:rFonts w:hint="eastAsia" w:ascii="宋体" w:hAnsi="宋体" w:cs="宋体"/>
                <w:b/>
                <w:color w:val="auto"/>
                <w:sz w:val="24"/>
                <w:szCs w:val="24"/>
                <w:highlight w:val="none"/>
              </w:rPr>
              <w:t>）</w:t>
            </w:r>
          </w:p>
        </w:tc>
      </w:tr>
      <w:tr w14:paraId="6C8E5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95" w:type="dxa"/>
            <w:vAlign w:val="center"/>
          </w:tcPr>
          <w:p w14:paraId="1E2572EB">
            <w:pPr>
              <w:jc w:val="center"/>
              <w:rPr>
                <w:rFonts w:ascii="宋体" w:hAnsi="宋体"/>
                <w:bCs/>
                <w:color w:val="auto"/>
                <w:sz w:val="24"/>
                <w:szCs w:val="24"/>
                <w:highlight w:val="none"/>
              </w:rPr>
            </w:pPr>
            <w:r>
              <w:rPr>
                <w:rFonts w:hint="eastAsia" w:ascii="宋体" w:hAnsi="宋体"/>
                <w:bCs/>
                <w:color w:val="auto"/>
                <w:sz w:val="24"/>
                <w:szCs w:val="24"/>
                <w:highlight w:val="none"/>
              </w:rPr>
              <w:t>6</w:t>
            </w:r>
          </w:p>
        </w:tc>
        <w:tc>
          <w:tcPr>
            <w:tcW w:w="10245" w:type="dxa"/>
            <w:gridSpan w:val="2"/>
          </w:tcPr>
          <w:p w14:paraId="4509EF5C">
            <w:pPr>
              <w:rPr>
                <w:rFonts w:ascii="宋体" w:hAnsi="宋体"/>
                <w:bCs/>
                <w:color w:val="auto"/>
                <w:sz w:val="24"/>
                <w:szCs w:val="24"/>
                <w:highlight w:val="none"/>
              </w:rPr>
            </w:pPr>
            <w:r>
              <w:rPr>
                <w:rFonts w:hint="eastAsia" w:ascii="宋体" w:hAnsi="宋体"/>
                <w:bCs/>
                <w:color w:val="auto"/>
                <w:sz w:val="24"/>
                <w:szCs w:val="24"/>
                <w:highlight w:val="none"/>
                <w:lang w:val="zh-CN"/>
              </w:rPr>
              <w:t>投标截止时间及开标时间</w:t>
            </w:r>
            <w:r>
              <w:rPr>
                <w:rFonts w:hint="eastAsia" w:ascii="宋体" w:hAnsi="宋体"/>
                <w:bCs/>
                <w:color w:val="auto"/>
                <w:sz w:val="24"/>
                <w:szCs w:val="24"/>
                <w:highlight w:val="none"/>
              </w:rPr>
              <w:t>：</w:t>
            </w:r>
            <w:r>
              <w:rPr>
                <w:rFonts w:hint="eastAsia" w:ascii="宋体" w:cs="宋体"/>
                <w:color w:val="auto"/>
                <w:sz w:val="24"/>
                <w:szCs w:val="24"/>
                <w:lang w:bidi="ar-SA"/>
              </w:rPr>
              <w:t>202</w:t>
            </w:r>
            <w:r>
              <w:rPr>
                <w:rFonts w:hint="eastAsia" w:ascii="宋体" w:cs="宋体"/>
                <w:color w:val="auto"/>
                <w:sz w:val="24"/>
                <w:szCs w:val="24"/>
                <w:lang w:val="en-US" w:eastAsia="zh-CN" w:bidi="ar-SA"/>
              </w:rPr>
              <w:t>6</w:t>
            </w:r>
            <w:r>
              <w:rPr>
                <w:rFonts w:hint="eastAsia" w:ascii="宋体" w:cs="宋体"/>
                <w:color w:val="auto"/>
                <w:sz w:val="24"/>
                <w:szCs w:val="24"/>
                <w:lang w:bidi="ar-SA"/>
              </w:rPr>
              <w:t>年</w:t>
            </w:r>
            <w:r>
              <w:rPr>
                <w:rFonts w:hint="eastAsia" w:ascii="宋体" w:cs="宋体"/>
                <w:color w:val="auto"/>
                <w:sz w:val="24"/>
                <w:szCs w:val="24"/>
                <w:lang w:val="en-US" w:eastAsia="zh-CN" w:bidi="ar-SA"/>
              </w:rPr>
              <w:t>1月8</w:t>
            </w:r>
            <w:r>
              <w:rPr>
                <w:rFonts w:hint="eastAsia" w:ascii="宋体" w:cs="宋体"/>
                <w:color w:val="auto"/>
                <w:sz w:val="24"/>
                <w:szCs w:val="24"/>
                <w:lang w:bidi="ar-SA"/>
              </w:rPr>
              <w:t>日14:00</w:t>
            </w:r>
          </w:p>
          <w:p w14:paraId="3882163F">
            <w:pPr>
              <w:rPr>
                <w:rFonts w:ascii="宋体" w:hAnsi="宋体"/>
                <w:bCs/>
                <w:color w:val="auto"/>
                <w:sz w:val="24"/>
                <w:szCs w:val="24"/>
                <w:highlight w:val="none"/>
              </w:rPr>
            </w:pPr>
            <w:r>
              <w:rPr>
                <w:rFonts w:hint="eastAsia" w:ascii="宋体" w:hAnsi="宋体"/>
                <w:bCs/>
                <w:color w:val="auto"/>
                <w:sz w:val="24"/>
                <w:szCs w:val="24"/>
                <w:highlight w:val="none"/>
              </w:rPr>
              <w:t>定标时间：评标结束后</w:t>
            </w:r>
            <w:bookmarkStart w:id="84" w:name="_GoBack"/>
            <w:bookmarkEnd w:id="84"/>
          </w:p>
          <w:p w14:paraId="1A118152">
            <w:pPr>
              <w:rPr>
                <w:rFonts w:ascii="宋体" w:hAnsi="宋体"/>
                <w:bCs/>
                <w:color w:val="auto"/>
                <w:sz w:val="24"/>
                <w:szCs w:val="24"/>
                <w:highlight w:val="none"/>
              </w:rPr>
            </w:pPr>
            <w:r>
              <w:rPr>
                <w:rFonts w:hint="eastAsia" w:ascii="宋体" w:hAnsi="宋体"/>
                <w:bCs/>
                <w:color w:val="auto"/>
                <w:sz w:val="24"/>
                <w:szCs w:val="24"/>
                <w:highlight w:val="none"/>
                <w:lang w:val="zh-CN"/>
              </w:rPr>
              <w:t>投标地点及开标地点：</w:t>
            </w:r>
            <w:r>
              <w:rPr>
                <w:rFonts w:hint="eastAsia" w:ascii="宋体" w:hAnsi="宋体"/>
                <w:bCs/>
                <w:color w:val="auto"/>
                <w:sz w:val="24"/>
                <w:szCs w:val="24"/>
                <w:highlight w:val="none"/>
              </w:rPr>
              <w:t>宜兴市公用环保集团有限公司二楼开标室。</w:t>
            </w:r>
          </w:p>
        </w:tc>
      </w:tr>
      <w:tr w14:paraId="1CB50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trPr>
        <w:tc>
          <w:tcPr>
            <w:tcW w:w="495" w:type="dxa"/>
            <w:vAlign w:val="center"/>
          </w:tcPr>
          <w:p w14:paraId="2AC1E771">
            <w:pPr>
              <w:jc w:val="center"/>
              <w:rPr>
                <w:rFonts w:ascii="宋体" w:hAnsi="宋体"/>
                <w:bCs/>
                <w:color w:val="auto"/>
                <w:sz w:val="24"/>
                <w:szCs w:val="24"/>
                <w:highlight w:val="none"/>
              </w:rPr>
            </w:pPr>
            <w:r>
              <w:rPr>
                <w:rFonts w:hint="eastAsia" w:ascii="宋体" w:hAnsi="宋体"/>
                <w:bCs/>
                <w:color w:val="auto"/>
                <w:sz w:val="24"/>
                <w:szCs w:val="24"/>
                <w:highlight w:val="none"/>
              </w:rPr>
              <w:t>7</w:t>
            </w:r>
          </w:p>
        </w:tc>
        <w:tc>
          <w:tcPr>
            <w:tcW w:w="5070" w:type="dxa"/>
          </w:tcPr>
          <w:p w14:paraId="4FA09B0C">
            <w:pPr>
              <w:rPr>
                <w:rFonts w:hint="eastAsia" w:ascii="宋体" w:hAnsi="宋体" w:eastAsiaTheme="minorEastAsia"/>
                <w:color w:val="auto"/>
                <w:sz w:val="24"/>
                <w:szCs w:val="28"/>
                <w:highlight w:val="none"/>
                <w:lang w:eastAsia="zh-CN"/>
              </w:rPr>
            </w:pPr>
            <w:r>
              <w:rPr>
                <w:rFonts w:hint="eastAsia" w:ascii="宋体" w:hAnsi="宋体"/>
                <w:color w:val="auto"/>
                <w:sz w:val="24"/>
                <w:szCs w:val="28"/>
                <w:highlight w:val="none"/>
              </w:rPr>
              <w:t>采购人：</w:t>
            </w:r>
            <w:r>
              <w:rPr>
                <w:rFonts w:hint="eastAsia" w:ascii="宋体" w:hAnsi="宋体"/>
                <w:color w:val="auto"/>
                <w:sz w:val="24"/>
                <w:szCs w:val="28"/>
                <w:highlight w:val="none"/>
                <w:lang w:eastAsia="zh-CN"/>
              </w:rPr>
              <w:t>宜兴市公用环保集团有限公司</w:t>
            </w:r>
          </w:p>
          <w:p w14:paraId="64692E70">
            <w:pPr>
              <w:rPr>
                <w:rFonts w:hint="default" w:ascii="宋体" w:hAnsi="宋体" w:cs="Times New Roman" w:eastAsiaTheme="minorEastAsia"/>
                <w:color w:val="4F81BD" w:themeColor="accent1"/>
                <w:sz w:val="24"/>
                <w:szCs w:val="28"/>
                <w:highlight w:val="none"/>
                <w:lang w:val="en-US" w:eastAsia="zh-CN"/>
                <w14:textFill>
                  <w14:solidFill>
                    <w14:schemeClr w14:val="accent1"/>
                  </w14:solidFill>
                </w14:textFill>
              </w:rPr>
            </w:pPr>
            <w:r>
              <w:rPr>
                <w:rFonts w:hint="eastAsia" w:ascii="宋体" w:hAnsi="宋体"/>
                <w:color w:val="4F81BD" w:themeColor="accent1"/>
                <w:sz w:val="24"/>
                <w:szCs w:val="28"/>
                <w:highlight w:val="none"/>
                <w14:textFill>
                  <w14:solidFill>
                    <w14:schemeClr w14:val="accent1"/>
                  </w14:solidFill>
                </w14:textFill>
              </w:rPr>
              <w:t>联系人：</w:t>
            </w:r>
            <w:r>
              <w:rPr>
                <w:rFonts w:hint="eastAsia" w:ascii="宋体" w:hAnsi="宋体" w:eastAsia="宋体" w:cs="Times New Roman"/>
                <w:color w:val="4F81BD" w:themeColor="accent1"/>
                <w:sz w:val="24"/>
                <w:szCs w:val="28"/>
                <w:highlight w:val="none"/>
                <w:lang w:eastAsia="zh-CN"/>
                <w14:textFill>
                  <w14:solidFill>
                    <w14:schemeClr w14:val="accent1"/>
                  </w14:solidFill>
                </w14:textFill>
              </w:rPr>
              <w:t>毛先生、</w:t>
            </w:r>
            <w:r>
              <w:rPr>
                <w:rFonts w:hint="eastAsia" w:ascii="宋体" w:hAnsi="宋体" w:eastAsia="宋体" w:cs="Times New Roman"/>
                <w:color w:val="4F81BD" w:themeColor="accent1"/>
                <w:sz w:val="24"/>
                <w:szCs w:val="28"/>
                <w:highlight w:val="none"/>
                <w:lang w:val="en-US" w:eastAsia="zh-CN"/>
                <w14:textFill>
                  <w14:solidFill>
                    <w14:schemeClr w14:val="accent1"/>
                  </w14:solidFill>
                </w14:textFill>
              </w:rPr>
              <w:t>胡先生</w:t>
            </w:r>
          </w:p>
          <w:p w14:paraId="323793B5">
            <w:pPr>
              <w:rPr>
                <w:rFonts w:hint="eastAsia" w:ascii="宋体" w:hAnsi="宋体" w:eastAsia="宋体" w:cs="Times New Roman"/>
                <w:color w:val="4F81BD" w:themeColor="accent1"/>
                <w:sz w:val="24"/>
                <w:szCs w:val="28"/>
                <w:highlight w:val="none"/>
                <w:lang w:eastAsia="zh-CN"/>
                <w14:textFill>
                  <w14:solidFill>
                    <w14:schemeClr w14:val="accent1"/>
                  </w14:solidFill>
                </w14:textFill>
              </w:rPr>
            </w:pPr>
            <w:r>
              <w:rPr>
                <w:rFonts w:hint="eastAsia" w:ascii="宋体" w:hAnsi="宋体"/>
                <w:color w:val="4F81BD" w:themeColor="accent1"/>
                <w:sz w:val="24"/>
                <w:szCs w:val="28"/>
                <w:highlight w:val="none"/>
                <w14:textFill>
                  <w14:solidFill>
                    <w14:schemeClr w14:val="accent1"/>
                  </w14:solidFill>
                </w14:textFill>
              </w:rPr>
              <w:t>联系电话：0510-8</w:t>
            </w:r>
            <w:r>
              <w:rPr>
                <w:rFonts w:hint="eastAsia" w:ascii="宋体" w:hAnsi="宋体" w:eastAsia="宋体" w:cs="Times New Roman"/>
                <w:color w:val="4F81BD" w:themeColor="accent1"/>
                <w:sz w:val="24"/>
                <w:szCs w:val="28"/>
                <w:highlight w:val="none"/>
                <w14:textFill>
                  <w14:solidFill>
                    <w14:schemeClr w14:val="accent1"/>
                  </w14:solidFill>
                </w14:textFill>
              </w:rPr>
              <w:t>0718867</w:t>
            </w:r>
            <w:r>
              <w:rPr>
                <w:rFonts w:hint="eastAsia" w:ascii="宋体" w:hAnsi="宋体" w:eastAsia="宋体" w:cs="Times New Roman"/>
                <w:color w:val="4F81BD" w:themeColor="accent1"/>
                <w:sz w:val="24"/>
                <w:szCs w:val="28"/>
                <w:highlight w:val="none"/>
                <w:lang w:eastAsia="zh-CN"/>
                <w14:textFill>
                  <w14:solidFill>
                    <w14:schemeClr w14:val="accent1"/>
                  </w14:solidFill>
                </w14:textFill>
              </w:rPr>
              <w:t>、0510-87116202</w:t>
            </w:r>
          </w:p>
          <w:p w14:paraId="63C7B955">
            <w:pPr>
              <w:rPr>
                <w:rFonts w:hint="default" w:ascii="宋体" w:hAnsi="宋体" w:eastAsiaTheme="minorEastAsia"/>
                <w:color w:val="auto"/>
                <w:sz w:val="24"/>
                <w:szCs w:val="28"/>
                <w:highlight w:val="none"/>
                <w:lang w:val="en-US" w:eastAsia="zh-CN"/>
              </w:rPr>
            </w:pPr>
            <w:r>
              <w:rPr>
                <w:rFonts w:hint="eastAsia" w:ascii="宋体" w:hAnsi="宋体"/>
                <w:color w:val="auto"/>
                <w:sz w:val="24"/>
                <w:szCs w:val="28"/>
                <w:highlight w:val="none"/>
              </w:rPr>
              <w:t>联系地址：中国宜兴环保科技工业园科技孵化园绿园路528号</w:t>
            </w:r>
          </w:p>
          <w:p w14:paraId="02F8D619">
            <w:pPr>
              <w:rPr>
                <w:rFonts w:ascii="宋体" w:hAnsi="宋体"/>
                <w:color w:val="auto"/>
                <w:sz w:val="24"/>
                <w:szCs w:val="28"/>
                <w:highlight w:val="none"/>
              </w:rPr>
            </w:pPr>
          </w:p>
        </w:tc>
        <w:tc>
          <w:tcPr>
            <w:tcW w:w="5175" w:type="dxa"/>
          </w:tcPr>
          <w:p w14:paraId="07C0FD8C">
            <w:pPr>
              <w:rPr>
                <w:rFonts w:hint="eastAsia" w:ascii="宋体" w:hAnsi="宋体" w:eastAsiaTheme="minorEastAsia"/>
                <w:color w:val="auto"/>
                <w:sz w:val="24"/>
                <w:szCs w:val="28"/>
                <w:highlight w:val="none"/>
                <w:lang w:eastAsia="zh-CN"/>
              </w:rPr>
            </w:pPr>
            <w:r>
              <w:rPr>
                <w:rFonts w:hint="eastAsia" w:ascii="宋体" w:hAnsi="宋体"/>
                <w:color w:val="auto"/>
                <w:sz w:val="24"/>
                <w:szCs w:val="28"/>
                <w:highlight w:val="none"/>
              </w:rPr>
              <w:t>采购代理机构：</w:t>
            </w:r>
            <w:r>
              <w:rPr>
                <w:rFonts w:hint="eastAsia" w:ascii="宋体" w:hAnsi="宋体"/>
                <w:color w:val="auto"/>
                <w:sz w:val="24"/>
                <w:szCs w:val="28"/>
                <w:highlight w:val="none"/>
                <w:lang w:eastAsia="zh-CN"/>
              </w:rPr>
              <w:t>江苏希地丰华项目管理集团有限公司</w:t>
            </w:r>
          </w:p>
          <w:p w14:paraId="62F2F6A2">
            <w:pPr>
              <w:rPr>
                <w:rFonts w:ascii="宋体" w:hAnsi="宋体"/>
                <w:color w:val="auto"/>
                <w:sz w:val="24"/>
                <w:szCs w:val="28"/>
                <w:highlight w:val="none"/>
              </w:rPr>
            </w:pPr>
            <w:r>
              <w:rPr>
                <w:rFonts w:hint="eastAsia" w:ascii="宋体" w:hAnsi="宋体"/>
                <w:color w:val="auto"/>
                <w:sz w:val="24"/>
                <w:szCs w:val="28"/>
                <w:highlight w:val="none"/>
              </w:rPr>
              <w:t>联系人：</w:t>
            </w:r>
            <w:r>
              <w:rPr>
                <w:rFonts w:hint="eastAsia" w:ascii="宋体" w:hAnsi="宋体"/>
                <w:color w:val="auto"/>
                <w:sz w:val="24"/>
                <w:szCs w:val="28"/>
                <w:highlight w:val="none"/>
                <w:lang w:val="en-US" w:eastAsia="zh-CN"/>
              </w:rPr>
              <w:t>毛</w:t>
            </w:r>
            <w:r>
              <w:rPr>
                <w:rFonts w:hint="eastAsia" w:ascii="宋体" w:hAnsi="宋体"/>
                <w:color w:val="auto"/>
                <w:sz w:val="24"/>
                <w:szCs w:val="28"/>
                <w:highlight w:val="none"/>
              </w:rPr>
              <w:t>女士</w:t>
            </w:r>
          </w:p>
          <w:p w14:paraId="4529FADF">
            <w:pPr>
              <w:rPr>
                <w:rFonts w:hint="default" w:ascii="宋体" w:hAnsi="宋体" w:eastAsiaTheme="minorEastAsia"/>
                <w:color w:val="auto"/>
                <w:sz w:val="24"/>
                <w:szCs w:val="28"/>
                <w:highlight w:val="none"/>
                <w:lang w:val="en-US" w:eastAsia="zh-CN"/>
              </w:rPr>
            </w:pPr>
            <w:r>
              <w:rPr>
                <w:rFonts w:hint="eastAsia" w:ascii="宋体" w:hAnsi="宋体"/>
                <w:color w:val="auto"/>
                <w:sz w:val="24"/>
                <w:szCs w:val="28"/>
                <w:highlight w:val="none"/>
              </w:rPr>
              <w:t>联系电话：</w:t>
            </w:r>
            <w:r>
              <w:rPr>
                <w:rFonts w:hint="eastAsia" w:ascii="宋体" w:hAnsi="宋体"/>
                <w:color w:val="auto"/>
                <w:sz w:val="24"/>
                <w:szCs w:val="28"/>
                <w:highlight w:val="none"/>
                <w:lang w:val="en-US" w:eastAsia="zh-CN"/>
              </w:rPr>
              <w:t>0510-80208160</w:t>
            </w:r>
          </w:p>
          <w:p w14:paraId="3F6B6E77">
            <w:pPr>
              <w:jc w:val="left"/>
              <w:rPr>
                <w:rFonts w:ascii="宋体" w:hAnsi="宋体"/>
                <w:color w:val="auto"/>
                <w:sz w:val="24"/>
                <w:szCs w:val="28"/>
                <w:highlight w:val="none"/>
              </w:rPr>
            </w:pPr>
            <w:r>
              <w:rPr>
                <w:rFonts w:hint="eastAsia" w:ascii="宋体" w:hAnsi="宋体"/>
                <w:color w:val="auto"/>
                <w:sz w:val="24"/>
                <w:szCs w:val="28"/>
                <w:highlight w:val="none"/>
              </w:rPr>
              <w:t>联系地址：</w:t>
            </w:r>
            <w:r>
              <w:rPr>
                <w:rFonts w:hint="eastAsia" w:ascii="宋体" w:hAnsi="宋体"/>
                <w:bCs/>
                <w:color w:val="auto"/>
                <w:sz w:val="24"/>
                <w:szCs w:val="24"/>
                <w:highlight w:val="none"/>
              </w:rPr>
              <w:t>宜兴市新街街道龙潭西路239号</w:t>
            </w:r>
          </w:p>
          <w:p w14:paraId="592DCDE2">
            <w:pPr>
              <w:rPr>
                <w:rFonts w:ascii="宋体" w:hAnsi="宋体"/>
                <w:color w:val="auto"/>
                <w:sz w:val="24"/>
                <w:szCs w:val="28"/>
                <w:highlight w:val="none"/>
              </w:rPr>
            </w:pPr>
          </w:p>
        </w:tc>
      </w:tr>
      <w:bookmarkEnd w:id="2"/>
    </w:tbl>
    <w:p w14:paraId="10DF0EA3">
      <w:pPr>
        <w:jc w:val="center"/>
        <w:outlineLvl w:val="0"/>
        <w:rPr>
          <w:rFonts w:ascii="黑体" w:hAnsi="黑体" w:eastAsia="黑体"/>
          <w:color w:val="auto"/>
          <w:sz w:val="28"/>
          <w:highlight w:val="none"/>
        </w:rPr>
      </w:pPr>
      <w:bookmarkStart w:id="4" w:name="_Toc64637565"/>
      <w:bookmarkStart w:id="5" w:name="_Toc60044036"/>
    </w:p>
    <w:p w14:paraId="7B64496A">
      <w:pPr>
        <w:jc w:val="center"/>
        <w:outlineLvl w:val="0"/>
        <w:rPr>
          <w:rFonts w:ascii="黑体" w:hAnsi="黑体" w:eastAsia="黑体"/>
          <w:color w:val="auto"/>
          <w:sz w:val="28"/>
          <w:highlight w:val="none"/>
        </w:rPr>
      </w:pPr>
    </w:p>
    <w:p w14:paraId="61DAFBCC">
      <w:pPr>
        <w:jc w:val="center"/>
        <w:outlineLvl w:val="0"/>
        <w:rPr>
          <w:rFonts w:ascii="黑体" w:hAnsi="黑体" w:eastAsia="黑体"/>
          <w:color w:val="auto"/>
          <w:sz w:val="28"/>
          <w:highlight w:val="none"/>
        </w:rPr>
      </w:pPr>
    </w:p>
    <w:p w14:paraId="5C7D8184">
      <w:pPr>
        <w:pStyle w:val="26"/>
        <w:ind w:firstLine="210"/>
        <w:rPr>
          <w:color w:val="auto"/>
          <w:highlight w:val="none"/>
        </w:rPr>
      </w:pPr>
    </w:p>
    <w:p w14:paraId="2923DD72">
      <w:pPr>
        <w:pStyle w:val="26"/>
        <w:ind w:firstLine="210"/>
        <w:rPr>
          <w:color w:val="auto"/>
          <w:highlight w:val="none"/>
        </w:rPr>
      </w:pPr>
    </w:p>
    <w:p w14:paraId="2BBDE240">
      <w:pPr>
        <w:pStyle w:val="26"/>
        <w:ind w:firstLine="210"/>
        <w:rPr>
          <w:color w:val="auto"/>
          <w:highlight w:val="none"/>
        </w:rPr>
      </w:pPr>
    </w:p>
    <w:p w14:paraId="62E50829">
      <w:pPr>
        <w:pStyle w:val="26"/>
        <w:ind w:firstLine="210"/>
        <w:rPr>
          <w:color w:val="auto"/>
          <w:highlight w:val="none"/>
        </w:rPr>
      </w:pPr>
    </w:p>
    <w:p w14:paraId="71CA617A">
      <w:pPr>
        <w:pStyle w:val="26"/>
        <w:ind w:firstLine="210"/>
        <w:rPr>
          <w:color w:val="auto"/>
          <w:highlight w:val="none"/>
        </w:rPr>
      </w:pPr>
    </w:p>
    <w:p w14:paraId="43777DAF">
      <w:pPr>
        <w:pStyle w:val="26"/>
        <w:ind w:firstLine="210"/>
        <w:rPr>
          <w:color w:val="auto"/>
          <w:highlight w:val="none"/>
        </w:rPr>
      </w:pPr>
    </w:p>
    <w:p w14:paraId="7B00B5DE">
      <w:pPr>
        <w:pStyle w:val="26"/>
        <w:ind w:firstLine="210"/>
        <w:rPr>
          <w:color w:val="auto"/>
          <w:highlight w:val="none"/>
        </w:rPr>
      </w:pPr>
    </w:p>
    <w:p w14:paraId="59B8C0E6">
      <w:pPr>
        <w:pStyle w:val="26"/>
        <w:ind w:firstLine="210"/>
        <w:rPr>
          <w:color w:val="auto"/>
          <w:highlight w:val="none"/>
        </w:rPr>
      </w:pPr>
    </w:p>
    <w:p w14:paraId="502BEE72">
      <w:pPr>
        <w:pStyle w:val="26"/>
        <w:ind w:firstLine="210"/>
        <w:rPr>
          <w:color w:val="auto"/>
          <w:highlight w:val="none"/>
        </w:rPr>
      </w:pPr>
    </w:p>
    <w:p w14:paraId="35C282B0">
      <w:pPr>
        <w:pStyle w:val="26"/>
        <w:ind w:firstLine="210"/>
        <w:rPr>
          <w:color w:val="auto"/>
          <w:highlight w:val="none"/>
        </w:rPr>
      </w:pPr>
    </w:p>
    <w:p w14:paraId="6B4A230C">
      <w:pPr>
        <w:pStyle w:val="26"/>
        <w:ind w:left="0" w:leftChars="0" w:firstLine="0" w:firstLineChars="0"/>
        <w:rPr>
          <w:color w:val="auto"/>
          <w:highlight w:val="none"/>
        </w:rPr>
      </w:pPr>
    </w:p>
    <w:p w14:paraId="7EB40C09">
      <w:pPr>
        <w:jc w:val="center"/>
        <w:outlineLvl w:val="0"/>
        <w:rPr>
          <w:rFonts w:ascii="黑体" w:hAnsi="黑体" w:eastAsia="黑体"/>
          <w:color w:val="auto"/>
          <w:sz w:val="28"/>
          <w:highlight w:val="none"/>
        </w:rPr>
      </w:pPr>
      <w:r>
        <w:rPr>
          <w:rFonts w:hint="eastAsia" w:ascii="黑体" w:hAnsi="黑体" w:eastAsia="黑体"/>
          <w:color w:val="auto"/>
          <w:sz w:val="28"/>
          <w:highlight w:val="none"/>
        </w:rPr>
        <w:t>第二章 投标人须知</w:t>
      </w:r>
      <w:bookmarkEnd w:id="4"/>
      <w:bookmarkEnd w:id="5"/>
    </w:p>
    <w:p w14:paraId="238979E6">
      <w:pPr>
        <w:spacing w:line="360" w:lineRule="auto"/>
        <w:ind w:firstLine="482" w:firstLineChars="200"/>
        <w:rPr>
          <w:rFonts w:ascii="宋体" w:hAnsi="宋体"/>
          <w:b/>
          <w:color w:val="auto"/>
          <w:sz w:val="24"/>
          <w:szCs w:val="24"/>
          <w:highlight w:val="none"/>
          <w:lang w:val="zh-CN"/>
        </w:rPr>
      </w:pPr>
      <w:r>
        <w:rPr>
          <w:rFonts w:hint="eastAsia" w:ascii="宋体" w:hAnsi="宋体"/>
          <w:b/>
          <w:color w:val="auto"/>
          <w:sz w:val="24"/>
          <w:szCs w:val="24"/>
          <w:highlight w:val="none"/>
          <w:lang w:val="zh-CN"/>
        </w:rPr>
        <w:t>一、总   则</w:t>
      </w:r>
    </w:p>
    <w:p w14:paraId="3F3233F0">
      <w:pPr>
        <w:spacing w:line="360" w:lineRule="auto"/>
        <w:ind w:firstLine="482" w:firstLineChars="200"/>
        <w:rPr>
          <w:rFonts w:ascii="宋体" w:hAnsi="宋体"/>
          <w:b/>
          <w:color w:val="auto"/>
          <w:sz w:val="24"/>
          <w:szCs w:val="24"/>
          <w:highlight w:val="none"/>
          <w:lang w:val="zh-CN"/>
        </w:rPr>
      </w:pPr>
      <w:r>
        <w:rPr>
          <w:rFonts w:hint="eastAsia" w:ascii="宋体" w:hAnsi="宋体"/>
          <w:b/>
          <w:color w:val="auto"/>
          <w:sz w:val="24"/>
          <w:szCs w:val="24"/>
          <w:highlight w:val="none"/>
          <w:lang w:val="zh-CN"/>
        </w:rPr>
        <w:t>1、定义</w:t>
      </w:r>
    </w:p>
    <w:p w14:paraId="744A2D91">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val="zh-CN"/>
        </w:rPr>
        <w:t>1.1 “投标人”</w:t>
      </w:r>
      <w:r>
        <w:rPr>
          <w:rFonts w:hint="eastAsia" w:ascii="宋体" w:hAnsi="宋体"/>
          <w:bCs/>
          <w:color w:val="auto"/>
          <w:sz w:val="24"/>
          <w:szCs w:val="24"/>
          <w:highlight w:val="none"/>
        </w:rPr>
        <w:t>是指参加投标竞争，并符合招标文件规定资格条件的法人、其他组织或者自然人。</w:t>
      </w:r>
    </w:p>
    <w:p w14:paraId="7A659EC0">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 xml:space="preserve">1.2 </w:t>
      </w:r>
      <w:r>
        <w:rPr>
          <w:rFonts w:hint="eastAsia" w:ascii="宋体" w:hAnsi="宋体"/>
          <w:bCs/>
          <w:color w:val="auto"/>
          <w:sz w:val="24"/>
          <w:szCs w:val="24"/>
          <w:highlight w:val="none"/>
          <w:lang w:val="zh-CN"/>
        </w:rPr>
        <w:t>招标文件中的“法定代表人”是指投标人的营业执照中的“法定代表人”、“执行事务合伙人”、“经营者”。</w:t>
      </w:r>
    </w:p>
    <w:p w14:paraId="1C2643C0">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 xml:space="preserve"> “投标人签名”是指</w:t>
      </w:r>
      <w:r>
        <w:rPr>
          <w:rFonts w:hint="eastAsia" w:ascii="宋体" w:hAnsi="宋体"/>
          <w:bCs/>
          <w:color w:val="auto"/>
          <w:sz w:val="24"/>
          <w:szCs w:val="24"/>
          <w:highlight w:val="none"/>
        </w:rPr>
        <w:t>法定代表人或法定代表人授权代表签字或盖章</w:t>
      </w:r>
      <w:r>
        <w:rPr>
          <w:rFonts w:hint="eastAsia" w:ascii="宋体" w:hAnsi="宋体"/>
          <w:bCs/>
          <w:color w:val="auto"/>
          <w:sz w:val="24"/>
          <w:szCs w:val="24"/>
          <w:highlight w:val="none"/>
          <w:lang w:val="zh-CN"/>
        </w:rPr>
        <w:t>。</w:t>
      </w:r>
    </w:p>
    <w:p w14:paraId="32CB44C5">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4</w:t>
      </w:r>
      <w:r>
        <w:rPr>
          <w:rFonts w:hint="eastAsia" w:ascii="宋体" w:hAnsi="宋体"/>
          <w:bCs/>
          <w:color w:val="auto"/>
          <w:sz w:val="24"/>
          <w:szCs w:val="24"/>
          <w:highlight w:val="none"/>
          <w:lang w:val="zh-CN"/>
        </w:rPr>
        <w:t xml:space="preserve"> “投标人名称（盖章）”及“投标人公章”</w:t>
      </w:r>
      <w:r>
        <w:rPr>
          <w:rFonts w:hint="eastAsia" w:ascii="宋体" w:hAnsi="宋体"/>
          <w:bCs/>
          <w:color w:val="auto"/>
          <w:sz w:val="24"/>
          <w:szCs w:val="24"/>
          <w:highlight w:val="none"/>
        </w:rPr>
        <w:t>是指投标人的公章。</w:t>
      </w:r>
    </w:p>
    <w:p w14:paraId="5C78330B">
      <w:pPr>
        <w:numPr>
          <w:ilvl w:val="1"/>
          <w:numId w:val="1"/>
        </w:numPr>
        <w:spacing w:line="360" w:lineRule="auto"/>
        <w:rPr>
          <w:rFonts w:ascii="宋体" w:hAnsi="宋体"/>
          <w:bCs/>
          <w:color w:val="auto"/>
          <w:sz w:val="24"/>
          <w:szCs w:val="24"/>
          <w:highlight w:val="none"/>
          <w:lang w:val="zh-CN"/>
        </w:rPr>
      </w:pPr>
      <w:r>
        <w:rPr>
          <w:rFonts w:hint="eastAsia" w:ascii="宋体" w:hAnsi="宋体"/>
          <w:bCs/>
          <w:color w:val="auto"/>
          <w:sz w:val="24"/>
          <w:szCs w:val="24"/>
          <w:highlight w:val="none"/>
          <w:lang w:val="zh-CN"/>
        </w:rPr>
        <w:t>“产品”指本招标文件中所述产品及相关服务。</w:t>
      </w:r>
    </w:p>
    <w:p w14:paraId="21C7BE68">
      <w:pPr>
        <w:spacing w:line="360" w:lineRule="auto"/>
        <w:ind w:left="482"/>
        <w:rPr>
          <w:rFonts w:ascii="宋体" w:hAnsi="宋体"/>
          <w:b/>
          <w:color w:val="auto"/>
          <w:sz w:val="24"/>
          <w:szCs w:val="24"/>
          <w:highlight w:val="none"/>
        </w:rPr>
      </w:pPr>
      <w:r>
        <w:rPr>
          <w:rFonts w:hint="eastAsia" w:ascii="宋体" w:hAnsi="宋体"/>
          <w:b/>
          <w:color w:val="auto"/>
          <w:sz w:val="24"/>
          <w:szCs w:val="24"/>
          <w:highlight w:val="none"/>
        </w:rPr>
        <w:t>2、投标费用</w:t>
      </w:r>
    </w:p>
    <w:p w14:paraId="1E4C920B">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2.1 招标文件中的货币单位均为人民币元。</w:t>
      </w:r>
    </w:p>
    <w:p w14:paraId="50FEA5BB">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2.2 投标人应自行承担所有与准备和参加投标有关的一切费用。</w:t>
      </w:r>
    </w:p>
    <w:p w14:paraId="42C395C4">
      <w:pPr>
        <w:spacing w:line="360" w:lineRule="auto"/>
        <w:ind w:firstLine="480" w:firstLineChars="200"/>
        <w:rPr>
          <w:rFonts w:ascii="宋体" w:hAnsi="宋体" w:eastAsia="宋体" w:cs="Times New Roman"/>
          <w:b w:val="0"/>
          <w:bCs/>
          <w:color w:val="auto"/>
          <w:sz w:val="24"/>
          <w:szCs w:val="24"/>
          <w:highlight w:val="none"/>
        </w:rPr>
      </w:pPr>
      <w:r>
        <w:rPr>
          <w:rFonts w:hint="eastAsia" w:ascii="宋体" w:hAnsi="宋体" w:eastAsia="宋体" w:cs="Times New Roman"/>
          <w:b w:val="0"/>
          <w:bCs/>
          <w:color w:val="auto"/>
          <w:sz w:val="24"/>
          <w:szCs w:val="24"/>
          <w:highlight w:val="none"/>
        </w:rPr>
        <w:t>2.</w:t>
      </w:r>
      <w:r>
        <w:rPr>
          <w:rFonts w:hint="eastAsia" w:ascii="宋体" w:hAnsi="宋体"/>
          <w:b w:val="0"/>
          <w:bCs/>
          <w:color w:val="auto"/>
          <w:sz w:val="24"/>
          <w:szCs w:val="24"/>
          <w:highlight w:val="none"/>
        </w:rPr>
        <w:t>3</w:t>
      </w:r>
      <w:r>
        <w:rPr>
          <w:rFonts w:hint="eastAsia" w:ascii="宋体" w:hAnsi="宋体" w:eastAsia="宋体" w:cs="Times New Roman"/>
          <w:b/>
          <w:bCs w:val="0"/>
          <w:color w:val="auto"/>
          <w:sz w:val="24"/>
          <w:szCs w:val="24"/>
          <w:highlight w:val="none"/>
        </w:rPr>
        <w:t>采购代理服务费</w:t>
      </w:r>
      <w:r>
        <w:rPr>
          <w:rFonts w:hint="eastAsia" w:ascii="宋体" w:hAnsi="宋体" w:eastAsia="宋体" w:cs="Times New Roman"/>
          <w:b w:val="0"/>
          <w:bCs/>
          <w:color w:val="auto"/>
          <w:sz w:val="24"/>
          <w:szCs w:val="24"/>
          <w:highlight w:val="none"/>
        </w:rPr>
        <w:t>由</w:t>
      </w:r>
      <w:r>
        <w:rPr>
          <w:rFonts w:hint="eastAsia" w:ascii="宋体" w:hAnsi="宋体" w:eastAsia="宋体" w:cs="Times New Roman"/>
          <w:b w:val="0"/>
          <w:bCs/>
          <w:color w:val="auto"/>
          <w:sz w:val="24"/>
          <w:szCs w:val="24"/>
          <w:highlight w:val="none"/>
          <w:lang w:eastAsia="zh-CN"/>
        </w:rPr>
        <w:t>中标人</w:t>
      </w:r>
      <w:r>
        <w:rPr>
          <w:rFonts w:hint="eastAsia" w:ascii="宋体" w:hAnsi="宋体" w:eastAsia="宋体" w:cs="Times New Roman"/>
          <w:b w:val="0"/>
          <w:bCs/>
          <w:color w:val="auto"/>
          <w:sz w:val="24"/>
          <w:szCs w:val="24"/>
          <w:highlight w:val="none"/>
        </w:rPr>
        <w:t>支付，代理费用</w:t>
      </w:r>
      <w:r>
        <w:rPr>
          <w:rFonts w:hint="eastAsia" w:ascii="宋体" w:hAnsi="宋体" w:eastAsia="宋体" w:cs="Times New Roman"/>
          <w:b w:val="0"/>
          <w:bCs/>
          <w:color w:val="auto"/>
          <w:sz w:val="24"/>
          <w:szCs w:val="24"/>
          <w:highlight w:val="none"/>
          <w:lang w:val="en-US" w:eastAsia="zh-CN"/>
        </w:rPr>
        <w:t>参照原</w:t>
      </w:r>
      <w:r>
        <w:rPr>
          <w:rFonts w:hint="eastAsia" w:ascii="宋体" w:hAnsi="宋体" w:eastAsia="宋体" w:cs="Times New Roman"/>
          <w:b w:val="0"/>
          <w:bCs/>
          <w:color w:val="auto"/>
          <w:sz w:val="24"/>
          <w:szCs w:val="24"/>
          <w:highlight w:val="none"/>
        </w:rPr>
        <w:t>国家计委计价格[2002]1980号《招标代理服务收费管理暂行办法》所规定的收费标准规定，收费按差额定率累进法。</w:t>
      </w:r>
      <w:r>
        <w:rPr>
          <w:rFonts w:ascii="宋体" w:hAnsi="宋体" w:eastAsia="宋体" w:cs="Times New Roman"/>
          <w:b w:val="0"/>
          <w:bCs/>
          <w:color w:val="auto"/>
          <w:sz w:val="24"/>
          <w:szCs w:val="24"/>
          <w:highlight w:val="none"/>
        </w:rPr>
        <w:t>（请各</w:t>
      </w:r>
      <w:r>
        <w:rPr>
          <w:rFonts w:hint="eastAsia" w:ascii="宋体" w:hAnsi="宋体" w:eastAsia="宋体" w:cs="Times New Roman"/>
          <w:b w:val="0"/>
          <w:bCs/>
          <w:color w:val="auto"/>
          <w:sz w:val="24"/>
          <w:szCs w:val="24"/>
          <w:highlight w:val="none"/>
        </w:rPr>
        <w:t>投标人</w:t>
      </w:r>
      <w:r>
        <w:rPr>
          <w:rFonts w:ascii="宋体" w:hAnsi="宋体" w:eastAsia="宋体" w:cs="Times New Roman"/>
          <w:b w:val="0"/>
          <w:bCs/>
          <w:color w:val="auto"/>
          <w:sz w:val="24"/>
          <w:szCs w:val="24"/>
          <w:highlight w:val="none"/>
        </w:rPr>
        <w:t>把此费用考虑在</w:t>
      </w:r>
      <w:r>
        <w:rPr>
          <w:rFonts w:hint="eastAsia" w:ascii="宋体" w:hAnsi="宋体" w:eastAsia="宋体" w:cs="Times New Roman"/>
          <w:b w:val="0"/>
          <w:bCs/>
          <w:color w:val="auto"/>
          <w:sz w:val="24"/>
          <w:szCs w:val="24"/>
          <w:highlight w:val="none"/>
          <w:lang w:val="en-US" w:eastAsia="zh-CN"/>
        </w:rPr>
        <w:t>本次报价中</w:t>
      </w:r>
      <w:r>
        <w:rPr>
          <w:rFonts w:ascii="宋体" w:hAnsi="宋体" w:eastAsia="宋体" w:cs="Times New Roman"/>
          <w:b w:val="0"/>
          <w:bCs/>
          <w:color w:val="auto"/>
          <w:sz w:val="24"/>
          <w:szCs w:val="24"/>
          <w:highlight w:val="none"/>
        </w:rPr>
        <w:t>）。</w:t>
      </w:r>
    </w:p>
    <w:p w14:paraId="7E88768A">
      <w:pPr>
        <w:spacing w:line="360" w:lineRule="auto"/>
        <w:ind w:firstLine="480" w:firstLineChars="200"/>
        <w:rPr>
          <w:rFonts w:ascii="宋体" w:hAnsi="宋体" w:eastAsia="宋体" w:cs="Times New Roman"/>
          <w:b w:val="0"/>
          <w:bCs/>
          <w:color w:val="auto"/>
          <w:sz w:val="24"/>
          <w:szCs w:val="24"/>
          <w:highlight w:val="none"/>
        </w:rPr>
      </w:pPr>
      <w:r>
        <w:rPr>
          <w:rFonts w:hint="eastAsia" w:ascii="宋体" w:hAnsi="宋体" w:eastAsia="宋体" w:cs="Times New Roman"/>
          <w:b w:val="0"/>
          <w:bCs/>
          <w:color w:val="auto"/>
          <w:sz w:val="24"/>
          <w:szCs w:val="24"/>
          <w:highlight w:val="none"/>
        </w:rPr>
        <w:t>2.</w:t>
      </w:r>
      <w:r>
        <w:rPr>
          <w:rFonts w:hint="eastAsia" w:ascii="宋体" w:hAnsi="宋体"/>
          <w:b w:val="0"/>
          <w:bCs/>
          <w:color w:val="auto"/>
          <w:sz w:val="24"/>
          <w:szCs w:val="24"/>
          <w:highlight w:val="none"/>
        </w:rPr>
        <w:t>4</w:t>
      </w:r>
      <w:r>
        <w:rPr>
          <w:rFonts w:hint="eastAsia" w:ascii="宋体" w:hAnsi="宋体" w:eastAsia="宋体" w:cs="Times New Roman"/>
          <w:b w:val="0"/>
          <w:bCs/>
          <w:color w:val="auto"/>
          <w:sz w:val="24"/>
          <w:szCs w:val="24"/>
          <w:highlight w:val="none"/>
        </w:rPr>
        <w:t>评审费收费标准:</w:t>
      </w:r>
      <w:r>
        <w:rPr>
          <w:rFonts w:ascii="宋体" w:hAnsi="宋体" w:eastAsia="宋体" w:cs="Times New Roman"/>
          <w:b w:val="0"/>
          <w:bCs/>
          <w:color w:val="auto"/>
          <w:sz w:val="24"/>
          <w:szCs w:val="24"/>
          <w:highlight w:val="none"/>
        </w:rPr>
        <w:t>参照苏财购[2016]48号文相关规定收取费用</w:t>
      </w:r>
      <w:r>
        <w:rPr>
          <w:rFonts w:hint="eastAsia" w:ascii="宋体" w:hAnsi="宋体" w:eastAsia="宋体" w:cs="Times New Roman"/>
          <w:b w:val="0"/>
          <w:bCs/>
          <w:color w:val="auto"/>
          <w:sz w:val="24"/>
          <w:szCs w:val="24"/>
          <w:highlight w:val="none"/>
          <w:lang w:eastAsia="zh-CN"/>
        </w:rPr>
        <w:t>，</w:t>
      </w:r>
      <w:r>
        <w:rPr>
          <w:rFonts w:hint="eastAsia" w:ascii="宋体" w:hAnsi="宋体" w:eastAsia="宋体" w:cs="Times New Roman"/>
          <w:b w:val="0"/>
          <w:bCs/>
          <w:color w:val="auto"/>
          <w:sz w:val="24"/>
          <w:szCs w:val="24"/>
          <w:highlight w:val="none"/>
          <w:lang w:val="en-US" w:eastAsia="zh-CN"/>
        </w:rPr>
        <w:t>按实结算。</w:t>
      </w:r>
      <w:r>
        <w:rPr>
          <w:rFonts w:ascii="宋体" w:hAnsi="宋体" w:eastAsia="宋体" w:cs="Times New Roman"/>
          <w:b w:val="0"/>
          <w:bCs/>
          <w:color w:val="auto"/>
          <w:sz w:val="24"/>
          <w:szCs w:val="24"/>
          <w:highlight w:val="none"/>
        </w:rPr>
        <w:t>（请各</w:t>
      </w:r>
      <w:r>
        <w:rPr>
          <w:rFonts w:hint="eastAsia" w:ascii="宋体" w:hAnsi="宋体" w:eastAsia="宋体" w:cs="Times New Roman"/>
          <w:b w:val="0"/>
          <w:bCs/>
          <w:color w:val="auto"/>
          <w:sz w:val="24"/>
          <w:szCs w:val="24"/>
          <w:highlight w:val="none"/>
        </w:rPr>
        <w:t>投标人</w:t>
      </w:r>
      <w:r>
        <w:rPr>
          <w:rFonts w:ascii="宋体" w:hAnsi="宋体" w:eastAsia="宋体" w:cs="Times New Roman"/>
          <w:b w:val="0"/>
          <w:bCs/>
          <w:color w:val="auto"/>
          <w:sz w:val="24"/>
          <w:szCs w:val="24"/>
          <w:highlight w:val="none"/>
        </w:rPr>
        <w:t>把此费用考虑在</w:t>
      </w:r>
      <w:r>
        <w:rPr>
          <w:rFonts w:hint="eastAsia" w:ascii="宋体" w:hAnsi="宋体" w:eastAsia="宋体" w:cs="Times New Roman"/>
          <w:b w:val="0"/>
          <w:bCs/>
          <w:color w:val="auto"/>
          <w:sz w:val="24"/>
          <w:szCs w:val="24"/>
          <w:highlight w:val="none"/>
          <w:lang w:val="en-US" w:eastAsia="zh-CN"/>
        </w:rPr>
        <w:t>本次报价中</w:t>
      </w:r>
      <w:r>
        <w:rPr>
          <w:rFonts w:ascii="宋体" w:hAnsi="宋体" w:eastAsia="宋体" w:cs="Times New Roman"/>
          <w:b w:val="0"/>
          <w:bCs/>
          <w:color w:val="auto"/>
          <w:sz w:val="24"/>
          <w:szCs w:val="24"/>
          <w:highlight w:val="none"/>
        </w:rPr>
        <w:t>）。</w:t>
      </w:r>
    </w:p>
    <w:p w14:paraId="2960CAA3">
      <w:pPr>
        <w:spacing w:line="360" w:lineRule="auto"/>
        <w:ind w:firstLine="480" w:firstLineChars="200"/>
        <w:rPr>
          <w:rFonts w:hint="eastAsia" w:ascii="宋体" w:hAnsi="宋体" w:eastAsia="宋体" w:cs="Times New Roman"/>
          <w:b w:val="0"/>
          <w:bCs/>
          <w:color w:val="auto"/>
          <w:sz w:val="24"/>
          <w:szCs w:val="24"/>
          <w:highlight w:val="none"/>
        </w:rPr>
      </w:pPr>
      <w:r>
        <w:rPr>
          <w:rFonts w:hint="eastAsia" w:ascii="宋体" w:hAnsi="宋体" w:eastAsia="宋体" w:cs="Times New Roman"/>
          <w:b w:val="0"/>
          <w:bCs/>
          <w:color w:val="auto"/>
          <w:sz w:val="24"/>
          <w:szCs w:val="24"/>
          <w:highlight w:val="none"/>
        </w:rPr>
        <w:t>2.</w:t>
      </w:r>
      <w:r>
        <w:rPr>
          <w:rFonts w:hint="eastAsia" w:ascii="宋体" w:hAnsi="宋体"/>
          <w:b w:val="0"/>
          <w:bCs/>
          <w:color w:val="auto"/>
          <w:sz w:val="24"/>
          <w:szCs w:val="24"/>
          <w:highlight w:val="none"/>
        </w:rPr>
        <w:t>5</w:t>
      </w:r>
      <w:r>
        <w:rPr>
          <w:rFonts w:hint="eastAsia" w:ascii="宋体" w:hAnsi="宋体" w:eastAsia="宋体" w:cs="Times New Roman"/>
          <w:b w:val="0"/>
          <w:bCs/>
          <w:color w:val="auto"/>
          <w:sz w:val="24"/>
          <w:szCs w:val="24"/>
          <w:highlight w:val="none"/>
        </w:rPr>
        <w:t>开具中标通知书时</w:t>
      </w:r>
      <w:r>
        <w:rPr>
          <w:rFonts w:hint="eastAsia" w:ascii="宋体" w:hAnsi="宋体" w:eastAsia="宋体" w:cs="Times New Roman"/>
          <w:b w:val="0"/>
          <w:bCs/>
          <w:color w:val="auto"/>
          <w:sz w:val="24"/>
          <w:szCs w:val="24"/>
          <w:highlight w:val="none"/>
          <w:lang w:eastAsia="zh-CN"/>
        </w:rPr>
        <w:t>中标人</w:t>
      </w:r>
      <w:r>
        <w:rPr>
          <w:rFonts w:hint="eastAsia" w:ascii="宋体" w:hAnsi="宋体" w:eastAsia="宋体" w:cs="Times New Roman"/>
          <w:b w:val="0"/>
          <w:bCs/>
          <w:color w:val="auto"/>
          <w:sz w:val="24"/>
          <w:szCs w:val="24"/>
          <w:highlight w:val="none"/>
        </w:rPr>
        <w:t>应向采购代理机构一次性付清。</w:t>
      </w:r>
    </w:p>
    <w:p w14:paraId="240EEF67">
      <w:pPr>
        <w:spacing w:line="360" w:lineRule="auto"/>
        <w:ind w:firstLine="482" w:firstLineChars="200"/>
        <w:rPr>
          <w:rFonts w:hint="default" w:ascii="宋体" w:hAnsi="宋体" w:eastAsia="宋体" w:cs="Times New Roman"/>
          <w:b/>
          <w:color w:val="auto"/>
          <w:sz w:val="24"/>
          <w:szCs w:val="24"/>
          <w:highlight w:val="none"/>
          <w:lang w:val="en-US" w:eastAsia="zh-CN"/>
        </w:rPr>
      </w:pPr>
      <w:r>
        <w:rPr>
          <w:rFonts w:hint="eastAsia" w:ascii="宋体" w:hAnsi="宋体" w:eastAsia="宋体" w:cs="Times New Roman"/>
          <w:b/>
          <w:color w:val="auto"/>
          <w:sz w:val="24"/>
          <w:szCs w:val="24"/>
          <w:highlight w:val="none"/>
          <w:lang w:val="en-US" w:eastAsia="zh-CN"/>
        </w:rPr>
        <w:t>2.6</w:t>
      </w:r>
      <w:r>
        <w:rPr>
          <w:rFonts w:hint="eastAsia" w:ascii="宋体" w:hAnsi="宋体"/>
          <w:bCs/>
          <w:color w:val="auto"/>
          <w:sz w:val="24"/>
          <w:szCs w:val="24"/>
          <w:highlight w:val="none"/>
        </w:rPr>
        <w:t>本次采购，</w:t>
      </w:r>
      <w:r>
        <w:rPr>
          <w:rFonts w:hint="eastAsia" w:ascii="宋体" w:hAnsi="宋体"/>
          <w:bCs/>
          <w:color w:val="auto"/>
          <w:sz w:val="24"/>
          <w:szCs w:val="24"/>
          <w:highlight w:val="none"/>
          <w:lang w:val="en-US" w:eastAsia="zh-CN"/>
        </w:rPr>
        <w:t>招标</w:t>
      </w:r>
      <w:r>
        <w:rPr>
          <w:rFonts w:hint="eastAsia" w:ascii="宋体" w:hAnsi="宋体"/>
          <w:bCs/>
          <w:color w:val="auto"/>
          <w:sz w:val="24"/>
          <w:szCs w:val="24"/>
          <w:highlight w:val="none"/>
        </w:rPr>
        <w:t>文件费300元/</w:t>
      </w:r>
      <w:r>
        <w:rPr>
          <w:rFonts w:hint="eastAsia" w:ascii="宋体" w:hAnsi="宋体"/>
          <w:bCs/>
          <w:color w:val="auto"/>
          <w:sz w:val="24"/>
          <w:szCs w:val="24"/>
          <w:highlight w:val="none"/>
          <w:lang w:val="en-US" w:eastAsia="zh-CN"/>
        </w:rPr>
        <w:t>份</w:t>
      </w:r>
      <w:r>
        <w:rPr>
          <w:rFonts w:hint="eastAsia" w:ascii="宋体" w:hAnsi="宋体"/>
          <w:bCs/>
          <w:color w:val="auto"/>
          <w:sz w:val="24"/>
          <w:szCs w:val="24"/>
          <w:highlight w:val="none"/>
        </w:rPr>
        <w:t>，开标现场收取。</w:t>
      </w:r>
    </w:p>
    <w:p w14:paraId="15F2C827">
      <w:pPr>
        <w:spacing w:line="360" w:lineRule="auto"/>
        <w:ind w:left="482"/>
        <w:rPr>
          <w:rFonts w:ascii="宋体" w:hAnsi="宋体"/>
          <w:b/>
          <w:color w:val="auto"/>
          <w:sz w:val="24"/>
          <w:szCs w:val="24"/>
          <w:highlight w:val="none"/>
        </w:rPr>
      </w:pPr>
      <w:r>
        <w:rPr>
          <w:rFonts w:hint="eastAsia" w:ascii="宋体" w:hAnsi="宋体"/>
          <w:b/>
          <w:color w:val="auto"/>
          <w:sz w:val="24"/>
          <w:szCs w:val="24"/>
          <w:highlight w:val="none"/>
        </w:rPr>
        <w:t>3、保密要求</w:t>
      </w:r>
    </w:p>
    <w:p w14:paraId="3895F017">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3.1 采购各方当事人，对采购活动过程中获悉的国家秘密、商业秘密，应当依法予以保密。</w:t>
      </w:r>
    </w:p>
    <w:p w14:paraId="523013B9">
      <w:pPr>
        <w:spacing w:line="360" w:lineRule="auto"/>
        <w:ind w:firstLine="482" w:firstLineChars="200"/>
        <w:rPr>
          <w:rFonts w:ascii="宋体" w:hAnsi="宋体"/>
          <w:b/>
          <w:color w:val="auto"/>
          <w:sz w:val="24"/>
          <w:szCs w:val="24"/>
          <w:highlight w:val="none"/>
          <w:lang w:val="zh-CN"/>
        </w:rPr>
      </w:pPr>
      <w:r>
        <w:rPr>
          <w:rFonts w:hint="eastAsia" w:ascii="宋体" w:hAnsi="宋体"/>
          <w:b/>
          <w:color w:val="auto"/>
          <w:sz w:val="24"/>
          <w:szCs w:val="24"/>
          <w:highlight w:val="none"/>
          <w:lang w:val="zh-CN"/>
        </w:rPr>
        <w:t>二、招标文件</w:t>
      </w:r>
    </w:p>
    <w:p w14:paraId="3CE013EC">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4、</w:t>
      </w:r>
      <w:r>
        <w:rPr>
          <w:rFonts w:hint="eastAsia" w:ascii="宋体" w:hAnsi="宋体"/>
          <w:b/>
          <w:color w:val="auto"/>
          <w:sz w:val="24"/>
          <w:szCs w:val="24"/>
          <w:highlight w:val="none"/>
          <w:lang w:val="zh-CN"/>
        </w:rPr>
        <w:t>招标文件的组成</w:t>
      </w:r>
    </w:p>
    <w:p w14:paraId="508677BA">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 xml:space="preserve">4.1 投标人可在 </w:t>
      </w:r>
      <w:r>
        <w:rPr>
          <w:rFonts w:hint="eastAsia" w:ascii="宋体" w:cs="宋体"/>
          <w:bCs/>
          <w:color w:val="auto"/>
          <w:sz w:val="24"/>
          <w:szCs w:val="24"/>
          <w:highlight w:val="none"/>
          <w:lang w:bidi="ar-SA"/>
        </w:rPr>
        <w:t>“宜兴市公用环保集团官网”</w:t>
      </w:r>
      <w:r>
        <w:rPr>
          <w:rFonts w:hint="eastAsia" w:ascii="宋体" w:hAnsi="宋体"/>
          <w:bCs/>
          <w:color w:val="auto"/>
          <w:sz w:val="24"/>
          <w:szCs w:val="24"/>
          <w:highlight w:val="none"/>
        </w:rPr>
        <w:t>网站下载招标文件及有关资料。投标人须按招标文件要求提交全部资料并对招标文件各项内容作出实质性响应，否则投标无效。</w:t>
      </w:r>
    </w:p>
    <w:p w14:paraId="32165143">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4.2 招标文件包括本文件目录所列全部内容及其附件，如有缺漏，</w:t>
      </w:r>
      <w:r>
        <w:rPr>
          <w:rFonts w:hint="eastAsia" w:hAnsi="宋体"/>
          <w:bCs/>
          <w:color w:val="auto"/>
          <w:sz w:val="24"/>
          <w:szCs w:val="24"/>
          <w:highlight w:val="none"/>
        </w:rPr>
        <w:t>请立即与</w:t>
      </w:r>
      <w:r>
        <w:rPr>
          <w:rFonts w:hint="eastAsia" w:hAnsi="宋体"/>
          <w:bCs/>
          <w:color w:val="auto"/>
          <w:sz w:val="24"/>
          <w:szCs w:val="24"/>
          <w:highlight w:val="none"/>
          <w:lang w:eastAsia="zh-CN"/>
        </w:rPr>
        <w:t>江苏希地丰华项目管理集团有限公司</w:t>
      </w:r>
      <w:r>
        <w:rPr>
          <w:rFonts w:hint="eastAsia" w:hAnsi="宋体"/>
          <w:bCs/>
          <w:color w:val="auto"/>
          <w:sz w:val="24"/>
          <w:szCs w:val="24"/>
          <w:highlight w:val="none"/>
        </w:rPr>
        <w:t>联系解决。</w:t>
      </w:r>
    </w:p>
    <w:p w14:paraId="7F369BB8">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4.3 招标文件如与招标公告有不一致的地方，以招标文件为准。</w:t>
      </w:r>
    </w:p>
    <w:p w14:paraId="142026AC">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5、</w:t>
      </w:r>
      <w:r>
        <w:rPr>
          <w:rFonts w:hint="eastAsia" w:ascii="宋体" w:hAnsi="宋体"/>
          <w:b/>
          <w:color w:val="auto"/>
          <w:sz w:val="24"/>
          <w:szCs w:val="24"/>
          <w:highlight w:val="none"/>
          <w:lang w:val="zh-CN"/>
        </w:rPr>
        <w:t>招标文件的解释</w:t>
      </w:r>
    </w:p>
    <w:p w14:paraId="5AB4F485">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5.1 本文件“</w:t>
      </w:r>
      <w:bookmarkStart w:id="6" w:name="OLE_LINK21"/>
      <w:r>
        <w:rPr>
          <w:rFonts w:hint="eastAsia" w:ascii="宋体" w:hAnsi="宋体"/>
          <w:bCs/>
          <w:color w:val="auto"/>
          <w:sz w:val="24"/>
          <w:szCs w:val="24"/>
          <w:highlight w:val="none"/>
        </w:rPr>
        <w:t>第三章 评标方法和标准</w:t>
      </w:r>
      <w:bookmarkEnd w:id="6"/>
      <w:r>
        <w:rPr>
          <w:rFonts w:hint="eastAsia" w:ascii="宋体" w:hAnsi="宋体"/>
          <w:bCs/>
          <w:color w:val="auto"/>
          <w:sz w:val="24"/>
          <w:szCs w:val="24"/>
          <w:highlight w:val="none"/>
        </w:rPr>
        <w:t>”和“第四章 项目技术要求和有关说明”由</w:t>
      </w:r>
      <w:bookmarkStart w:id="7" w:name="OLE_LINK13"/>
      <w:r>
        <w:rPr>
          <w:rFonts w:hint="eastAsia" w:ascii="宋体" w:hAnsi="宋体"/>
          <w:bCs/>
          <w:color w:val="auto"/>
          <w:sz w:val="24"/>
          <w:szCs w:val="24"/>
          <w:highlight w:val="none"/>
          <w:lang w:eastAsia="zh-CN"/>
        </w:rPr>
        <w:t>宜兴市公用环保集团有限公司</w:t>
      </w:r>
      <w:r>
        <w:rPr>
          <w:rFonts w:hint="eastAsia" w:ascii="宋体" w:hAnsi="宋体"/>
          <w:bCs/>
          <w:color w:val="auto"/>
          <w:sz w:val="24"/>
          <w:szCs w:val="24"/>
          <w:highlight w:val="none"/>
        </w:rPr>
        <w:t>负责解释</w:t>
      </w:r>
      <w:bookmarkEnd w:id="7"/>
      <w:r>
        <w:rPr>
          <w:rFonts w:hint="eastAsia" w:ascii="宋体" w:hAnsi="宋体"/>
          <w:bCs/>
          <w:color w:val="auto"/>
          <w:sz w:val="24"/>
          <w:szCs w:val="24"/>
          <w:highlight w:val="none"/>
        </w:rPr>
        <w:t>，其他部分由</w:t>
      </w:r>
      <w:r>
        <w:rPr>
          <w:rFonts w:hint="eastAsia" w:ascii="宋体" w:hAnsi="宋体"/>
          <w:bCs/>
          <w:color w:val="auto"/>
          <w:sz w:val="24"/>
          <w:szCs w:val="24"/>
          <w:highlight w:val="none"/>
          <w:lang w:eastAsia="zh-CN"/>
        </w:rPr>
        <w:t>宜兴市公用环保集团有限公司</w:t>
      </w:r>
      <w:r>
        <w:rPr>
          <w:rFonts w:hint="eastAsia" w:ascii="宋体" w:hAnsi="宋体"/>
          <w:bCs/>
          <w:color w:val="auto"/>
          <w:sz w:val="24"/>
          <w:szCs w:val="24"/>
          <w:highlight w:val="none"/>
        </w:rPr>
        <w:t>和</w:t>
      </w:r>
      <w:r>
        <w:rPr>
          <w:rFonts w:hint="eastAsia" w:hAnsi="宋体"/>
          <w:bCs/>
          <w:color w:val="auto"/>
          <w:sz w:val="24"/>
          <w:szCs w:val="24"/>
          <w:highlight w:val="none"/>
          <w:lang w:eastAsia="zh-CN"/>
        </w:rPr>
        <w:t>江苏希地丰华项目管理集团有限公司</w:t>
      </w:r>
      <w:r>
        <w:rPr>
          <w:rFonts w:hint="eastAsia" w:ascii="宋体" w:hAnsi="宋体"/>
          <w:bCs/>
          <w:color w:val="auto"/>
          <w:sz w:val="24"/>
          <w:szCs w:val="24"/>
          <w:highlight w:val="none"/>
        </w:rPr>
        <w:t>负责解释。</w:t>
      </w:r>
    </w:p>
    <w:p w14:paraId="34824D99">
      <w:pPr>
        <w:spacing w:line="360" w:lineRule="auto"/>
        <w:ind w:firstLine="482" w:firstLineChars="200"/>
        <w:rPr>
          <w:rFonts w:ascii="宋体" w:hAnsi="宋体"/>
          <w:b/>
          <w:color w:val="auto"/>
          <w:sz w:val="24"/>
          <w:szCs w:val="24"/>
          <w:highlight w:val="none"/>
          <w:lang w:val="zh-CN"/>
        </w:rPr>
      </w:pPr>
      <w:r>
        <w:rPr>
          <w:rFonts w:hint="eastAsia" w:ascii="宋体" w:hAnsi="宋体"/>
          <w:b/>
          <w:color w:val="auto"/>
          <w:sz w:val="24"/>
          <w:szCs w:val="24"/>
          <w:highlight w:val="none"/>
        </w:rPr>
        <w:t>6、</w:t>
      </w:r>
      <w:r>
        <w:rPr>
          <w:rFonts w:hint="eastAsia" w:ascii="宋体" w:hAnsi="宋体"/>
          <w:b/>
          <w:color w:val="auto"/>
          <w:sz w:val="24"/>
          <w:szCs w:val="24"/>
          <w:highlight w:val="none"/>
          <w:lang w:val="zh-CN"/>
        </w:rPr>
        <w:t>招标文件的澄清、修改</w:t>
      </w:r>
    </w:p>
    <w:p w14:paraId="6B802D76">
      <w:pPr>
        <w:spacing w:line="360" w:lineRule="auto"/>
        <w:ind w:firstLine="480" w:firstLineChars="200"/>
        <w:rPr>
          <w:rFonts w:ascii="宋体"/>
          <w:color w:val="auto"/>
          <w:sz w:val="24"/>
          <w:szCs w:val="21"/>
          <w:highlight w:val="none"/>
          <w:lang w:val="zh-CN"/>
        </w:rPr>
      </w:pPr>
      <w:r>
        <w:rPr>
          <w:rFonts w:hint="eastAsia" w:ascii="宋体" w:hAnsi="宋体"/>
          <w:bCs/>
          <w:color w:val="auto"/>
          <w:sz w:val="24"/>
          <w:szCs w:val="24"/>
          <w:highlight w:val="none"/>
        </w:rPr>
        <w:t xml:space="preserve">6.1 </w:t>
      </w:r>
      <w:r>
        <w:rPr>
          <w:rFonts w:hint="eastAsia" w:ascii="宋体" w:hAnsi="宋体" w:cs="宋体"/>
          <w:color w:val="auto"/>
          <w:sz w:val="24"/>
          <w:szCs w:val="24"/>
          <w:highlight w:val="none"/>
        </w:rPr>
        <w:t>采购人或者采购代理机构</w:t>
      </w:r>
      <w:r>
        <w:rPr>
          <w:rFonts w:hint="eastAsia" w:ascii="宋体"/>
          <w:color w:val="auto"/>
          <w:sz w:val="24"/>
          <w:szCs w:val="21"/>
          <w:highlight w:val="none"/>
          <w:lang w:val="zh-CN"/>
        </w:rPr>
        <w:t>对</w:t>
      </w:r>
      <w:r>
        <w:rPr>
          <w:rFonts w:hint="eastAsia" w:ascii="宋体" w:hAnsi="宋体"/>
          <w:bCs/>
          <w:color w:val="auto"/>
          <w:sz w:val="24"/>
          <w:szCs w:val="24"/>
          <w:highlight w:val="none"/>
          <w:lang w:val="zh-CN"/>
        </w:rPr>
        <w:t>已</w:t>
      </w:r>
      <w:r>
        <w:rPr>
          <w:rFonts w:hint="eastAsia" w:ascii="宋体"/>
          <w:color w:val="auto"/>
          <w:sz w:val="24"/>
          <w:szCs w:val="21"/>
          <w:highlight w:val="none"/>
          <w:lang w:val="zh-CN"/>
        </w:rPr>
        <w:t>发出的招标文件进行必要澄清或者修改的，将在招标文件要求提交投标文件截</w:t>
      </w:r>
      <w:r>
        <w:rPr>
          <w:rFonts w:hint="eastAsia" w:ascii="宋体" w:hAnsi="宋体"/>
          <w:bCs/>
          <w:color w:val="auto"/>
          <w:sz w:val="24"/>
          <w:szCs w:val="24"/>
          <w:highlight w:val="none"/>
          <w:lang w:val="zh-CN"/>
        </w:rPr>
        <w:t>止时间15日前，在原招标公告媒体发布更正公告。不足15日的，</w:t>
      </w:r>
      <w:r>
        <w:rPr>
          <w:rFonts w:hint="eastAsia" w:ascii="宋体" w:hAnsi="宋体" w:cs="宋体"/>
          <w:color w:val="auto"/>
          <w:sz w:val="24"/>
          <w:szCs w:val="24"/>
          <w:highlight w:val="none"/>
        </w:rPr>
        <w:t>采购人或者采购代理机构有权决定延长投标文件的截止时间和开标时间，</w:t>
      </w:r>
      <w:r>
        <w:rPr>
          <w:rFonts w:hint="eastAsia" w:ascii="宋体"/>
          <w:color w:val="auto"/>
          <w:sz w:val="24"/>
          <w:szCs w:val="21"/>
          <w:highlight w:val="none"/>
          <w:lang w:val="zh-CN"/>
        </w:rPr>
        <w:t>该澄清或者修改的内容为招标文件的组成部分。</w:t>
      </w:r>
    </w:p>
    <w:p w14:paraId="307ED742">
      <w:pPr>
        <w:spacing w:line="360" w:lineRule="auto"/>
        <w:ind w:firstLine="480" w:firstLineChars="200"/>
        <w:rPr>
          <w:rFonts w:ascii="宋体" w:hAnsi="宋体"/>
          <w:color w:val="auto"/>
          <w:sz w:val="24"/>
          <w:szCs w:val="21"/>
          <w:highlight w:val="none"/>
          <w:lang w:val="zh-CN"/>
        </w:rPr>
      </w:pPr>
      <w:r>
        <w:rPr>
          <w:rFonts w:hint="eastAsia" w:ascii="宋体" w:hAnsi="宋体"/>
          <w:color w:val="auto"/>
          <w:sz w:val="24"/>
          <w:szCs w:val="21"/>
          <w:highlight w:val="none"/>
        </w:rPr>
        <w:t xml:space="preserve">6.2 </w:t>
      </w:r>
      <w:r>
        <w:rPr>
          <w:rFonts w:hint="eastAsia" w:ascii="宋体" w:hAnsi="宋体"/>
          <w:color w:val="auto"/>
          <w:sz w:val="24"/>
          <w:szCs w:val="21"/>
          <w:highlight w:val="none"/>
          <w:lang w:val="zh-CN"/>
        </w:rPr>
        <w:t>投标人应在投标截止时间前关注原采购信息发布媒体上有关本招标项目有无变更公告。如投标人未及时关注，由此造成的一切损失由投标人自行承担。</w:t>
      </w:r>
    </w:p>
    <w:p w14:paraId="2F63FB90">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三、投标文件</w:t>
      </w:r>
    </w:p>
    <w:p w14:paraId="2A7DCBE7">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7、投标文件的组成。</w:t>
      </w:r>
    </w:p>
    <w:p w14:paraId="34106D24">
      <w:pPr>
        <w:numPr>
          <w:ilvl w:val="0"/>
          <w:numId w:val="2"/>
        </w:numPr>
        <w:tabs>
          <w:tab w:val="left" w:pos="255"/>
        </w:tabs>
        <w:spacing w:line="360" w:lineRule="auto"/>
        <w:rPr>
          <w:rFonts w:ascii="宋体" w:hAnsi="宋体"/>
          <w:color w:val="auto"/>
          <w:sz w:val="24"/>
          <w:szCs w:val="21"/>
          <w:highlight w:val="none"/>
          <w:lang w:val="zh-CN"/>
        </w:rPr>
      </w:pPr>
      <w:bookmarkStart w:id="8" w:name="OLE_LINK51"/>
      <w:r>
        <w:rPr>
          <w:rFonts w:hint="eastAsia" w:ascii="宋体" w:hAnsi="宋体"/>
          <w:color w:val="auto"/>
          <w:sz w:val="24"/>
          <w:szCs w:val="21"/>
          <w:highlight w:val="none"/>
          <w:lang w:val="zh-CN"/>
        </w:rPr>
        <w:t>投标函（</w:t>
      </w:r>
      <w:r>
        <w:rPr>
          <w:rFonts w:hint="eastAsia" w:ascii="宋体" w:hAnsi="宋体"/>
          <w:color w:val="auto"/>
          <w:sz w:val="24"/>
          <w:szCs w:val="24"/>
          <w:highlight w:val="none"/>
        </w:rPr>
        <w:t>格式见附件</w:t>
      </w:r>
      <w:r>
        <w:rPr>
          <w:rFonts w:hint="eastAsia" w:ascii="宋体" w:hAnsi="宋体"/>
          <w:color w:val="auto"/>
          <w:sz w:val="24"/>
          <w:szCs w:val="21"/>
          <w:highlight w:val="none"/>
          <w:lang w:val="zh-CN"/>
        </w:rPr>
        <w:t>）</w:t>
      </w:r>
    </w:p>
    <w:p w14:paraId="571B92EC">
      <w:pPr>
        <w:numPr>
          <w:ilvl w:val="0"/>
          <w:numId w:val="2"/>
        </w:numPr>
        <w:tabs>
          <w:tab w:val="left" w:pos="255"/>
        </w:tabs>
        <w:spacing w:line="360" w:lineRule="auto"/>
        <w:rPr>
          <w:rFonts w:ascii="宋体" w:hAnsi="宋体"/>
          <w:color w:val="auto"/>
          <w:sz w:val="24"/>
          <w:szCs w:val="21"/>
          <w:highlight w:val="none"/>
          <w:lang w:val="zh-CN"/>
        </w:rPr>
      </w:pPr>
      <w:r>
        <w:rPr>
          <w:rFonts w:hint="eastAsia" w:ascii="宋体" w:hAnsi="宋体"/>
          <w:color w:val="auto"/>
          <w:sz w:val="24"/>
          <w:szCs w:val="21"/>
          <w:highlight w:val="none"/>
          <w:lang w:val="zh-CN"/>
        </w:rPr>
        <w:t>报价文件：</w:t>
      </w:r>
    </w:p>
    <w:p w14:paraId="3E1760D7">
      <w:pPr>
        <w:numPr>
          <w:ilvl w:val="0"/>
          <w:numId w:val="3"/>
        </w:numPr>
        <w:tabs>
          <w:tab w:val="left" w:pos="0"/>
          <w:tab w:val="left" w:pos="255"/>
        </w:tabs>
        <w:spacing w:line="360" w:lineRule="auto"/>
        <w:ind w:firstLine="480" w:firstLineChars="200"/>
        <w:rPr>
          <w:rFonts w:ascii="宋体" w:hAnsi="宋体"/>
          <w:color w:val="auto"/>
          <w:sz w:val="24"/>
          <w:szCs w:val="21"/>
          <w:highlight w:val="none"/>
          <w:lang w:val="zh-CN"/>
        </w:rPr>
      </w:pPr>
      <w:r>
        <w:rPr>
          <w:rFonts w:hint="eastAsia" w:ascii="宋体" w:hAnsi="宋体"/>
          <w:color w:val="auto"/>
          <w:sz w:val="24"/>
          <w:szCs w:val="24"/>
          <w:highlight w:val="none"/>
          <w:lang w:val="zh-CN"/>
        </w:rPr>
        <w:t>开标一览表</w:t>
      </w:r>
      <w:r>
        <w:rPr>
          <w:rFonts w:hint="eastAsia" w:ascii="宋体" w:hAnsi="宋体"/>
          <w:color w:val="auto"/>
          <w:sz w:val="24"/>
          <w:szCs w:val="21"/>
          <w:highlight w:val="none"/>
          <w:lang w:val="zh-CN"/>
        </w:rPr>
        <w:t>（</w:t>
      </w:r>
      <w:r>
        <w:rPr>
          <w:rFonts w:hint="eastAsia" w:ascii="宋体" w:hAnsi="宋体"/>
          <w:color w:val="auto"/>
          <w:sz w:val="24"/>
          <w:szCs w:val="24"/>
          <w:highlight w:val="none"/>
        </w:rPr>
        <w:t>格式见附件</w:t>
      </w:r>
      <w:r>
        <w:rPr>
          <w:rFonts w:hint="eastAsia" w:ascii="宋体" w:hAnsi="宋体"/>
          <w:color w:val="auto"/>
          <w:sz w:val="24"/>
          <w:szCs w:val="21"/>
          <w:highlight w:val="none"/>
          <w:lang w:val="zh-CN"/>
        </w:rPr>
        <w:t>）；</w:t>
      </w:r>
    </w:p>
    <w:p w14:paraId="323E185A">
      <w:pPr>
        <w:numPr>
          <w:ilvl w:val="0"/>
          <w:numId w:val="2"/>
        </w:numPr>
        <w:tabs>
          <w:tab w:val="left" w:pos="255"/>
        </w:tabs>
        <w:spacing w:line="360" w:lineRule="auto"/>
        <w:rPr>
          <w:rFonts w:ascii="宋体" w:hAnsi="宋体"/>
          <w:color w:val="auto"/>
          <w:sz w:val="24"/>
          <w:szCs w:val="24"/>
          <w:highlight w:val="none"/>
        </w:rPr>
      </w:pPr>
      <w:bookmarkStart w:id="9" w:name="OLE_LINK20"/>
      <w:r>
        <w:rPr>
          <w:rFonts w:hint="eastAsia" w:ascii="宋体" w:hAnsi="宋体"/>
          <w:color w:val="auto"/>
          <w:sz w:val="24"/>
          <w:szCs w:val="24"/>
          <w:highlight w:val="none"/>
        </w:rPr>
        <w:t>资格证明文件</w:t>
      </w:r>
      <w:bookmarkEnd w:id="9"/>
      <w:r>
        <w:rPr>
          <w:rFonts w:hint="eastAsia" w:ascii="宋体" w:hAnsi="宋体"/>
          <w:color w:val="auto"/>
          <w:sz w:val="24"/>
          <w:szCs w:val="24"/>
          <w:highlight w:val="none"/>
        </w:rPr>
        <w:t>：</w:t>
      </w:r>
    </w:p>
    <w:p w14:paraId="67CC2BEB">
      <w:pPr>
        <w:numPr>
          <w:ilvl w:val="0"/>
          <w:numId w:val="0"/>
        </w:numPr>
        <w:tabs>
          <w:tab w:val="left" w:pos="0"/>
          <w:tab w:val="left" w:pos="255"/>
        </w:tabs>
        <w:spacing w:line="360" w:lineRule="auto"/>
        <w:ind w:left="26" w:leftChars="0" w:firstLine="480" w:firstLineChars="200"/>
        <w:rPr>
          <w:rFonts w:ascii="宋体" w:hAnsi="宋体"/>
          <w:color w:val="auto"/>
          <w:sz w:val="24"/>
          <w:szCs w:val="24"/>
          <w:highlight w:val="none"/>
        </w:rPr>
      </w:pPr>
      <w:r>
        <w:rPr>
          <w:rFonts w:hint="eastAsia" w:ascii="宋体" w:hAnsi="宋体" w:eastAsiaTheme="minorEastAsia" w:cstheme="minorBidi"/>
          <w:color w:val="auto"/>
          <w:kern w:val="2"/>
          <w:sz w:val="24"/>
          <w:szCs w:val="24"/>
          <w:lang w:val="en-US" w:eastAsia="zh-CN" w:bidi="ar-SA"/>
        </w:rPr>
        <w:t>①　</w:t>
      </w:r>
      <w:r>
        <w:rPr>
          <w:rFonts w:hint="eastAsia" w:ascii="宋体" w:hAnsi="宋体"/>
          <w:color w:val="auto"/>
          <w:sz w:val="24"/>
          <w:szCs w:val="24"/>
          <w:highlight w:val="none"/>
        </w:rPr>
        <w:t>关于资格的声明函（附法定代表人身份证复印件）（格式见附件）；</w:t>
      </w:r>
    </w:p>
    <w:p w14:paraId="5BBFC3AB">
      <w:pPr>
        <w:numPr>
          <w:ilvl w:val="0"/>
          <w:numId w:val="0"/>
        </w:numPr>
        <w:tabs>
          <w:tab w:val="left" w:pos="0"/>
          <w:tab w:val="left" w:pos="255"/>
        </w:tabs>
        <w:spacing w:line="360" w:lineRule="auto"/>
        <w:ind w:left="26" w:leftChars="0" w:firstLine="480" w:firstLineChars="200"/>
        <w:rPr>
          <w:rFonts w:ascii="宋体" w:hAnsi="宋体"/>
          <w:color w:val="auto"/>
          <w:sz w:val="24"/>
          <w:szCs w:val="24"/>
          <w:highlight w:val="none"/>
        </w:rPr>
      </w:pPr>
      <w:r>
        <w:rPr>
          <w:rFonts w:hint="eastAsia" w:ascii="宋体" w:hAnsi="宋体" w:eastAsiaTheme="minorEastAsia" w:cstheme="minorBidi"/>
          <w:color w:val="auto"/>
          <w:kern w:val="2"/>
          <w:sz w:val="24"/>
          <w:szCs w:val="24"/>
          <w:lang w:val="en-US" w:eastAsia="zh-CN" w:bidi="ar-SA"/>
        </w:rPr>
        <w:t>②　</w:t>
      </w:r>
      <w:r>
        <w:rPr>
          <w:rFonts w:hint="eastAsia" w:ascii="宋体" w:hAnsi="宋体"/>
          <w:color w:val="auto"/>
          <w:sz w:val="24"/>
          <w:szCs w:val="24"/>
          <w:highlight w:val="none"/>
        </w:rPr>
        <w:t>投标人法定代表人授权委托书</w:t>
      </w:r>
      <w:r>
        <w:rPr>
          <w:rFonts w:hint="eastAsia" w:ascii="宋体" w:hAnsi="宋体"/>
          <w:color w:val="auto"/>
          <w:sz w:val="24"/>
          <w:szCs w:val="21"/>
          <w:highlight w:val="none"/>
        </w:rPr>
        <w:t>及被</w:t>
      </w:r>
      <w:r>
        <w:rPr>
          <w:rFonts w:hint="eastAsia" w:ascii="宋体" w:hAnsi="宋体"/>
          <w:color w:val="auto"/>
          <w:sz w:val="24"/>
          <w:szCs w:val="24"/>
          <w:highlight w:val="none"/>
        </w:rPr>
        <w:t>授权代表</w:t>
      </w:r>
      <w:r>
        <w:rPr>
          <w:rFonts w:hint="eastAsia" w:ascii="宋体" w:hAnsi="宋体"/>
          <w:color w:val="auto"/>
          <w:sz w:val="24"/>
          <w:szCs w:val="21"/>
          <w:highlight w:val="none"/>
        </w:rPr>
        <w:t>的身份证复印件</w:t>
      </w:r>
      <w:r>
        <w:rPr>
          <w:rFonts w:hint="eastAsia" w:ascii="宋体" w:hAnsi="宋体"/>
          <w:color w:val="auto"/>
          <w:sz w:val="24"/>
          <w:szCs w:val="24"/>
          <w:highlight w:val="none"/>
        </w:rPr>
        <w:t>（格式见附件，法定代表人亲自参加投标的除外）；</w:t>
      </w:r>
    </w:p>
    <w:p w14:paraId="17246D2C">
      <w:pPr>
        <w:numPr>
          <w:ilvl w:val="0"/>
          <w:numId w:val="0"/>
        </w:numPr>
        <w:tabs>
          <w:tab w:val="left" w:pos="0"/>
          <w:tab w:val="left" w:pos="255"/>
        </w:tabs>
        <w:spacing w:line="360" w:lineRule="auto"/>
        <w:ind w:left="26" w:leftChars="0" w:firstLine="480" w:firstLineChars="200"/>
        <w:rPr>
          <w:rFonts w:ascii="宋体" w:hAnsi="宋体"/>
          <w:color w:val="auto"/>
          <w:sz w:val="24"/>
          <w:szCs w:val="24"/>
          <w:highlight w:val="none"/>
        </w:rPr>
      </w:pPr>
      <w:r>
        <w:rPr>
          <w:rFonts w:hint="eastAsia" w:ascii="宋体" w:hAnsi="宋体" w:eastAsiaTheme="minorEastAsia" w:cstheme="minorBidi"/>
          <w:color w:val="auto"/>
          <w:kern w:val="2"/>
          <w:sz w:val="24"/>
          <w:szCs w:val="24"/>
          <w:lang w:val="en-US" w:eastAsia="zh-CN" w:bidi="ar-SA"/>
        </w:rPr>
        <w:t>③　</w:t>
      </w:r>
      <w:r>
        <w:rPr>
          <w:rFonts w:hint="eastAsia" w:ascii="宋体" w:hAnsi="宋体"/>
          <w:color w:val="auto"/>
          <w:sz w:val="24"/>
          <w:szCs w:val="24"/>
          <w:highlight w:val="none"/>
        </w:rPr>
        <w:t>具有独立承担民事责任能力的</w:t>
      </w:r>
      <w:r>
        <w:rPr>
          <w:rFonts w:hint="eastAsia" w:ascii="宋体" w:hAnsi="宋体" w:eastAsia="宋体" w:cs="Times New Roman"/>
          <w:color w:val="auto"/>
          <w:sz w:val="24"/>
          <w:szCs w:val="21"/>
          <w:highlight w:val="none"/>
          <w:lang w:val="zh-CN"/>
        </w:rPr>
        <w:t>营业执照</w:t>
      </w:r>
      <w:r>
        <w:rPr>
          <w:rFonts w:hint="eastAsia" w:ascii="宋体" w:hAnsi="宋体"/>
          <w:color w:val="auto"/>
          <w:sz w:val="24"/>
          <w:szCs w:val="21"/>
          <w:highlight w:val="none"/>
          <w:lang w:val="zh-CN"/>
        </w:rPr>
        <w:t>或法人（登记）证书复印件；</w:t>
      </w:r>
    </w:p>
    <w:p w14:paraId="24A7F8EE">
      <w:pPr>
        <w:numPr>
          <w:ilvl w:val="0"/>
          <w:numId w:val="0"/>
        </w:numPr>
        <w:tabs>
          <w:tab w:val="left" w:pos="420"/>
          <w:tab w:val="left" w:pos="945"/>
          <w:tab w:val="left" w:pos="1155"/>
        </w:tabs>
        <w:spacing w:line="360" w:lineRule="auto"/>
        <w:ind w:left="26" w:leftChars="0" w:firstLine="420" w:firstLineChars="200"/>
        <w:rPr>
          <w:rFonts w:hint="default" w:eastAsia="宋体"/>
          <w:lang w:val="en-US" w:eastAsia="zh-CN"/>
        </w:rPr>
      </w:pPr>
      <w:r>
        <w:rPr>
          <w:rFonts w:hint="eastAsia" w:eastAsia="宋体" w:asciiTheme="minorHAnsi" w:hAnsiTheme="minorHAnsi" w:cstheme="minorBidi"/>
          <w:kern w:val="2"/>
          <w:sz w:val="21"/>
          <w:szCs w:val="22"/>
          <w:lang w:val="en-US" w:eastAsia="zh-CN" w:bidi="ar-SA"/>
        </w:rPr>
        <w:t>④　</w:t>
      </w:r>
      <w:r>
        <w:rPr>
          <w:rFonts w:hint="eastAsia" w:ascii="宋体" w:hAnsi="宋体"/>
          <w:color w:val="auto"/>
          <w:sz w:val="24"/>
          <w:szCs w:val="24"/>
          <w:highlight w:val="none"/>
        </w:rPr>
        <w:t>银行出具的资信证明（若供应商为法人的须提供其基本开户银行出具的资信证明）或供应商近十二个月中任意一个月份的财务状况报告（资产负债表和利润表）或由会计师事务所出具的近两年中任意一个年度的审计报告和所附已审财务报告复印件；</w:t>
      </w:r>
    </w:p>
    <w:p w14:paraId="4A10B853">
      <w:pPr>
        <w:numPr>
          <w:ilvl w:val="0"/>
          <w:numId w:val="0"/>
        </w:numPr>
        <w:tabs>
          <w:tab w:val="left" w:pos="420"/>
          <w:tab w:val="left" w:pos="945"/>
          <w:tab w:val="left" w:pos="1155"/>
        </w:tabs>
        <w:spacing w:line="360" w:lineRule="auto"/>
        <w:ind w:left="26" w:leftChars="0" w:firstLine="480" w:firstLineChars="200"/>
        <w:rPr>
          <w:rFonts w:ascii="宋体" w:hAnsi="宋体"/>
          <w:color w:val="auto"/>
          <w:sz w:val="24"/>
          <w:szCs w:val="24"/>
          <w:highlight w:val="none"/>
        </w:rPr>
      </w:pPr>
      <w:r>
        <w:rPr>
          <w:rFonts w:hint="eastAsia" w:ascii="宋体" w:hAnsi="宋体" w:eastAsiaTheme="minorEastAsia" w:cstheme="minorBidi"/>
          <w:color w:val="auto"/>
          <w:kern w:val="2"/>
          <w:sz w:val="24"/>
          <w:szCs w:val="24"/>
          <w:lang w:val="en-US" w:eastAsia="zh-CN" w:bidi="ar-SA"/>
        </w:rPr>
        <w:t>⑤　</w:t>
      </w:r>
      <w:r>
        <w:rPr>
          <w:rFonts w:hint="eastAsia" w:ascii="宋体" w:hAnsi="宋体"/>
          <w:color w:val="auto"/>
          <w:sz w:val="24"/>
          <w:szCs w:val="24"/>
          <w:highlight w:val="none"/>
        </w:rPr>
        <w:t>投标人依法缴纳</w:t>
      </w:r>
      <w:bookmarkStart w:id="10" w:name="OLE_LINK181"/>
      <w:r>
        <w:rPr>
          <w:rFonts w:hint="eastAsia" w:ascii="宋体" w:hAnsi="宋体"/>
          <w:color w:val="auto"/>
          <w:sz w:val="24"/>
          <w:szCs w:val="24"/>
          <w:highlight w:val="none"/>
        </w:rPr>
        <w:t>近十二个月</w:t>
      </w:r>
      <w:bookmarkEnd w:id="10"/>
      <w:r>
        <w:rPr>
          <w:rFonts w:hint="eastAsia" w:ascii="宋体" w:hAnsi="宋体"/>
          <w:color w:val="auto"/>
          <w:sz w:val="24"/>
          <w:szCs w:val="24"/>
          <w:highlight w:val="none"/>
        </w:rPr>
        <w:t>中任意一个月份税收的相关材料（提供相关主管部门证明或银行代扣证明）复印件；</w:t>
      </w:r>
    </w:p>
    <w:p w14:paraId="6E563FA2">
      <w:pPr>
        <w:numPr>
          <w:ilvl w:val="0"/>
          <w:numId w:val="0"/>
        </w:numPr>
        <w:tabs>
          <w:tab w:val="left" w:pos="420"/>
          <w:tab w:val="left" w:pos="945"/>
          <w:tab w:val="left" w:pos="1155"/>
        </w:tabs>
        <w:spacing w:line="360" w:lineRule="auto"/>
        <w:ind w:left="26" w:leftChars="0" w:firstLine="480" w:firstLineChars="0"/>
        <w:rPr>
          <w:rFonts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⑥　</w:t>
      </w:r>
      <w:r>
        <w:rPr>
          <w:rFonts w:hint="eastAsia" w:ascii="宋体" w:hAnsi="宋体" w:cs="宋体"/>
          <w:color w:val="auto"/>
          <w:sz w:val="24"/>
          <w:szCs w:val="24"/>
          <w:highlight w:val="none"/>
        </w:rPr>
        <w:t>投标人依法缴纳</w:t>
      </w:r>
      <w:r>
        <w:rPr>
          <w:rFonts w:hint="eastAsia" w:ascii="宋体" w:hAnsi="宋体"/>
          <w:color w:val="auto"/>
          <w:sz w:val="24"/>
          <w:szCs w:val="24"/>
          <w:highlight w:val="none"/>
        </w:rPr>
        <w:t>近十二个月中任意一个月份</w:t>
      </w:r>
      <w:r>
        <w:rPr>
          <w:rFonts w:hint="eastAsia" w:ascii="宋体" w:hAnsi="宋体" w:cs="宋体"/>
          <w:color w:val="auto"/>
          <w:sz w:val="24"/>
          <w:szCs w:val="24"/>
          <w:highlight w:val="none"/>
        </w:rPr>
        <w:t>社会保障资金的相关材料（提供相关主管部门证明或银行代扣证明）复印件；</w:t>
      </w:r>
    </w:p>
    <w:p w14:paraId="5FB50023">
      <w:pPr>
        <w:numPr>
          <w:ilvl w:val="0"/>
          <w:numId w:val="0"/>
        </w:numPr>
        <w:tabs>
          <w:tab w:val="left" w:pos="420"/>
          <w:tab w:val="left" w:pos="945"/>
          <w:tab w:val="left" w:pos="1155"/>
        </w:tabs>
        <w:spacing w:line="360" w:lineRule="auto"/>
        <w:ind w:left="26" w:leftChars="0" w:firstLine="480" w:firstLineChars="200"/>
        <w:rPr>
          <w:rFonts w:ascii="宋体" w:hAnsi="宋体"/>
          <w:color w:val="auto"/>
          <w:sz w:val="24"/>
          <w:szCs w:val="24"/>
          <w:highlight w:val="none"/>
        </w:rPr>
      </w:pPr>
      <w:r>
        <w:rPr>
          <w:rFonts w:hint="eastAsia" w:ascii="宋体" w:hAnsi="宋体" w:eastAsiaTheme="minorEastAsia" w:cstheme="minorBidi"/>
          <w:color w:val="auto"/>
          <w:kern w:val="2"/>
          <w:sz w:val="24"/>
          <w:szCs w:val="24"/>
          <w:lang w:val="en-US" w:eastAsia="zh-CN" w:bidi="ar-SA"/>
        </w:rPr>
        <w:t>⑦　</w:t>
      </w:r>
      <w:r>
        <w:rPr>
          <w:rFonts w:hint="eastAsia" w:ascii="宋体" w:hAnsi="宋体" w:cs="宋体"/>
          <w:color w:val="auto"/>
          <w:sz w:val="24"/>
          <w:szCs w:val="24"/>
          <w:highlight w:val="none"/>
        </w:rPr>
        <w:t>投标人为本项目被授权代表在近三个月内（不含投标当月）任意一个月缴纳的社保证明复印件（提供相关主管部门证明或银行代扣证明，法定代表人亲自参加报价的除外）。</w:t>
      </w:r>
    </w:p>
    <w:p w14:paraId="46AD8E33">
      <w:pPr>
        <w:numPr>
          <w:ilvl w:val="0"/>
          <w:numId w:val="0"/>
        </w:numPr>
        <w:tabs>
          <w:tab w:val="left" w:pos="420"/>
          <w:tab w:val="left" w:pos="945"/>
          <w:tab w:val="left" w:pos="1155"/>
        </w:tabs>
        <w:spacing w:line="360" w:lineRule="auto"/>
        <w:ind w:left="26" w:leftChars="0" w:firstLine="480" w:firstLineChars="200"/>
        <w:rPr>
          <w:rFonts w:ascii="宋体" w:hAnsi="宋体" w:cs="宋体"/>
          <w:color w:val="auto"/>
          <w:sz w:val="24"/>
          <w:szCs w:val="24"/>
          <w:highlight w:val="none"/>
        </w:rPr>
      </w:pPr>
      <w:r>
        <w:rPr>
          <w:rFonts w:hint="eastAsia" w:ascii="宋体" w:hAnsi="宋体" w:cs="宋体" w:eastAsiaTheme="minorEastAsia"/>
          <w:color w:val="auto"/>
          <w:kern w:val="2"/>
          <w:sz w:val="24"/>
          <w:szCs w:val="24"/>
          <w:lang w:val="en-US" w:eastAsia="zh-CN" w:bidi="ar-SA"/>
        </w:rPr>
        <w:t>⑧　</w:t>
      </w:r>
      <w:r>
        <w:rPr>
          <w:rFonts w:hint="eastAsia" w:ascii="宋体" w:hAnsi="宋体"/>
          <w:b/>
          <w:color w:val="auto"/>
          <w:sz w:val="24"/>
          <w:szCs w:val="24"/>
          <w:highlight w:val="none"/>
        </w:rPr>
        <w:t>良好的信用记录：</w:t>
      </w:r>
      <w:r>
        <w:rPr>
          <w:rFonts w:hint="eastAsia" w:ascii="宋体" w:hAnsi="宋体"/>
          <w:bCs/>
          <w:color w:val="auto"/>
          <w:sz w:val="24"/>
          <w:szCs w:val="24"/>
          <w:highlight w:val="none"/>
        </w:rPr>
        <w:t>未被“</w:t>
      </w:r>
      <w:r>
        <w:rPr>
          <w:rFonts w:hint="eastAsia" w:ascii="宋体" w:hAnsi="宋体"/>
          <w:bCs/>
          <w:color w:val="auto"/>
          <w:sz w:val="24"/>
          <w:szCs w:val="24"/>
          <w:highlight w:val="none"/>
          <w:lang w:val="zh-CN"/>
        </w:rPr>
        <w:t>信用中国</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网站</w:t>
      </w:r>
      <w:r>
        <w:rPr>
          <w:rFonts w:hint="eastAsia" w:ascii="宋体" w:hAnsi="宋体"/>
          <w:bCs/>
          <w:color w:val="auto"/>
          <w:sz w:val="24"/>
          <w:szCs w:val="24"/>
          <w:highlight w:val="none"/>
        </w:rPr>
        <w:t>（www.creditchina.gov.cn）</w:t>
      </w:r>
      <w:r>
        <w:rPr>
          <w:rFonts w:hint="eastAsia" w:ascii="宋体" w:hAnsi="宋体"/>
          <w:bCs/>
          <w:color w:val="auto"/>
          <w:sz w:val="24"/>
          <w:szCs w:val="24"/>
          <w:highlight w:val="none"/>
          <w:lang w:val="zh-CN"/>
        </w:rPr>
        <w:t>列入失信执行人、重大税收违法案件当事人名单、</w:t>
      </w:r>
      <w:r>
        <w:rPr>
          <w:rFonts w:hint="eastAsia" w:ascii="宋体" w:hAnsi="宋体" w:eastAsia="宋体" w:cs="Times New Roman"/>
          <w:bCs/>
          <w:color w:val="FF0000"/>
          <w:sz w:val="24"/>
          <w:szCs w:val="24"/>
          <w:lang w:val="zh-CN"/>
        </w:rPr>
        <w:t>严重失信主体名单</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或未在</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中国政府采购网</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网站</w:t>
      </w:r>
      <w:r>
        <w:rPr>
          <w:rFonts w:hint="eastAsia" w:ascii="宋体" w:hAnsi="宋体"/>
          <w:bCs/>
          <w:color w:val="auto"/>
          <w:sz w:val="24"/>
          <w:szCs w:val="24"/>
          <w:highlight w:val="none"/>
        </w:rPr>
        <w:t>（www.ccgp.gov.cn）</w:t>
      </w:r>
      <w:r>
        <w:rPr>
          <w:rFonts w:hint="eastAsia" w:ascii="宋体" w:hAnsi="宋体"/>
          <w:bCs/>
          <w:color w:val="auto"/>
          <w:sz w:val="24"/>
          <w:szCs w:val="24"/>
          <w:highlight w:val="none"/>
          <w:lang w:val="zh-CN"/>
        </w:rPr>
        <w:t>被列入政府采购严重违法失信行为记录名单</w:t>
      </w:r>
      <w:r>
        <w:rPr>
          <w:rFonts w:hint="eastAsia" w:ascii="宋体" w:hAnsi="宋体"/>
          <w:bCs/>
          <w:color w:val="auto"/>
          <w:sz w:val="24"/>
          <w:szCs w:val="24"/>
          <w:highlight w:val="none"/>
        </w:rPr>
        <w:t>；</w:t>
      </w:r>
      <w:r>
        <w:rPr>
          <w:rFonts w:hint="eastAsia" w:ascii="宋体" w:hAnsi="宋体"/>
          <w:b/>
          <w:color w:val="auto"/>
          <w:sz w:val="24"/>
          <w:szCs w:val="24"/>
          <w:highlight w:val="none"/>
        </w:rPr>
        <w:t>（</w:t>
      </w:r>
      <w:r>
        <w:rPr>
          <w:rFonts w:ascii="宋体" w:hAnsi="宋体"/>
          <w:b/>
          <w:color w:val="auto"/>
          <w:sz w:val="24"/>
          <w:szCs w:val="24"/>
          <w:highlight w:val="none"/>
        </w:rPr>
        <w:t>若</w:t>
      </w:r>
      <w:r>
        <w:rPr>
          <w:rFonts w:hint="eastAsia" w:ascii="宋体" w:hAnsi="宋体"/>
          <w:b/>
          <w:color w:val="auto"/>
          <w:sz w:val="24"/>
          <w:szCs w:val="24"/>
          <w:highlight w:val="none"/>
        </w:rPr>
        <w:t>供应商</w:t>
      </w:r>
      <w:r>
        <w:rPr>
          <w:rFonts w:ascii="宋体" w:hAnsi="宋体"/>
          <w:b/>
          <w:color w:val="auto"/>
          <w:sz w:val="24"/>
          <w:szCs w:val="24"/>
          <w:highlight w:val="none"/>
        </w:rPr>
        <w:t>企业信息已录入以上网站的，</w:t>
      </w:r>
      <w:r>
        <w:rPr>
          <w:rFonts w:hint="eastAsia" w:ascii="宋体" w:hAnsi="宋体"/>
          <w:b/>
          <w:color w:val="auto"/>
          <w:sz w:val="24"/>
          <w:szCs w:val="24"/>
          <w:highlight w:val="none"/>
          <w:lang w:val="zh-CN"/>
        </w:rPr>
        <w:t>无需提供相关证明材料</w:t>
      </w:r>
      <w:r>
        <w:rPr>
          <w:rFonts w:ascii="宋体" w:hAnsi="宋体"/>
          <w:b/>
          <w:color w:val="auto"/>
          <w:sz w:val="24"/>
          <w:szCs w:val="24"/>
          <w:highlight w:val="none"/>
        </w:rPr>
        <w:t>；</w:t>
      </w:r>
      <w:r>
        <w:rPr>
          <w:rFonts w:hint="eastAsia" w:ascii="宋体" w:hAnsi="宋体"/>
          <w:b/>
          <w:color w:val="auto"/>
          <w:sz w:val="24"/>
          <w:szCs w:val="24"/>
          <w:highlight w:val="none"/>
        </w:rPr>
        <w:t>若供应商企业信息</w:t>
      </w:r>
      <w:r>
        <w:rPr>
          <w:rFonts w:ascii="宋体" w:hAnsi="宋体"/>
          <w:b/>
          <w:color w:val="auto"/>
          <w:sz w:val="24"/>
          <w:szCs w:val="24"/>
          <w:highlight w:val="none"/>
        </w:rPr>
        <w:t>未</w:t>
      </w:r>
      <w:r>
        <w:rPr>
          <w:rFonts w:hint="eastAsia" w:ascii="宋体" w:hAnsi="宋体"/>
          <w:b/>
          <w:color w:val="auto"/>
          <w:sz w:val="24"/>
          <w:szCs w:val="24"/>
          <w:highlight w:val="none"/>
        </w:rPr>
        <w:t>录入以上网站的，须在投标文件中提供</w:t>
      </w:r>
      <w:r>
        <w:rPr>
          <w:rFonts w:ascii="宋体" w:hAnsi="宋体"/>
          <w:b/>
          <w:color w:val="auto"/>
          <w:sz w:val="24"/>
          <w:szCs w:val="24"/>
          <w:highlight w:val="none"/>
        </w:rPr>
        <w:t>无不良信用记录</w:t>
      </w:r>
      <w:r>
        <w:rPr>
          <w:rFonts w:hint="eastAsia" w:ascii="宋体" w:hAnsi="宋体"/>
          <w:b/>
          <w:color w:val="auto"/>
          <w:sz w:val="24"/>
          <w:szCs w:val="24"/>
          <w:highlight w:val="none"/>
        </w:rPr>
        <w:t>承诺</w:t>
      </w:r>
      <w:r>
        <w:rPr>
          <w:rFonts w:ascii="宋体" w:hAnsi="宋体"/>
          <w:b/>
          <w:color w:val="auto"/>
          <w:sz w:val="24"/>
          <w:szCs w:val="24"/>
          <w:highlight w:val="none"/>
        </w:rPr>
        <w:t>书</w:t>
      </w:r>
      <w:r>
        <w:rPr>
          <w:rFonts w:hint="eastAsia" w:ascii="宋体" w:hAnsi="宋体"/>
          <w:b/>
          <w:color w:val="auto"/>
          <w:sz w:val="24"/>
          <w:szCs w:val="24"/>
          <w:highlight w:val="none"/>
        </w:rPr>
        <w:t>）</w:t>
      </w:r>
    </w:p>
    <w:p w14:paraId="1745A2E4">
      <w:pPr>
        <w:numPr>
          <w:ilvl w:val="0"/>
          <w:numId w:val="0"/>
        </w:numPr>
        <w:tabs>
          <w:tab w:val="left" w:pos="420"/>
          <w:tab w:val="left" w:pos="945"/>
          <w:tab w:val="left" w:pos="1155"/>
        </w:tabs>
        <w:spacing w:line="360" w:lineRule="auto"/>
        <w:ind w:left="26" w:leftChars="0" w:firstLine="480" w:firstLineChars="200"/>
        <w:rPr>
          <w:rFonts w:ascii="宋体" w:hAnsi="宋体" w:cs="宋体"/>
          <w:color w:val="auto"/>
          <w:sz w:val="24"/>
          <w:szCs w:val="24"/>
          <w:highlight w:val="none"/>
        </w:rPr>
      </w:pPr>
      <w:r>
        <w:rPr>
          <w:rFonts w:hint="eastAsia" w:ascii="宋体" w:hAnsi="宋体" w:cs="宋体" w:eastAsiaTheme="minorEastAsia"/>
          <w:color w:val="auto"/>
          <w:kern w:val="2"/>
          <w:sz w:val="24"/>
          <w:szCs w:val="24"/>
          <w:lang w:val="en-US" w:eastAsia="zh-CN" w:bidi="ar-SA"/>
        </w:rPr>
        <w:t>⑨　</w:t>
      </w:r>
      <w:r>
        <w:rPr>
          <w:rFonts w:hint="eastAsia" w:ascii="宋体" w:hAnsi="宋体"/>
          <w:bCs/>
          <w:color w:val="auto"/>
          <w:sz w:val="24"/>
          <w:szCs w:val="24"/>
          <w:highlight w:val="none"/>
          <w:lang w:val="zh-CN"/>
        </w:rPr>
        <w:t>投标人具备</w:t>
      </w:r>
      <w:r>
        <w:rPr>
          <w:rFonts w:hint="eastAsia" w:ascii="宋体" w:hAnsi="宋体"/>
          <w:bCs/>
          <w:color w:val="auto"/>
          <w:sz w:val="24"/>
          <w:szCs w:val="24"/>
          <w:highlight w:val="none"/>
          <w:lang w:val="en-US" w:eastAsia="zh-CN"/>
        </w:rPr>
        <w:t>环保工程专业承包资质叁级及以上资质。</w:t>
      </w:r>
      <w:r>
        <w:rPr>
          <w:rFonts w:hint="eastAsia" w:ascii="宋体" w:hAnsi="宋体"/>
          <w:b/>
          <w:color w:val="auto"/>
          <w:sz w:val="24"/>
          <w:szCs w:val="24"/>
          <w:highlight w:val="none"/>
        </w:rPr>
        <w:t>（需提供有效期内资质证书原件或电子证书复印件（备注网上查询网址）并加盖投标人公章）</w:t>
      </w:r>
    </w:p>
    <w:p w14:paraId="510FA14B">
      <w:pPr>
        <w:numPr>
          <w:ilvl w:val="0"/>
          <w:numId w:val="0"/>
        </w:numPr>
        <w:tabs>
          <w:tab w:val="left" w:pos="0"/>
          <w:tab w:val="left" w:pos="255"/>
        </w:tabs>
        <w:spacing w:line="360" w:lineRule="auto"/>
        <w:ind w:left="26" w:leftChars="0" w:firstLine="480" w:firstLineChars="200"/>
        <w:rPr>
          <w:rFonts w:hint="default" w:ascii="宋体" w:hAnsi="宋体"/>
          <w:color w:val="auto"/>
          <w:sz w:val="24"/>
          <w:szCs w:val="21"/>
          <w:highlight w:val="none"/>
          <w:lang w:val="en-US"/>
        </w:rPr>
      </w:pPr>
      <w:bookmarkStart w:id="11" w:name="OLE_LINK114"/>
      <w:r>
        <w:rPr>
          <w:rFonts w:hint="eastAsia" w:ascii="宋体" w:hAnsi="宋体" w:eastAsiaTheme="minorEastAsia" w:cstheme="minorBidi"/>
          <w:color w:val="auto"/>
          <w:kern w:val="2"/>
          <w:sz w:val="24"/>
          <w:szCs w:val="21"/>
          <w:lang w:val="en-US" w:eastAsia="zh-CN" w:bidi="ar-SA"/>
        </w:rPr>
        <w:t>⑩　</w:t>
      </w:r>
      <w:r>
        <w:rPr>
          <w:rFonts w:hint="eastAsia" w:ascii="宋体" w:hAnsi="宋体"/>
          <w:color w:val="auto"/>
          <w:sz w:val="24"/>
          <w:szCs w:val="21"/>
          <w:highlight w:val="none"/>
        </w:rPr>
        <w:t>投标保证金交纳证明复印件（银行转账记录）</w:t>
      </w:r>
      <w:r>
        <w:rPr>
          <w:rFonts w:hint="eastAsia" w:ascii="宋体" w:hAnsi="宋体"/>
          <w:color w:val="auto"/>
          <w:sz w:val="24"/>
          <w:szCs w:val="21"/>
          <w:highlight w:val="none"/>
          <w:lang w:eastAsia="zh-CN"/>
        </w:rPr>
        <w:t>。</w:t>
      </w:r>
    </w:p>
    <w:p w14:paraId="15922BBE">
      <w:pPr>
        <w:tabs>
          <w:tab w:val="left" w:pos="0"/>
          <w:tab w:val="left" w:pos="255"/>
        </w:tabs>
        <w:spacing w:line="360" w:lineRule="auto"/>
        <w:ind w:left="506"/>
        <w:rPr>
          <w:rFonts w:ascii="宋体" w:hAnsi="宋体" w:cs="宋体"/>
          <w:color w:val="auto"/>
          <w:sz w:val="24"/>
          <w:szCs w:val="24"/>
          <w:highlight w:val="none"/>
        </w:rPr>
      </w:pPr>
      <w:r>
        <w:rPr>
          <w:rFonts w:hint="eastAsia" w:ascii="宋体" w:hAnsi="宋体"/>
          <w:color w:val="auto"/>
          <w:sz w:val="24"/>
          <w:szCs w:val="24"/>
          <w:highlight w:val="none"/>
        </w:rPr>
        <w:t>注：以上“近十二个月”是指投标截止日之前近十二个月（不含投标当月）。</w:t>
      </w:r>
    </w:p>
    <w:bookmarkEnd w:id="11"/>
    <w:p w14:paraId="7FA6A07C">
      <w:pPr>
        <w:numPr>
          <w:ilvl w:val="0"/>
          <w:numId w:val="2"/>
        </w:numPr>
        <w:tabs>
          <w:tab w:val="left" w:pos="255"/>
        </w:tabs>
        <w:spacing w:line="360" w:lineRule="auto"/>
        <w:rPr>
          <w:rFonts w:ascii="宋体" w:hAnsi="宋体"/>
          <w:color w:val="auto"/>
          <w:sz w:val="24"/>
          <w:szCs w:val="24"/>
          <w:highlight w:val="none"/>
        </w:rPr>
      </w:pPr>
      <w:r>
        <w:rPr>
          <w:rFonts w:hint="eastAsia" w:ascii="宋体" w:hAnsi="宋体"/>
          <w:color w:val="auto"/>
          <w:sz w:val="24"/>
          <w:szCs w:val="24"/>
          <w:highlight w:val="none"/>
          <w:lang w:val="zh-CN"/>
        </w:rPr>
        <w:t>技术参数及相关要求偏离表</w:t>
      </w:r>
      <w:r>
        <w:rPr>
          <w:rFonts w:hint="eastAsia" w:ascii="宋体" w:hAnsi="宋体"/>
          <w:color w:val="auto"/>
          <w:sz w:val="24"/>
          <w:szCs w:val="21"/>
          <w:highlight w:val="none"/>
          <w:lang w:val="zh-CN"/>
        </w:rPr>
        <w:t>（</w:t>
      </w:r>
      <w:r>
        <w:rPr>
          <w:rFonts w:hint="eastAsia" w:ascii="宋体" w:hAnsi="宋体"/>
          <w:color w:val="auto"/>
          <w:sz w:val="24"/>
          <w:szCs w:val="24"/>
          <w:highlight w:val="none"/>
        </w:rPr>
        <w:t>格式见附件</w:t>
      </w:r>
      <w:r>
        <w:rPr>
          <w:rFonts w:hint="eastAsia" w:ascii="宋体" w:hAnsi="宋体"/>
          <w:color w:val="auto"/>
          <w:sz w:val="24"/>
          <w:szCs w:val="21"/>
          <w:highlight w:val="none"/>
          <w:lang w:val="zh-CN"/>
        </w:rPr>
        <w:t>）</w:t>
      </w:r>
    </w:p>
    <w:p w14:paraId="02723600">
      <w:pPr>
        <w:numPr>
          <w:ilvl w:val="0"/>
          <w:numId w:val="2"/>
        </w:numPr>
        <w:tabs>
          <w:tab w:val="left" w:pos="255"/>
        </w:tabs>
        <w:spacing w:line="360" w:lineRule="auto"/>
        <w:rPr>
          <w:rFonts w:ascii="宋体" w:hAnsi="宋体"/>
          <w:color w:val="auto"/>
          <w:sz w:val="24"/>
          <w:szCs w:val="24"/>
          <w:highlight w:val="none"/>
        </w:rPr>
      </w:pPr>
      <w:bookmarkStart w:id="12" w:name="OLE_LINK4"/>
      <w:r>
        <w:rPr>
          <w:rFonts w:hint="eastAsia" w:ascii="宋体" w:hAnsi="宋体"/>
          <w:color w:val="auto"/>
          <w:sz w:val="24"/>
          <w:szCs w:val="24"/>
          <w:highlight w:val="none"/>
        </w:rPr>
        <w:t>招标文件</w:t>
      </w:r>
      <w:bookmarkEnd w:id="12"/>
      <w:r>
        <w:rPr>
          <w:rFonts w:hint="eastAsia" w:ascii="宋体" w:hAnsi="宋体"/>
          <w:color w:val="auto"/>
          <w:sz w:val="24"/>
          <w:szCs w:val="24"/>
          <w:highlight w:val="none"/>
        </w:rPr>
        <w:t>第四章“项目技术要求和有关说明”中要求提供的相关证明材料</w:t>
      </w:r>
      <w:bookmarkStart w:id="13" w:name="OLE_LINK6"/>
      <w:r>
        <w:rPr>
          <w:rFonts w:hint="eastAsia" w:ascii="宋体" w:hAnsi="宋体"/>
          <w:color w:val="auto"/>
          <w:sz w:val="24"/>
          <w:szCs w:val="24"/>
          <w:highlight w:val="none"/>
        </w:rPr>
        <w:t>（如有自行添加）</w:t>
      </w:r>
      <w:bookmarkEnd w:id="13"/>
    </w:p>
    <w:p w14:paraId="24E862B7">
      <w:pPr>
        <w:numPr>
          <w:ilvl w:val="0"/>
          <w:numId w:val="2"/>
        </w:numPr>
        <w:tabs>
          <w:tab w:val="left" w:pos="255"/>
        </w:tabs>
        <w:spacing w:line="360" w:lineRule="auto"/>
        <w:rPr>
          <w:rFonts w:ascii="宋体" w:hAnsi="宋体"/>
          <w:color w:val="auto"/>
          <w:sz w:val="24"/>
          <w:szCs w:val="24"/>
          <w:highlight w:val="none"/>
        </w:rPr>
      </w:pPr>
      <w:bookmarkStart w:id="14" w:name="OLE_LINK7"/>
      <w:r>
        <w:rPr>
          <w:rFonts w:hint="eastAsia" w:ascii="宋体" w:hAnsi="宋体"/>
          <w:color w:val="auto"/>
          <w:sz w:val="24"/>
          <w:szCs w:val="24"/>
          <w:highlight w:val="none"/>
        </w:rPr>
        <w:t>技术商务部分评分导读表</w:t>
      </w:r>
      <w:bookmarkEnd w:id="14"/>
      <w:r>
        <w:rPr>
          <w:rFonts w:hint="eastAsia" w:ascii="宋体" w:hAnsi="宋体"/>
          <w:color w:val="auto"/>
          <w:sz w:val="24"/>
          <w:szCs w:val="24"/>
          <w:highlight w:val="none"/>
        </w:rPr>
        <w:t>，附招标文件第三章</w:t>
      </w:r>
      <w:r>
        <w:rPr>
          <w:rFonts w:hint="eastAsia" w:ascii="宋体" w:hAnsi="宋体"/>
          <w:color w:val="auto"/>
          <w:sz w:val="24"/>
          <w:szCs w:val="21"/>
          <w:highlight w:val="none"/>
        </w:rPr>
        <w:t>“评标方法和标准”中要求提供的相关文件、证明材料等</w:t>
      </w:r>
      <w:r>
        <w:rPr>
          <w:rFonts w:hint="eastAsia" w:ascii="宋体" w:hAnsi="宋体"/>
          <w:color w:val="auto"/>
          <w:sz w:val="24"/>
          <w:szCs w:val="24"/>
          <w:highlight w:val="none"/>
        </w:rPr>
        <w:t>（格式见附件）</w:t>
      </w:r>
    </w:p>
    <w:p w14:paraId="795B7AAD">
      <w:pPr>
        <w:numPr>
          <w:ilvl w:val="0"/>
          <w:numId w:val="2"/>
        </w:numPr>
        <w:spacing w:line="360" w:lineRule="auto"/>
        <w:rPr>
          <w:rFonts w:ascii="宋体" w:hAnsi="宋体"/>
          <w:color w:val="auto"/>
          <w:sz w:val="24"/>
          <w:szCs w:val="24"/>
          <w:highlight w:val="none"/>
          <w:lang w:val="zh-CN"/>
        </w:rPr>
      </w:pPr>
      <w:r>
        <w:rPr>
          <w:rFonts w:hint="eastAsia" w:ascii="宋体" w:hAnsi="宋体"/>
          <w:color w:val="auto"/>
          <w:sz w:val="24"/>
          <w:szCs w:val="24"/>
          <w:highlight w:val="none"/>
        </w:rPr>
        <w:t>要求采购人提供的配合（如有自拟并自行添加）</w:t>
      </w:r>
    </w:p>
    <w:p w14:paraId="47D46B72">
      <w:pPr>
        <w:numPr>
          <w:ilvl w:val="0"/>
          <w:numId w:val="2"/>
        </w:numPr>
        <w:tabs>
          <w:tab w:val="left" w:pos="255"/>
        </w:tabs>
        <w:spacing w:line="360" w:lineRule="auto"/>
        <w:rPr>
          <w:rFonts w:ascii="宋体" w:hAnsi="宋体"/>
          <w:color w:val="auto"/>
          <w:sz w:val="24"/>
          <w:szCs w:val="24"/>
          <w:highlight w:val="none"/>
          <w:lang w:val="zh-CN"/>
        </w:rPr>
      </w:pPr>
      <w:r>
        <w:rPr>
          <w:rFonts w:hint="eastAsia" w:ascii="宋体" w:hAnsi="宋体"/>
          <w:color w:val="auto"/>
          <w:sz w:val="24"/>
          <w:szCs w:val="24"/>
          <w:highlight w:val="none"/>
          <w:lang w:val="zh-CN"/>
        </w:rPr>
        <w:t>其他（投标人认为有必要提供的声明和文件，</w:t>
      </w:r>
      <w:r>
        <w:rPr>
          <w:rFonts w:hint="eastAsia" w:ascii="宋体" w:hAnsi="宋体"/>
          <w:color w:val="auto"/>
          <w:sz w:val="24"/>
          <w:szCs w:val="24"/>
          <w:highlight w:val="none"/>
        </w:rPr>
        <w:t>如有自拟并自行添加）</w:t>
      </w:r>
    </w:p>
    <w:bookmarkEnd w:id="8"/>
    <w:p w14:paraId="581210E7">
      <w:pPr>
        <w:spacing w:line="360" w:lineRule="auto"/>
        <w:ind w:firstLine="482" w:firstLineChars="200"/>
        <w:rPr>
          <w:rFonts w:ascii="宋体" w:hAnsi="宋体"/>
          <w:bCs/>
          <w:color w:val="auto"/>
          <w:sz w:val="24"/>
          <w:szCs w:val="24"/>
          <w:highlight w:val="none"/>
          <w:lang w:val="zh-CN"/>
        </w:rPr>
      </w:pPr>
      <w:r>
        <w:rPr>
          <w:rFonts w:hint="eastAsia" w:ascii="宋体" w:hAnsi="宋体"/>
          <w:b/>
          <w:color w:val="auto"/>
          <w:sz w:val="24"/>
          <w:szCs w:val="24"/>
          <w:highlight w:val="none"/>
        </w:rPr>
        <w:t>上述（1）-（</w:t>
      </w:r>
      <w:r>
        <w:rPr>
          <w:rFonts w:hint="eastAsia" w:ascii="仿宋" w:hAnsi="仿宋" w:eastAsia="仿宋"/>
          <w:b/>
          <w:color w:val="auto"/>
          <w:sz w:val="24"/>
          <w:szCs w:val="24"/>
          <w:highlight w:val="none"/>
        </w:rPr>
        <w:t>6</w:t>
      </w:r>
      <w:r>
        <w:rPr>
          <w:rFonts w:hint="eastAsia" w:ascii="宋体" w:hAnsi="宋体"/>
          <w:b/>
          <w:color w:val="auto"/>
          <w:sz w:val="24"/>
          <w:szCs w:val="24"/>
          <w:highlight w:val="none"/>
        </w:rPr>
        <w:t>）项投标人必须按要求全部提供，否则投标无效。</w:t>
      </w:r>
      <w:r>
        <w:rPr>
          <w:rFonts w:hint="eastAsia" w:ascii="宋体" w:hAnsi="宋体"/>
          <w:bCs/>
          <w:color w:val="auto"/>
          <w:sz w:val="24"/>
          <w:szCs w:val="24"/>
          <w:highlight w:val="none"/>
        </w:rPr>
        <w:t>如上述证明文件遇年检、换证，则必须提供法定年检、换证单位出具的有效证明复印件，原件一并提交。如上述“（3）资格证明文件”第</w:t>
      </w:r>
      <w:r>
        <w:rPr>
          <w:rFonts w:hint="eastAsia" w:ascii="仿宋" w:hAnsi="仿宋" w:eastAsia="仿宋" w:cs="仿宋"/>
          <w:bCs/>
          <w:color w:val="auto"/>
          <w:sz w:val="24"/>
          <w:szCs w:val="24"/>
          <w:highlight w:val="none"/>
        </w:rPr>
        <w:t>④、⑤</w:t>
      </w:r>
      <w:r>
        <w:rPr>
          <w:rFonts w:hint="eastAsia" w:ascii="宋体" w:hAnsi="宋体"/>
          <w:bCs/>
          <w:color w:val="auto"/>
          <w:sz w:val="24"/>
          <w:szCs w:val="24"/>
          <w:highlight w:val="none"/>
        </w:rPr>
        <w:t>项，依法免税或</w:t>
      </w:r>
      <w:bookmarkStart w:id="15" w:name="OLE_LINK19"/>
      <w:r>
        <w:rPr>
          <w:rFonts w:hint="eastAsia" w:ascii="宋体" w:hAnsi="宋体"/>
          <w:bCs/>
          <w:color w:val="auto"/>
          <w:sz w:val="24"/>
          <w:szCs w:val="24"/>
          <w:highlight w:val="none"/>
        </w:rPr>
        <w:t>不需要缴纳社会保障资金</w:t>
      </w:r>
      <w:bookmarkEnd w:id="15"/>
      <w:r>
        <w:rPr>
          <w:rFonts w:hint="eastAsia" w:ascii="宋体" w:hAnsi="宋体"/>
          <w:bCs/>
          <w:color w:val="auto"/>
          <w:sz w:val="24"/>
          <w:szCs w:val="24"/>
          <w:highlight w:val="none"/>
        </w:rPr>
        <w:t>的投标人，须在投标文件中提供相应文件证明其依法免税或不需要缴纳社会保障资金。投标人法定代表人或授权代表为外籍、港、澳、台地区人士的，其身份证明须提供有效的护照或港澳同胞来往内地通行证、台湾同胞来往大陆通行证，或其它可在中国大陆有效居留的许可证明。</w:t>
      </w:r>
    </w:p>
    <w:p w14:paraId="223FB6E4">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8、投标文件的制作及密封</w:t>
      </w:r>
    </w:p>
    <w:p w14:paraId="3C3E732E">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 xml:space="preserve">8.1 </w:t>
      </w:r>
      <w:r>
        <w:rPr>
          <w:rFonts w:hint="eastAsia" w:ascii="宋体" w:hAnsi="宋体"/>
          <w:bCs/>
          <w:color w:val="auto"/>
          <w:sz w:val="24"/>
          <w:szCs w:val="24"/>
          <w:highlight w:val="none"/>
          <w:lang w:val="zh-CN"/>
        </w:rPr>
        <w:t>所有文件、往来函件均应使用简体中文（规格、型号辅助符号例外）。</w:t>
      </w:r>
    </w:p>
    <w:p w14:paraId="0647274B">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 xml:space="preserve">8.2 </w:t>
      </w:r>
      <w:r>
        <w:rPr>
          <w:rFonts w:hint="eastAsia" w:ascii="宋体" w:hAnsi="宋体"/>
          <w:bCs/>
          <w:color w:val="auto"/>
          <w:sz w:val="24"/>
          <w:szCs w:val="24"/>
          <w:highlight w:val="none"/>
          <w:lang w:val="zh-CN"/>
        </w:rPr>
        <w:t>投标人所使用的计量单位应为国家法定计量单位。</w:t>
      </w:r>
    </w:p>
    <w:p w14:paraId="0D378BE0">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8.3 投标文件由投标人按要求参考给定格式如实填写（编写），格式中有盖章和签名要求的，须加盖投标人公章、并由法定代表人或被授权代表人签名。其中，正本上加盖的公章应为红章。</w:t>
      </w:r>
    </w:p>
    <w:p w14:paraId="1110D46D">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 xml:space="preserve">8.4 </w:t>
      </w:r>
      <w:r>
        <w:rPr>
          <w:rFonts w:hint="eastAsia" w:ascii="宋体" w:hAnsi="宋体"/>
          <w:bCs/>
          <w:color w:val="auto"/>
          <w:sz w:val="24"/>
          <w:szCs w:val="24"/>
          <w:highlight w:val="none"/>
          <w:lang w:val="zh-CN"/>
        </w:rPr>
        <w:t>如投标人对招标文件的相关内容有不同意见的偏离，应在投标文件中详细说明偏离的情况，如未明确作出偏离情况的说明，则视同</w:t>
      </w:r>
      <w:r>
        <w:rPr>
          <w:rFonts w:hint="eastAsia" w:ascii="宋体" w:hAnsi="宋体"/>
          <w:bCs/>
          <w:color w:val="auto"/>
          <w:sz w:val="24"/>
          <w:szCs w:val="24"/>
          <w:highlight w:val="none"/>
        </w:rPr>
        <w:t>投标人同意招标文件的要求。</w:t>
      </w:r>
    </w:p>
    <w:p w14:paraId="600CBE5E">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8</w:t>
      </w:r>
      <w:r>
        <w:rPr>
          <w:rFonts w:hint="eastAsia" w:ascii="宋体" w:hAnsi="宋体"/>
          <w:color w:val="auto"/>
          <w:sz w:val="24"/>
          <w:szCs w:val="28"/>
          <w:highlight w:val="none"/>
        </w:rPr>
        <w:t>.5 投标文件不应有涂改、增删和潦草之处，如有必须修改时，修改处须有投标人公章和法定代表人或被授权代表人签字。</w:t>
      </w:r>
    </w:p>
    <w:p w14:paraId="0D9B457E">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8.6 投标文件应按照“投标文件的组成”顺序</w:t>
      </w:r>
      <w:r>
        <w:rPr>
          <w:rFonts w:hint="eastAsia" w:ascii="宋体" w:hAnsi="宋体"/>
          <w:bCs/>
          <w:color w:val="auto"/>
          <w:sz w:val="24"/>
          <w:szCs w:val="24"/>
          <w:highlight w:val="none"/>
          <w:lang w:val="zh-CN"/>
        </w:rPr>
        <w:t>统一用A4规格幅面打印、装订成册，</w:t>
      </w:r>
      <w:r>
        <w:rPr>
          <w:rFonts w:hint="eastAsia" w:ascii="宋体" w:hAnsi="宋体"/>
          <w:bCs/>
          <w:color w:val="auto"/>
          <w:sz w:val="24"/>
          <w:szCs w:val="24"/>
          <w:highlight w:val="none"/>
        </w:rPr>
        <w:t>并注明“正本”、“副本”字样</w:t>
      </w:r>
      <w:r>
        <w:rPr>
          <w:rFonts w:hint="eastAsia" w:ascii="宋体" w:hAnsi="宋体"/>
          <w:bCs/>
          <w:color w:val="auto"/>
          <w:sz w:val="24"/>
          <w:szCs w:val="24"/>
          <w:highlight w:val="none"/>
          <w:lang w:val="zh-CN"/>
        </w:rPr>
        <w:t>，由于编排混乱导致投标文件被误读或查找不到，责任由投标人承担。</w:t>
      </w:r>
    </w:p>
    <w:p w14:paraId="2637B780">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8.7 投标人应该将投标文件密封，同时注明投标人名称。</w:t>
      </w:r>
    </w:p>
    <w:p w14:paraId="612ADB7F">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9、投标文件的真实性</w:t>
      </w:r>
    </w:p>
    <w:p w14:paraId="3BB170AA">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9.1 投标人（含</w:t>
      </w:r>
      <w:r>
        <w:rPr>
          <w:rFonts w:hint="eastAsia" w:ascii="宋体" w:hAnsi="宋体"/>
          <w:color w:val="auto"/>
          <w:sz w:val="24"/>
          <w:szCs w:val="28"/>
          <w:highlight w:val="none"/>
          <w:lang w:eastAsia="zh-CN"/>
        </w:rPr>
        <w:t>中标人</w:t>
      </w:r>
      <w:r>
        <w:rPr>
          <w:rFonts w:hint="eastAsia" w:ascii="宋体" w:hAnsi="宋体"/>
          <w:color w:val="auto"/>
          <w:sz w:val="24"/>
          <w:szCs w:val="28"/>
          <w:highlight w:val="none"/>
        </w:rPr>
        <w:t>）应对其投标文件中提供的所有材料的真实性负责。</w:t>
      </w:r>
    </w:p>
    <w:p w14:paraId="11638BB9">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9.2 如</w:t>
      </w:r>
      <w:bookmarkStart w:id="16" w:name="OLE_LINK45"/>
      <w:r>
        <w:rPr>
          <w:rFonts w:hint="eastAsia" w:ascii="宋体" w:hAnsi="宋体"/>
          <w:color w:val="auto"/>
          <w:sz w:val="24"/>
          <w:szCs w:val="28"/>
          <w:highlight w:val="none"/>
        </w:rPr>
        <w:t>采购人、</w:t>
      </w:r>
      <w:bookmarkEnd w:id="16"/>
      <w:r>
        <w:rPr>
          <w:rFonts w:hint="eastAsia" w:ascii="宋体" w:hAnsi="宋体"/>
          <w:color w:val="auto"/>
          <w:sz w:val="24"/>
          <w:szCs w:val="28"/>
          <w:highlight w:val="none"/>
        </w:rPr>
        <w:t>采购代理机构视情况或根据各项法律、法规、规章及相关制度的规定，要求投标人（含</w:t>
      </w:r>
      <w:r>
        <w:rPr>
          <w:rFonts w:hint="eastAsia" w:ascii="宋体" w:hAnsi="宋体"/>
          <w:color w:val="auto"/>
          <w:sz w:val="24"/>
          <w:szCs w:val="28"/>
          <w:highlight w:val="none"/>
          <w:lang w:eastAsia="zh-CN"/>
        </w:rPr>
        <w:t>中标人</w:t>
      </w:r>
      <w:r>
        <w:rPr>
          <w:rFonts w:hint="eastAsia" w:ascii="宋体" w:hAnsi="宋体"/>
          <w:color w:val="auto"/>
          <w:sz w:val="24"/>
          <w:szCs w:val="28"/>
          <w:highlight w:val="none"/>
        </w:rPr>
        <w:t>）提供投标文件中某材料的原件、其他相关证明性资料等材料，投标人（含</w:t>
      </w:r>
      <w:r>
        <w:rPr>
          <w:rFonts w:hint="eastAsia" w:ascii="宋体" w:hAnsi="宋体"/>
          <w:color w:val="auto"/>
          <w:sz w:val="24"/>
          <w:szCs w:val="28"/>
          <w:highlight w:val="none"/>
          <w:lang w:eastAsia="zh-CN"/>
        </w:rPr>
        <w:t>中标人</w:t>
      </w:r>
      <w:r>
        <w:rPr>
          <w:rFonts w:hint="eastAsia" w:ascii="宋体" w:hAnsi="宋体"/>
          <w:color w:val="auto"/>
          <w:sz w:val="24"/>
          <w:szCs w:val="28"/>
          <w:highlight w:val="none"/>
        </w:rPr>
        <w:t>）应按照规定的时间、内容、数量等相关要求，予以提供原件、相关证明性资料等材料。如投标人（含</w:t>
      </w:r>
      <w:r>
        <w:rPr>
          <w:rFonts w:hint="eastAsia" w:ascii="宋体" w:hAnsi="宋体"/>
          <w:color w:val="auto"/>
          <w:sz w:val="24"/>
          <w:szCs w:val="28"/>
          <w:highlight w:val="none"/>
          <w:lang w:eastAsia="zh-CN"/>
        </w:rPr>
        <w:t>中标人</w:t>
      </w:r>
      <w:r>
        <w:rPr>
          <w:rFonts w:hint="eastAsia" w:ascii="宋体" w:hAnsi="宋体"/>
          <w:color w:val="auto"/>
          <w:sz w:val="24"/>
          <w:szCs w:val="28"/>
          <w:highlight w:val="none"/>
        </w:rPr>
        <w:t>）未能按照以上要求予以提供的，采购人、采购代理机构将视同该投标人（含</w:t>
      </w:r>
      <w:r>
        <w:rPr>
          <w:rFonts w:hint="eastAsia" w:ascii="宋体" w:hAnsi="宋体"/>
          <w:color w:val="auto"/>
          <w:sz w:val="24"/>
          <w:szCs w:val="28"/>
          <w:highlight w:val="none"/>
          <w:lang w:eastAsia="zh-CN"/>
        </w:rPr>
        <w:t>中标人</w:t>
      </w:r>
      <w:r>
        <w:rPr>
          <w:rFonts w:hint="eastAsia" w:ascii="宋体" w:hAnsi="宋体"/>
          <w:color w:val="auto"/>
          <w:sz w:val="24"/>
          <w:szCs w:val="28"/>
          <w:highlight w:val="none"/>
        </w:rPr>
        <w:t>）无该材料的原件、相关证明性资料等材料，则投标人（含</w:t>
      </w:r>
      <w:r>
        <w:rPr>
          <w:rFonts w:hint="eastAsia" w:ascii="宋体" w:hAnsi="宋体"/>
          <w:color w:val="auto"/>
          <w:sz w:val="24"/>
          <w:szCs w:val="28"/>
          <w:highlight w:val="none"/>
          <w:lang w:eastAsia="zh-CN"/>
        </w:rPr>
        <w:t>中标人</w:t>
      </w:r>
      <w:r>
        <w:rPr>
          <w:rFonts w:hint="eastAsia" w:ascii="宋体" w:hAnsi="宋体"/>
          <w:color w:val="auto"/>
          <w:sz w:val="24"/>
          <w:szCs w:val="28"/>
          <w:highlight w:val="none"/>
        </w:rPr>
        <w:t>）的投标文件在该材料上未响应（满足）招标文件的要求。</w:t>
      </w:r>
    </w:p>
    <w:p w14:paraId="4D120FC8">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10、投标文件的递交</w:t>
      </w:r>
    </w:p>
    <w:p w14:paraId="4FD9722F">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10.1 投标人须在招标文件规定的提交投标文件截止时间之前到指定地点提交投标文件，逾期不予受理。</w:t>
      </w:r>
    </w:p>
    <w:p w14:paraId="5E1A634D">
      <w:pPr>
        <w:spacing w:line="360" w:lineRule="auto"/>
        <w:ind w:firstLine="472" w:firstLineChars="196"/>
        <w:rPr>
          <w:rFonts w:ascii="宋体" w:hAnsi="宋体"/>
          <w:b/>
          <w:color w:val="auto"/>
          <w:sz w:val="24"/>
          <w:szCs w:val="24"/>
          <w:highlight w:val="none"/>
        </w:rPr>
      </w:pPr>
      <w:r>
        <w:rPr>
          <w:rFonts w:hint="eastAsia" w:ascii="宋体" w:hAnsi="宋体"/>
          <w:b/>
          <w:color w:val="auto"/>
          <w:sz w:val="24"/>
          <w:szCs w:val="24"/>
          <w:highlight w:val="none"/>
        </w:rPr>
        <w:t>11、有下列情形之一的投标文件将拒收</w:t>
      </w:r>
    </w:p>
    <w:p w14:paraId="3241B211">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11.1 在招标文件要求提交投标文件的截止时间之后送达的；</w:t>
      </w:r>
    </w:p>
    <w:p w14:paraId="57C87F88">
      <w:pPr>
        <w:spacing w:line="360" w:lineRule="auto"/>
        <w:ind w:firstLine="480" w:firstLineChars="200"/>
        <w:rPr>
          <w:rFonts w:ascii="宋体" w:hAnsi="宋体" w:cs="宋体"/>
          <w:color w:val="auto"/>
          <w:sz w:val="24"/>
          <w:szCs w:val="24"/>
          <w:highlight w:val="none"/>
        </w:rPr>
      </w:pPr>
      <w:r>
        <w:rPr>
          <w:rFonts w:hint="eastAsia" w:ascii="宋体" w:hAnsi="宋体"/>
          <w:bCs/>
          <w:color w:val="auto"/>
          <w:sz w:val="24"/>
          <w:szCs w:val="24"/>
          <w:highlight w:val="none"/>
        </w:rPr>
        <w:t xml:space="preserve">11.2 </w:t>
      </w:r>
      <w:r>
        <w:rPr>
          <w:rFonts w:hint="eastAsia" w:ascii="宋体" w:hAnsi="宋体" w:cs="宋体"/>
          <w:color w:val="auto"/>
          <w:sz w:val="24"/>
          <w:szCs w:val="24"/>
          <w:highlight w:val="none"/>
        </w:rPr>
        <w:t>未按照招标文件要求密封的。</w:t>
      </w:r>
    </w:p>
    <w:p w14:paraId="57BDDDA2">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12、投标文件的有效期</w:t>
      </w:r>
    </w:p>
    <w:p w14:paraId="451D9A68">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12.1 投标文件的有效期为提交投标文件截止之日起的60天（含提交当日）。在特殊情况下，采购人、</w:t>
      </w:r>
      <w:r>
        <w:rPr>
          <w:rFonts w:hint="eastAsia" w:ascii="宋体" w:hAnsi="宋体"/>
          <w:color w:val="auto"/>
          <w:sz w:val="24"/>
          <w:szCs w:val="28"/>
          <w:highlight w:val="none"/>
        </w:rPr>
        <w:t>采购代理机构</w:t>
      </w:r>
      <w:r>
        <w:rPr>
          <w:rFonts w:hint="eastAsia" w:ascii="宋体" w:hAnsi="宋体"/>
          <w:bCs/>
          <w:color w:val="auto"/>
          <w:sz w:val="24"/>
          <w:szCs w:val="24"/>
          <w:highlight w:val="none"/>
        </w:rPr>
        <w:t>可与投标人协商延长投标文件的有效期。</w:t>
      </w:r>
    </w:p>
    <w:p w14:paraId="1844EF4F">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13、投标文件的退还</w:t>
      </w:r>
    </w:p>
    <w:p w14:paraId="555ACE88">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13.1 投标人投标后，</w:t>
      </w:r>
      <w:r>
        <w:rPr>
          <w:rFonts w:hint="eastAsia" w:hAnsi="宋体"/>
          <w:bCs/>
          <w:color w:val="auto"/>
          <w:sz w:val="24"/>
          <w:szCs w:val="24"/>
          <w:highlight w:val="none"/>
          <w:lang w:eastAsia="zh-CN"/>
        </w:rPr>
        <w:t>江苏希地丰华项目管理集团有限公司</w:t>
      </w:r>
      <w:r>
        <w:rPr>
          <w:rFonts w:hint="eastAsia" w:ascii="宋体" w:hAnsi="宋体"/>
          <w:bCs/>
          <w:color w:val="auto"/>
          <w:sz w:val="24"/>
          <w:szCs w:val="24"/>
          <w:highlight w:val="none"/>
        </w:rPr>
        <w:t>对所有投标人的投标文件一律不予退还。</w:t>
      </w:r>
    </w:p>
    <w:p w14:paraId="3CAC61CA">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14、投标文件的修改和撤回</w:t>
      </w:r>
    </w:p>
    <w:p w14:paraId="736F89E6">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14.1</w:t>
      </w:r>
      <w:r>
        <w:rPr>
          <w:rFonts w:hint="eastAsia" w:ascii="宋体" w:hAnsi="宋体"/>
          <w:bCs/>
          <w:color w:val="auto"/>
          <w:sz w:val="24"/>
          <w:szCs w:val="24"/>
          <w:highlight w:val="none"/>
          <w:lang w:val="zh-CN"/>
        </w:rPr>
        <w:t xml:space="preserve"> 投标人在投标截止时间前，可以对所递交的投标文件进行补充、修改或撤回，并书面通知江苏希地丰华项目管理集团有限公司。补充、修改的内容应当按照招标文件要求签署、盖章、密封后，并作为投标文件的组成部分。</w:t>
      </w:r>
    </w:p>
    <w:p w14:paraId="7EB46EC1">
      <w:pPr>
        <w:spacing w:line="360" w:lineRule="auto"/>
        <w:rPr>
          <w:rFonts w:ascii="宋体" w:hAnsi="宋体"/>
          <w:b/>
          <w:color w:val="auto"/>
          <w:sz w:val="24"/>
          <w:szCs w:val="24"/>
          <w:highlight w:val="none"/>
          <w:lang w:val="zh-CN"/>
        </w:rPr>
      </w:pPr>
      <w:r>
        <w:rPr>
          <w:rFonts w:hint="eastAsia" w:ascii="宋体" w:hAnsi="宋体"/>
          <w:b/>
          <w:color w:val="auto"/>
          <w:sz w:val="24"/>
          <w:szCs w:val="24"/>
          <w:highlight w:val="none"/>
        </w:rPr>
        <w:t xml:space="preserve">     15、</w:t>
      </w:r>
      <w:r>
        <w:rPr>
          <w:rFonts w:hint="eastAsia" w:ascii="宋体" w:hAnsi="宋体"/>
          <w:b/>
          <w:color w:val="auto"/>
          <w:sz w:val="24"/>
          <w:szCs w:val="24"/>
          <w:highlight w:val="none"/>
          <w:lang w:val="zh-CN"/>
        </w:rPr>
        <w:t>无效投标的确认</w:t>
      </w:r>
    </w:p>
    <w:p w14:paraId="76E82E34">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 xml:space="preserve">15.1 </w:t>
      </w:r>
      <w:r>
        <w:rPr>
          <w:rFonts w:hint="eastAsia" w:ascii="宋体" w:hAnsi="宋体"/>
          <w:bCs/>
          <w:color w:val="auto"/>
          <w:sz w:val="24"/>
          <w:szCs w:val="24"/>
          <w:highlight w:val="none"/>
          <w:lang w:val="zh-CN"/>
        </w:rPr>
        <w:t>投标人有下列情况之一者，其投标无效：</w:t>
      </w:r>
    </w:p>
    <w:p w14:paraId="6F221446">
      <w:pPr>
        <w:numPr>
          <w:ilvl w:val="0"/>
          <w:numId w:val="4"/>
        </w:numPr>
        <w:tabs>
          <w:tab w:val="left" w:pos="425"/>
        </w:tabs>
        <w:spacing w:line="360" w:lineRule="auto"/>
        <w:rPr>
          <w:rFonts w:ascii="宋体" w:hAnsi="宋体"/>
          <w:bCs/>
          <w:color w:val="auto"/>
          <w:sz w:val="24"/>
          <w:szCs w:val="24"/>
          <w:highlight w:val="none"/>
          <w:lang w:val="zh-CN"/>
        </w:rPr>
      </w:pPr>
      <w:r>
        <w:rPr>
          <w:rFonts w:hint="eastAsia" w:ascii="宋体" w:hAnsi="宋体" w:cs="宋体"/>
          <w:color w:val="auto"/>
          <w:sz w:val="24"/>
          <w:szCs w:val="24"/>
          <w:highlight w:val="none"/>
        </w:rPr>
        <w:t>未按照招标文件的规定提交投标保证金的；</w:t>
      </w:r>
    </w:p>
    <w:p w14:paraId="0EA9867D">
      <w:pPr>
        <w:numPr>
          <w:ilvl w:val="0"/>
          <w:numId w:val="4"/>
        </w:numPr>
        <w:tabs>
          <w:tab w:val="left" w:pos="425"/>
        </w:tabs>
        <w:spacing w:line="360" w:lineRule="auto"/>
        <w:rPr>
          <w:rFonts w:ascii="宋体" w:hAnsi="宋体"/>
          <w:bCs/>
          <w:color w:val="auto"/>
          <w:sz w:val="24"/>
          <w:szCs w:val="24"/>
          <w:highlight w:val="none"/>
          <w:lang w:val="zh-CN"/>
        </w:rPr>
      </w:pPr>
      <w:r>
        <w:rPr>
          <w:rFonts w:hint="eastAsia" w:ascii="宋体" w:hAnsi="宋体" w:cs="宋体"/>
          <w:color w:val="auto"/>
          <w:sz w:val="24"/>
          <w:szCs w:val="24"/>
          <w:highlight w:val="none"/>
        </w:rPr>
        <w:t>投标文件未按招标文件要求签署、盖章的；</w:t>
      </w:r>
    </w:p>
    <w:p w14:paraId="7EBCE053">
      <w:pPr>
        <w:numPr>
          <w:ilvl w:val="0"/>
          <w:numId w:val="4"/>
        </w:numPr>
        <w:tabs>
          <w:tab w:val="left" w:pos="425"/>
        </w:tabs>
        <w:spacing w:line="360" w:lineRule="auto"/>
        <w:rPr>
          <w:rFonts w:ascii="宋体" w:hAnsi="宋体"/>
          <w:bCs/>
          <w:color w:val="auto"/>
          <w:sz w:val="24"/>
          <w:szCs w:val="24"/>
          <w:highlight w:val="none"/>
          <w:lang w:val="zh-CN"/>
        </w:rPr>
      </w:pPr>
      <w:r>
        <w:rPr>
          <w:rFonts w:hint="eastAsia" w:ascii="宋体" w:hAnsi="宋体" w:cs="宋体"/>
          <w:color w:val="auto"/>
          <w:sz w:val="24"/>
          <w:szCs w:val="24"/>
          <w:highlight w:val="none"/>
        </w:rPr>
        <w:t>不具备招标文件投标邀请函中“2.1投标人参加本次采购活动</w:t>
      </w:r>
      <w:r>
        <w:rPr>
          <w:rFonts w:hint="eastAsia" w:ascii="宋体" w:hAnsi="宋体" w:cs="宋体"/>
          <w:color w:val="auto"/>
          <w:sz w:val="24"/>
          <w:szCs w:val="24"/>
          <w:highlight w:val="none"/>
          <w:lang w:val="zh-CN"/>
        </w:rPr>
        <w:t>应具备的资格条件</w:t>
      </w:r>
      <w:r>
        <w:rPr>
          <w:rFonts w:hint="eastAsia" w:ascii="宋体" w:hAnsi="宋体" w:cs="宋体"/>
          <w:color w:val="auto"/>
          <w:sz w:val="24"/>
          <w:szCs w:val="24"/>
          <w:highlight w:val="none"/>
        </w:rPr>
        <w:t>”</w:t>
      </w:r>
      <w:r>
        <w:rPr>
          <w:rFonts w:hint="eastAsia" w:ascii="宋体" w:hAnsi="宋体"/>
          <w:bCs/>
          <w:color w:val="auto"/>
          <w:sz w:val="24"/>
          <w:szCs w:val="24"/>
          <w:highlight w:val="none"/>
          <w:lang w:val="zh-CN"/>
        </w:rPr>
        <w:t>或未按招标文件规定的要求提供资格证明文件的；</w:t>
      </w:r>
    </w:p>
    <w:p w14:paraId="2E7A9818">
      <w:pPr>
        <w:numPr>
          <w:ilvl w:val="0"/>
          <w:numId w:val="4"/>
        </w:numPr>
        <w:tabs>
          <w:tab w:val="left" w:pos="425"/>
        </w:tabs>
        <w:spacing w:line="360" w:lineRule="auto"/>
        <w:rPr>
          <w:rFonts w:ascii="宋体" w:hAnsi="宋体"/>
          <w:bCs/>
          <w:color w:val="auto"/>
          <w:sz w:val="24"/>
          <w:szCs w:val="24"/>
          <w:highlight w:val="none"/>
          <w:lang w:val="zh-CN"/>
        </w:rPr>
      </w:pPr>
      <w:r>
        <w:rPr>
          <w:rFonts w:hint="eastAsia" w:ascii="宋体" w:hAnsi="宋体"/>
          <w:bCs/>
          <w:color w:val="auto"/>
          <w:sz w:val="24"/>
          <w:szCs w:val="24"/>
          <w:highlight w:val="none"/>
          <w:lang w:val="zh-CN"/>
        </w:rPr>
        <w:t>投标文件未满足“投标文件制作”要求的；</w:t>
      </w:r>
    </w:p>
    <w:p w14:paraId="0936BA25">
      <w:pPr>
        <w:numPr>
          <w:ilvl w:val="0"/>
          <w:numId w:val="4"/>
        </w:numPr>
        <w:tabs>
          <w:tab w:val="left" w:pos="425"/>
        </w:tabs>
        <w:spacing w:line="360" w:lineRule="auto"/>
        <w:rPr>
          <w:rFonts w:ascii="宋体" w:hAnsi="宋体"/>
          <w:bCs/>
          <w:color w:val="auto"/>
          <w:sz w:val="24"/>
          <w:szCs w:val="24"/>
          <w:highlight w:val="none"/>
          <w:lang w:val="zh-CN"/>
        </w:rPr>
      </w:pPr>
      <w:r>
        <w:rPr>
          <w:rFonts w:hint="eastAsia" w:ascii="宋体" w:hAnsi="宋体"/>
          <w:bCs/>
          <w:color w:val="auto"/>
          <w:sz w:val="24"/>
          <w:szCs w:val="24"/>
          <w:highlight w:val="none"/>
          <w:lang w:val="zh-CN"/>
        </w:rPr>
        <w:t>报价</w:t>
      </w:r>
      <w:r>
        <w:rPr>
          <w:rFonts w:hint="eastAsia" w:ascii="宋体" w:hAnsi="宋体" w:cs="宋体"/>
          <w:color w:val="auto"/>
          <w:sz w:val="24"/>
          <w:szCs w:val="24"/>
          <w:highlight w:val="none"/>
        </w:rPr>
        <w:t>超过招标文件中规定的预算金额或者最高限价的</w:t>
      </w:r>
      <w:r>
        <w:rPr>
          <w:rFonts w:hint="eastAsia" w:ascii="宋体" w:hAnsi="宋体"/>
          <w:bCs/>
          <w:color w:val="auto"/>
          <w:sz w:val="24"/>
          <w:szCs w:val="24"/>
          <w:highlight w:val="none"/>
          <w:lang w:val="zh-CN"/>
        </w:rPr>
        <w:t>；</w:t>
      </w:r>
    </w:p>
    <w:p w14:paraId="43DD3989">
      <w:pPr>
        <w:numPr>
          <w:ilvl w:val="0"/>
          <w:numId w:val="4"/>
        </w:numPr>
        <w:tabs>
          <w:tab w:val="left" w:pos="425"/>
        </w:tabs>
        <w:spacing w:line="360" w:lineRule="auto"/>
        <w:rPr>
          <w:rFonts w:ascii="宋体" w:hAnsi="宋体"/>
          <w:bCs/>
          <w:color w:val="auto"/>
          <w:sz w:val="24"/>
          <w:szCs w:val="24"/>
          <w:highlight w:val="none"/>
          <w:lang w:val="zh-CN"/>
        </w:rPr>
      </w:pPr>
      <w:r>
        <w:rPr>
          <w:rFonts w:hint="eastAsia" w:ascii="宋体" w:hAnsi="宋体"/>
          <w:bCs/>
          <w:color w:val="auto"/>
          <w:sz w:val="24"/>
          <w:szCs w:val="24"/>
          <w:highlight w:val="none"/>
          <w:lang w:val="zh-CN"/>
        </w:rPr>
        <w:t>单个细项或整个项目的报价不明确，出现选择性报价的；</w:t>
      </w:r>
    </w:p>
    <w:p w14:paraId="1D59CC10">
      <w:pPr>
        <w:numPr>
          <w:ilvl w:val="0"/>
          <w:numId w:val="4"/>
        </w:numPr>
        <w:tabs>
          <w:tab w:val="left" w:pos="425"/>
        </w:tabs>
        <w:spacing w:line="360" w:lineRule="auto"/>
        <w:rPr>
          <w:rFonts w:ascii="宋体" w:hAnsi="宋体"/>
          <w:bCs/>
          <w:color w:val="auto"/>
          <w:sz w:val="24"/>
          <w:szCs w:val="24"/>
          <w:highlight w:val="none"/>
          <w:lang w:val="zh-CN"/>
        </w:rPr>
      </w:pPr>
      <w:r>
        <w:rPr>
          <w:rFonts w:hint="eastAsia" w:ascii="宋体" w:hAnsi="宋体"/>
          <w:bCs/>
          <w:color w:val="auto"/>
          <w:sz w:val="24"/>
          <w:szCs w:val="24"/>
          <w:highlight w:val="none"/>
          <w:lang w:val="zh-CN"/>
        </w:rPr>
        <w:t>投标文件报价</w:t>
      </w:r>
      <w:r>
        <w:rPr>
          <w:rFonts w:hint="eastAsia" w:ascii="宋体" w:hAnsi="宋体" w:cs="宋体"/>
          <w:color w:val="auto"/>
          <w:sz w:val="24"/>
          <w:szCs w:val="24"/>
          <w:highlight w:val="none"/>
        </w:rPr>
        <w:t>出现前后不一致，且投标人拒绝修正的；</w:t>
      </w:r>
    </w:p>
    <w:p w14:paraId="44C573DE">
      <w:pPr>
        <w:numPr>
          <w:ilvl w:val="0"/>
          <w:numId w:val="4"/>
        </w:numPr>
        <w:tabs>
          <w:tab w:val="left" w:pos="425"/>
        </w:tabs>
        <w:spacing w:line="360" w:lineRule="auto"/>
        <w:rPr>
          <w:rFonts w:ascii="宋体" w:hAnsi="宋体"/>
          <w:bCs/>
          <w:color w:val="auto"/>
          <w:sz w:val="24"/>
          <w:szCs w:val="24"/>
          <w:highlight w:val="none"/>
          <w:lang w:val="zh-CN"/>
        </w:rPr>
      </w:pPr>
      <w:r>
        <w:rPr>
          <w:rFonts w:hint="eastAsia" w:ascii="宋体" w:hAnsi="宋体" w:cs="宋体"/>
          <w:color w:val="auto"/>
          <w:sz w:val="24"/>
          <w:szCs w:val="24"/>
          <w:highlight w:val="none"/>
        </w:rPr>
        <w:t>投标文件含有采购人不能接受的附加条件的；</w:t>
      </w:r>
    </w:p>
    <w:p w14:paraId="03217621">
      <w:pPr>
        <w:numPr>
          <w:ilvl w:val="0"/>
          <w:numId w:val="0"/>
        </w:numPr>
        <w:tabs>
          <w:tab w:val="left" w:pos="425"/>
        </w:tabs>
        <w:spacing w:line="360" w:lineRule="auto"/>
        <w:ind w:left="400" w:leftChars="0"/>
        <w:jc w:val="left"/>
        <w:rPr>
          <w:rFonts w:ascii="宋体" w:hAnsi="宋体"/>
          <w:bCs/>
          <w:color w:val="auto"/>
          <w:sz w:val="24"/>
          <w:szCs w:val="24"/>
          <w:highlight w:val="none"/>
          <w:lang w:val="zh-CN"/>
        </w:rPr>
      </w:pPr>
      <w:r>
        <w:rPr>
          <w:rFonts w:hint="eastAsia" w:ascii="宋体" w:hAnsi="宋体"/>
          <w:bCs/>
          <w:color w:val="auto"/>
          <w:sz w:val="24"/>
          <w:szCs w:val="24"/>
          <w:highlight w:val="none"/>
          <w:lang w:val="en-US" w:eastAsia="zh-CN"/>
        </w:rPr>
        <w:t>（9）评标委员会</w:t>
      </w:r>
      <w:r>
        <w:rPr>
          <w:rFonts w:hint="eastAsia" w:ascii="宋体" w:hAnsi="宋体"/>
          <w:bCs/>
          <w:color w:val="auto"/>
          <w:sz w:val="24"/>
          <w:szCs w:val="24"/>
          <w:highlight w:val="none"/>
        </w:rPr>
        <w:t>认定</w:t>
      </w:r>
      <w:r>
        <w:rPr>
          <w:rFonts w:hint="eastAsia" w:ascii="宋体" w:hAnsi="宋体"/>
          <w:bCs/>
          <w:color w:val="auto"/>
          <w:sz w:val="24"/>
          <w:szCs w:val="24"/>
          <w:highlight w:val="none"/>
          <w:lang w:val="en-US" w:eastAsia="zh-CN"/>
        </w:rPr>
        <w:t>供应商</w:t>
      </w:r>
      <w:r>
        <w:rPr>
          <w:rFonts w:hint="eastAsia" w:ascii="宋体" w:hAnsi="宋体"/>
          <w:bCs/>
          <w:color w:val="auto"/>
          <w:sz w:val="24"/>
          <w:szCs w:val="24"/>
          <w:highlight w:val="none"/>
        </w:rPr>
        <w:t>的报价明显低于其他通过符合性审查</w:t>
      </w:r>
      <w:r>
        <w:rPr>
          <w:rFonts w:hint="eastAsia" w:ascii="宋体" w:hAnsi="宋体"/>
          <w:bCs/>
          <w:color w:val="auto"/>
          <w:sz w:val="24"/>
          <w:szCs w:val="24"/>
          <w:highlight w:val="none"/>
          <w:lang w:val="en-US" w:eastAsia="zh-CN"/>
        </w:rPr>
        <w:t>供应商</w:t>
      </w:r>
      <w:r>
        <w:rPr>
          <w:rFonts w:hint="eastAsia" w:ascii="宋体" w:hAnsi="宋体"/>
          <w:bCs/>
          <w:color w:val="auto"/>
          <w:sz w:val="24"/>
          <w:szCs w:val="24"/>
          <w:highlight w:val="none"/>
        </w:rPr>
        <w:t>的报价，有可能影响产品质量或者不能诚信履约</w:t>
      </w:r>
      <w:r>
        <w:rPr>
          <w:rFonts w:hint="eastAsia" w:ascii="宋体" w:hAnsi="宋体"/>
          <w:bCs/>
          <w:color w:val="auto"/>
          <w:sz w:val="24"/>
          <w:szCs w:val="24"/>
          <w:highlight w:val="none"/>
          <w:lang w:eastAsia="zh-CN"/>
        </w:rPr>
        <w:t>的</w:t>
      </w:r>
      <w:r>
        <w:rPr>
          <w:rFonts w:hint="eastAsia" w:ascii="宋体" w:hAnsi="宋体"/>
          <w:bCs/>
          <w:color w:val="auto"/>
          <w:sz w:val="24"/>
          <w:szCs w:val="24"/>
          <w:highlight w:val="none"/>
        </w:rPr>
        <w:t>，</w:t>
      </w:r>
      <w:r>
        <w:rPr>
          <w:rFonts w:hint="eastAsia" w:ascii="宋体" w:hAnsi="宋体" w:cs="宋体"/>
          <w:bCs/>
          <w:color w:val="auto"/>
          <w:sz w:val="24"/>
          <w:szCs w:val="24"/>
          <w:highlight w:val="none"/>
          <w:lang w:val="en-US" w:eastAsia="zh-CN"/>
        </w:rPr>
        <w:t>评标委员会将启动异常低价投标审查程序。</w:t>
      </w:r>
      <w:r>
        <w:rPr>
          <w:rFonts w:hint="eastAsia" w:ascii="宋体" w:hAnsi="宋体"/>
          <w:bCs/>
          <w:color w:val="auto"/>
          <w:sz w:val="24"/>
          <w:szCs w:val="24"/>
          <w:highlight w:val="none"/>
          <w:lang w:val="en-US" w:eastAsia="zh-CN"/>
        </w:rPr>
        <w:t>供应商</w:t>
      </w:r>
      <w:r>
        <w:rPr>
          <w:rFonts w:hint="eastAsia" w:ascii="宋体" w:hAnsi="宋体"/>
          <w:bCs/>
          <w:color w:val="auto"/>
          <w:sz w:val="24"/>
          <w:szCs w:val="24"/>
          <w:highlight w:val="none"/>
        </w:rPr>
        <w:t>不能应</w:t>
      </w:r>
      <w:r>
        <w:rPr>
          <w:rFonts w:hint="eastAsia" w:ascii="宋体" w:hAnsi="宋体"/>
          <w:bCs/>
          <w:color w:val="auto"/>
          <w:sz w:val="24"/>
          <w:szCs w:val="24"/>
          <w:highlight w:val="none"/>
          <w:lang w:val="en-US" w:eastAsia="zh-CN"/>
        </w:rPr>
        <w:t>评标委员会</w:t>
      </w:r>
      <w:r>
        <w:rPr>
          <w:rFonts w:hint="eastAsia" w:ascii="宋体" w:hAnsi="宋体"/>
          <w:bCs/>
          <w:color w:val="auto"/>
          <w:sz w:val="24"/>
          <w:szCs w:val="24"/>
          <w:highlight w:val="none"/>
        </w:rPr>
        <w:t>要求</w:t>
      </w:r>
      <w:r>
        <w:rPr>
          <w:rFonts w:hint="eastAsia" w:ascii="宋体" w:hAnsi="宋体"/>
          <w:color w:val="auto"/>
          <w:sz w:val="24"/>
          <w:szCs w:val="24"/>
          <w:highlight w:val="none"/>
        </w:rPr>
        <w:t>在给定的</w:t>
      </w:r>
      <w:r>
        <w:rPr>
          <w:rFonts w:hint="eastAsia" w:ascii="宋体" w:hAnsi="宋体"/>
          <w:bCs/>
          <w:color w:val="auto"/>
          <w:sz w:val="24"/>
          <w:szCs w:val="24"/>
          <w:highlight w:val="none"/>
        </w:rPr>
        <w:t>合理时间内提供说明（必要时</w:t>
      </w:r>
      <w:r>
        <w:rPr>
          <w:rFonts w:hint="eastAsia" w:ascii="宋体" w:hAnsi="宋体"/>
          <w:bCs/>
          <w:color w:val="auto"/>
          <w:sz w:val="24"/>
          <w:szCs w:val="24"/>
          <w:highlight w:val="none"/>
          <w:lang w:val="en-US" w:eastAsia="zh-CN"/>
        </w:rPr>
        <w:t>评标委员会</w:t>
      </w:r>
      <w:r>
        <w:rPr>
          <w:rFonts w:hint="eastAsia" w:ascii="宋体" w:hAnsi="宋体"/>
          <w:bCs/>
          <w:color w:val="auto"/>
          <w:sz w:val="24"/>
          <w:szCs w:val="24"/>
          <w:highlight w:val="none"/>
        </w:rPr>
        <w:t>可要求</w:t>
      </w:r>
      <w:r>
        <w:rPr>
          <w:rFonts w:hint="eastAsia" w:ascii="宋体" w:hAnsi="宋体"/>
          <w:bCs/>
          <w:color w:val="auto"/>
          <w:sz w:val="24"/>
          <w:szCs w:val="24"/>
          <w:highlight w:val="none"/>
          <w:lang w:val="en-US" w:eastAsia="zh-CN"/>
        </w:rPr>
        <w:t>供应商</w:t>
      </w:r>
      <w:r>
        <w:rPr>
          <w:rFonts w:hint="eastAsia" w:ascii="宋体" w:hAnsi="宋体"/>
          <w:bCs/>
          <w:color w:val="auto"/>
          <w:sz w:val="24"/>
          <w:szCs w:val="24"/>
          <w:highlight w:val="none"/>
        </w:rPr>
        <w:t>提交相关证明材料）</w:t>
      </w:r>
      <w:r>
        <w:rPr>
          <w:rFonts w:hint="eastAsia" w:ascii="宋体" w:hAnsi="宋体"/>
          <w:bCs/>
          <w:color w:val="auto"/>
          <w:sz w:val="24"/>
          <w:szCs w:val="24"/>
          <w:highlight w:val="none"/>
          <w:lang w:eastAsia="zh-CN"/>
        </w:rPr>
        <w:t>，</w:t>
      </w:r>
      <w:r>
        <w:rPr>
          <w:rFonts w:hint="eastAsia" w:ascii="宋体" w:hAnsi="宋体" w:cs="宋体"/>
          <w:bCs/>
          <w:color w:val="auto"/>
          <w:sz w:val="24"/>
          <w:szCs w:val="24"/>
          <w:highlight w:val="none"/>
          <w:lang w:val="en-US" w:eastAsia="zh-CN"/>
        </w:rPr>
        <w:t>或者提供的书面说明、证明材料不能证明其报价合理性的；</w:t>
      </w:r>
    </w:p>
    <w:p w14:paraId="32F6A9F5">
      <w:pPr>
        <w:numPr>
          <w:ilvl w:val="0"/>
          <w:numId w:val="0"/>
        </w:numPr>
        <w:tabs>
          <w:tab w:val="left" w:pos="425"/>
        </w:tabs>
        <w:spacing w:line="360" w:lineRule="auto"/>
        <w:ind w:left="420" w:leftChars="0"/>
        <w:rPr>
          <w:rFonts w:ascii="宋体" w:hAnsi="宋体"/>
          <w:bCs/>
          <w:color w:val="auto"/>
          <w:sz w:val="24"/>
          <w:szCs w:val="24"/>
          <w:highlight w:val="none"/>
          <w:lang w:val="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与其他投标人恶意串通的，包括但不限于以下几种情况：</w:t>
      </w:r>
    </w:p>
    <w:p w14:paraId="332D8A01">
      <w:pPr>
        <w:numPr>
          <w:ilvl w:val="0"/>
          <w:numId w:val="5"/>
        </w:numPr>
        <w:tabs>
          <w:tab w:val="left" w:pos="425"/>
        </w:tabs>
        <w:spacing w:line="360" w:lineRule="auto"/>
        <w:ind w:firstLine="840" w:firstLineChars="350"/>
        <w:rPr>
          <w:rFonts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不同投标人的投标文件由同一单位或者个人编制</w:t>
      </w:r>
      <w:r>
        <w:rPr>
          <w:rFonts w:hint="eastAsia" w:ascii="宋体" w:hAnsi="宋体"/>
          <w:bCs/>
          <w:color w:val="auto"/>
          <w:sz w:val="24"/>
          <w:szCs w:val="24"/>
          <w:highlight w:val="none"/>
          <w:lang w:val="zh-CN"/>
        </w:rPr>
        <w:t>；</w:t>
      </w:r>
    </w:p>
    <w:p w14:paraId="7C40D97E">
      <w:pPr>
        <w:numPr>
          <w:ilvl w:val="0"/>
          <w:numId w:val="5"/>
        </w:numPr>
        <w:tabs>
          <w:tab w:val="left" w:pos="425"/>
        </w:tabs>
        <w:spacing w:line="360" w:lineRule="auto"/>
        <w:ind w:firstLine="840" w:firstLineChars="350"/>
        <w:rPr>
          <w:rFonts w:ascii="宋体" w:hAnsi="宋体"/>
          <w:bCs/>
          <w:color w:val="auto"/>
          <w:sz w:val="24"/>
          <w:szCs w:val="24"/>
          <w:highlight w:val="none"/>
          <w:lang w:val="zh-CN"/>
        </w:rPr>
      </w:pPr>
      <w:r>
        <w:rPr>
          <w:rFonts w:hint="eastAsia" w:ascii="宋体" w:hAnsi="宋体" w:cs="宋体"/>
          <w:color w:val="auto"/>
          <w:sz w:val="24"/>
          <w:szCs w:val="24"/>
          <w:highlight w:val="none"/>
        </w:rPr>
        <w:t>不同投标人委托同一单位或者个人办理投标事宜</w:t>
      </w:r>
      <w:r>
        <w:rPr>
          <w:rFonts w:hint="eastAsia" w:ascii="宋体" w:hAnsi="宋体"/>
          <w:bCs/>
          <w:color w:val="auto"/>
          <w:sz w:val="24"/>
          <w:szCs w:val="24"/>
          <w:highlight w:val="none"/>
          <w:lang w:val="zh-CN"/>
        </w:rPr>
        <w:t>；</w:t>
      </w:r>
    </w:p>
    <w:p w14:paraId="400B24B9">
      <w:pPr>
        <w:numPr>
          <w:ilvl w:val="0"/>
          <w:numId w:val="5"/>
        </w:numPr>
        <w:tabs>
          <w:tab w:val="left" w:pos="425"/>
        </w:tabs>
        <w:spacing w:line="360" w:lineRule="auto"/>
        <w:ind w:firstLine="840" w:firstLineChars="350"/>
        <w:rPr>
          <w:rFonts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不同投标人的投标文件载明的项目管理成员或者联系人员为同一人</w:t>
      </w:r>
      <w:r>
        <w:rPr>
          <w:rFonts w:hint="eastAsia" w:ascii="宋体" w:hAnsi="宋体"/>
          <w:bCs/>
          <w:color w:val="auto"/>
          <w:sz w:val="24"/>
          <w:szCs w:val="24"/>
          <w:highlight w:val="none"/>
          <w:lang w:val="zh-CN"/>
        </w:rPr>
        <w:t>；</w:t>
      </w:r>
    </w:p>
    <w:p w14:paraId="56B29A87">
      <w:pPr>
        <w:numPr>
          <w:ilvl w:val="0"/>
          <w:numId w:val="5"/>
        </w:numPr>
        <w:tabs>
          <w:tab w:val="left" w:pos="425"/>
        </w:tabs>
        <w:spacing w:line="360" w:lineRule="auto"/>
        <w:ind w:firstLine="840" w:firstLineChars="350"/>
        <w:rPr>
          <w:rFonts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不同投标人的投标文件异常一致或者投标报价呈规律性差异</w:t>
      </w:r>
      <w:r>
        <w:rPr>
          <w:rFonts w:hint="eastAsia" w:ascii="宋体" w:hAnsi="宋体"/>
          <w:bCs/>
          <w:color w:val="auto"/>
          <w:sz w:val="24"/>
          <w:szCs w:val="24"/>
          <w:highlight w:val="none"/>
          <w:lang w:val="zh-CN"/>
        </w:rPr>
        <w:t>；</w:t>
      </w:r>
    </w:p>
    <w:p w14:paraId="422403D9">
      <w:pPr>
        <w:numPr>
          <w:ilvl w:val="0"/>
          <w:numId w:val="5"/>
        </w:numPr>
        <w:tabs>
          <w:tab w:val="left" w:pos="425"/>
        </w:tabs>
        <w:spacing w:line="360" w:lineRule="auto"/>
        <w:ind w:firstLine="840" w:firstLineChars="350"/>
        <w:rPr>
          <w:rFonts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不同投标人的投标文件相互混装</w:t>
      </w:r>
      <w:r>
        <w:rPr>
          <w:rFonts w:hint="eastAsia" w:ascii="宋体" w:hAnsi="宋体"/>
          <w:bCs/>
          <w:color w:val="auto"/>
          <w:sz w:val="24"/>
          <w:szCs w:val="24"/>
          <w:highlight w:val="none"/>
          <w:lang w:val="zh-CN"/>
        </w:rPr>
        <w:t>；</w:t>
      </w:r>
    </w:p>
    <w:p w14:paraId="74BA5E40">
      <w:pPr>
        <w:numPr>
          <w:ilvl w:val="0"/>
          <w:numId w:val="5"/>
        </w:numPr>
        <w:tabs>
          <w:tab w:val="left" w:pos="425"/>
        </w:tabs>
        <w:spacing w:line="360" w:lineRule="auto"/>
        <w:ind w:firstLine="840" w:firstLineChars="350"/>
        <w:rPr>
          <w:rFonts w:ascii="宋体" w:hAnsi="宋体"/>
          <w:bCs/>
          <w:color w:val="auto"/>
          <w:sz w:val="24"/>
          <w:szCs w:val="24"/>
          <w:highlight w:val="none"/>
          <w:lang w:val="zh-CN"/>
        </w:rPr>
      </w:pPr>
      <w:r>
        <w:rPr>
          <w:rFonts w:hint="eastAsia" w:ascii="宋体" w:hAnsi="宋体" w:cs="宋体"/>
          <w:color w:val="auto"/>
          <w:sz w:val="24"/>
          <w:szCs w:val="24"/>
          <w:highlight w:val="none"/>
        </w:rPr>
        <w:t>不同投标人的投标保证金从同一单位或者个人的账户转出</w:t>
      </w:r>
    </w:p>
    <w:p w14:paraId="0F6F762E">
      <w:pPr>
        <w:numPr>
          <w:ilvl w:val="0"/>
          <w:numId w:val="0"/>
        </w:numPr>
        <w:tabs>
          <w:tab w:val="left" w:pos="425"/>
        </w:tabs>
        <w:spacing w:line="360" w:lineRule="auto"/>
        <w:ind w:left="420" w:leftChars="0"/>
        <w:rPr>
          <w:rFonts w:ascii="宋体" w:hAnsi="宋体"/>
          <w:bCs/>
          <w:color w:val="auto"/>
          <w:sz w:val="24"/>
          <w:szCs w:val="24"/>
          <w:highlight w:val="none"/>
          <w:lang w:val="zh-CN"/>
        </w:rPr>
      </w:pPr>
      <w:r>
        <w:rPr>
          <w:rFonts w:hint="eastAsia" w:ascii="宋体" w:hAnsi="宋体"/>
          <w:bCs/>
          <w:color w:val="auto"/>
          <w:sz w:val="24"/>
          <w:szCs w:val="24"/>
          <w:highlight w:val="none"/>
          <w:lang w:val="zh-CN"/>
        </w:rPr>
        <w:t>（</w:t>
      </w:r>
      <w:r>
        <w:rPr>
          <w:rFonts w:hint="eastAsia" w:ascii="宋体" w:hAnsi="宋体"/>
          <w:bCs/>
          <w:color w:val="auto"/>
          <w:sz w:val="24"/>
          <w:szCs w:val="24"/>
          <w:highlight w:val="none"/>
          <w:lang w:val="en-US" w:eastAsia="zh-CN"/>
        </w:rPr>
        <w:t>11</w:t>
      </w:r>
      <w:r>
        <w:rPr>
          <w:rFonts w:hint="eastAsia" w:ascii="宋体" w:hAnsi="宋体"/>
          <w:bCs/>
          <w:color w:val="auto"/>
          <w:sz w:val="24"/>
          <w:szCs w:val="24"/>
          <w:highlight w:val="none"/>
          <w:lang w:val="zh-CN"/>
        </w:rPr>
        <w:t>）提供虚假材料的（包括工商营业执照、资格证明文件等）；</w:t>
      </w:r>
    </w:p>
    <w:p w14:paraId="5A20B8CE">
      <w:pPr>
        <w:numPr>
          <w:ilvl w:val="0"/>
          <w:numId w:val="0"/>
        </w:numPr>
        <w:tabs>
          <w:tab w:val="left" w:pos="425"/>
        </w:tabs>
        <w:spacing w:line="360" w:lineRule="auto"/>
        <w:ind w:left="420" w:leftChars="0"/>
        <w:rPr>
          <w:rFonts w:ascii="宋体" w:hAnsi="宋体"/>
          <w:bCs/>
          <w:color w:val="auto"/>
          <w:sz w:val="24"/>
          <w:szCs w:val="24"/>
          <w:highlight w:val="none"/>
          <w:lang w:val="zh-CN"/>
        </w:rPr>
      </w:pPr>
      <w:r>
        <w:rPr>
          <w:rFonts w:hint="eastAsia" w:ascii="宋体" w:hAnsi="宋体"/>
          <w:bCs/>
          <w:color w:val="auto"/>
          <w:sz w:val="24"/>
          <w:szCs w:val="24"/>
          <w:highlight w:val="none"/>
          <w:lang w:val="zh-CN"/>
        </w:rPr>
        <w:t>（</w:t>
      </w:r>
      <w:r>
        <w:rPr>
          <w:rFonts w:hint="eastAsia" w:ascii="宋体" w:hAnsi="宋体"/>
          <w:bCs/>
          <w:color w:val="auto"/>
          <w:sz w:val="24"/>
          <w:szCs w:val="24"/>
          <w:highlight w:val="none"/>
          <w:lang w:val="en-US" w:eastAsia="zh-CN"/>
        </w:rPr>
        <w:t>12</w:t>
      </w:r>
      <w:r>
        <w:rPr>
          <w:rFonts w:hint="eastAsia" w:ascii="宋体" w:hAnsi="宋体"/>
          <w:bCs/>
          <w:color w:val="auto"/>
          <w:sz w:val="24"/>
          <w:szCs w:val="24"/>
          <w:highlight w:val="none"/>
          <w:lang w:val="zh-CN"/>
        </w:rPr>
        <w:t>）投标文件内容不全、自相矛盾或不符合法律法规和招标文件中规定的其它实质性要求的；</w:t>
      </w:r>
    </w:p>
    <w:p w14:paraId="3B9B9940">
      <w:pPr>
        <w:numPr>
          <w:ilvl w:val="0"/>
          <w:numId w:val="0"/>
        </w:numPr>
        <w:tabs>
          <w:tab w:val="left" w:pos="425"/>
        </w:tabs>
        <w:spacing w:line="360" w:lineRule="auto"/>
        <w:ind w:left="420" w:leftChars="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w:t>
      </w:r>
      <w:r>
        <w:rPr>
          <w:rFonts w:hint="eastAsia" w:ascii="宋体" w:hAnsi="宋体"/>
          <w:bCs/>
          <w:color w:val="auto"/>
          <w:sz w:val="24"/>
          <w:szCs w:val="24"/>
          <w:highlight w:val="none"/>
          <w:lang w:val="en-US" w:eastAsia="zh-CN"/>
        </w:rPr>
        <w:t>13</w:t>
      </w:r>
      <w:r>
        <w:rPr>
          <w:rFonts w:hint="eastAsia" w:ascii="宋体" w:hAnsi="宋体"/>
          <w:bCs/>
          <w:color w:val="auto"/>
          <w:sz w:val="24"/>
          <w:szCs w:val="24"/>
          <w:highlight w:val="none"/>
          <w:lang w:val="zh-CN"/>
        </w:rPr>
        <w:t>）法律、法规和招标文件规定的其他无效情形。</w:t>
      </w:r>
    </w:p>
    <w:p w14:paraId="59939373">
      <w:pPr>
        <w:spacing w:line="360" w:lineRule="auto"/>
        <w:ind w:firstLine="590" w:firstLineChars="245"/>
        <w:rPr>
          <w:rFonts w:ascii="宋体" w:hAnsi="宋体" w:cs="宋体"/>
          <w:b/>
          <w:color w:val="auto"/>
          <w:sz w:val="24"/>
          <w:szCs w:val="24"/>
          <w:highlight w:val="none"/>
        </w:rPr>
      </w:pPr>
      <w:r>
        <w:rPr>
          <w:rFonts w:hint="eastAsia" w:ascii="宋体" w:hAnsi="宋体"/>
          <w:b/>
          <w:color w:val="auto"/>
          <w:sz w:val="24"/>
          <w:szCs w:val="24"/>
          <w:highlight w:val="none"/>
        </w:rPr>
        <w:t>四、联合体投标、</w:t>
      </w:r>
      <w:r>
        <w:rPr>
          <w:rFonts w:hint="eastAsia" w:ascii="宋体" w:hAnsi="宋体" w:cs="宋体"/>
          <w:b/>
          <w:color w:val="auto"/>
          <w:sz w:val="24"/>
          <w:szCs w:val="24"/>
          <w:highlight w:val="none"/>
        </w:rPr>
        <w:t>中标后分包</w:t>
      </w:r>
    </w:p>
    <w:p w14:paraId="4DAE05BF">
      <w:pPr>
        <w:spacing w:line="360" w:lineRule="auto"/>
        <w:ind w:firstLine="482" w:firstLineChars="200"/>
        <w:rPr>
          <w:rFonts w:ascii="宋体" w:hAnsi="宋体"/>
          <w:b/>
          <w:bCs/>
          <w:color w:val="auto"/>
          <w:sz w:val="24"/>
          <w:szCs w:val="24"/>
          <w:highlight w:val="none"/>
        </w:rPr>
      </w:pPr>
      <w:bookmarkStart w:id="17" w:name="OLE_LINK96"/>
      <w:r>
        <w:rPr>
          <w:rFonts w:hint="eastAsia" w:ascii="宋体" w:hAnsi="宋体"/>
          <w:b/>
          <w:bCs/>
          <w:color w:val="auto"/>
          <w:sz w:val="24"/>
          <w:szCs w:val="24"/>
          <w:highlight w:val="none"/>
        </w:rPr>
        <w:t>16、不接受联合体投标、不接受中标后分包。</w:t>
      </w:r>
      <w:bookmarkEnd w:id="17"/>
    </w:p>
    <w:p w14:paraId="4ADE0C67">
      <w:pPr>
        <w:spacing w:line="360" w:lineRule="auto"/>
        <w:ind w:firstLine="482" w:firstLineChars="200"/>
        <w:rPr>
          <w:rFonts w:ascii="宋体" w:hAnsi="宋体"/>
          <w:b/>
          <w:color w:val="auto"/>
          <w:sz w:val="24"/>
          <w:szCs w:val="24"/>
          <w:highlight w:val="none"/>
          <w:lang w:val="zh-CN"/>
        </w:rPr>
      </w:pPr>
      <w:r>
        <w:rPr>
          <w:rFonts w:hint="eastAsia" w:ascii="宋体" w:hAnsi="宋体"/>
          <w:b/>
          <w:color w:val="auto"/>
          <w:sz w:val="24"/>
          <w:szCs w:val="24"/>
          <w:highlight w:val="none"/>
        </w:rPr>
        <w:t>五、</w:t>
      </w:r>
      <w:r>
        <w:rPr>
          <w:rFonts w:hint="eastAsia" w:ascii="宋体" w:hAnsi="宋体"/>
          <w:b/>
          <w:color w:val="auto"/>
          <w:sz w:val="24"/>
          <w:szCs w:val="24"/>
          <w:highlight w:val="none"/>
          <w:lang w:val="zh-CN"/>
        </w:rPr>
        <w:t>开标、评标、定标、废标</w:t>
      </w:r>
    </w:p>
    <w:p w14:paraId="0618B853">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17、开标</w:t>
      </w:r>
    </w:p>
    <w:p w14:paraId="64A50921">
      <w:pPr>
        <w:spacing w:line="360" w:lineRule="auto"/>
        <w:ind w:firstLine="480" w:firstLineChars="200"/>
        <w:rPr>
          <w:rFonts w:ascii="宋体" w:hAnsi="宋体"/>
          <w:b/>
          <w:color w:val="auto"/>
          <w:sz w:val="24"/>
          <w:szCs w:val="24"/>
          <w:highlight w:val="none"/>
          <w:lang w:val="zh-CN"/>
        </w:rPr>
      </w:pPr>
      <w:r>
        <w:rPr>
          <w:rFonts w:hint="eastAsia" w:ascii="宋体" w:hAnsi="宋体"/>
          <w:bCs/>
          <w:color w:val="auto"/>
          <w:sz w:val="24"/>
          <w:szCs w:val="24"/>
          <w:highlight w:val="none"/>
        </w:rPr>
        <w:t xml:space="preserve">17.1 </w:t>
      </w:r>
      <w:r>
        <w:rPr>
          <w:rFonts w:hint="eastAsia" w:ascii="宋体" w:hAnsi="宋体"/>
          <w:bCs/>
          <w:color w:val="auto"/>
          <w:sz w:val="24"/>
          <w:szCs w:val="24"/>
          <w:highlight w:val="none"/>
          <w:lang w:val="zh-CN"/>
        </w:rPr>
        <w:t>采购人按招标文件规定的时间在</w:t>
      </w:r>
      <w:r>
        <w:rPr>
          <w:rFonts w:hint="eastAsia" w:ascii="宋体" w:hAnsi="宋体"/>
          <w:bCs/>
          <w:color w:val="auto"/>
          <w:sz w:val="24"/>
          <w:szCs w:val="24"/>
          <w:highlight w:val="none"/>
        </w:rPr>
        <w:t>指定地点</w:t>
      </w:r>
      <w:r>
        <w:rPr>
          <w:rFonts w:hint="eastAsia" w:ascii="宋体" w:hAnsi="宋体"/>
          <w:bCs/>
          <w:color w:val="auto"/>
          <w:sz w:val="24"/>
          <w:szCs w:val="24"/>
          <w:highlight w:val="none"/>
          <w:lang w:val="zh-CN"/>
        </w:rPr>
        <w:t>召开开标大会，开标时由投标人自行检查其投标文件的密封情况，经确认无误后，采购人或采购代理机构当众拆封，宣布投标人名称、投标价格（开标一览表中合计金额（大写金额））和招标文件规定的需要宣布的其他内容。</w:t>
      </w:r>
    </w:p>
    <w:p w14:paraId="4AF824CF">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17</w:t>
      </w:r>
      <w:r>
        <w:rPr>
          <w:rFonts w:hint="eastAsia" w:ascii="宋体" w:hAnsi="宋体"/>
          <w:bCs/>
          <w:color w:val="auto"/>
          <w:sz w:val="24"/>
          <w:szCs w:val="24"/>
          <w:highlight w:val="none"/>
          <w:lang w:val="zh-CN"/>
        </w:rPr>
        <w:t>.2  开标过程由采购人或者采购代理机构负责记录，由参加开标的各投标人代表和相关工作人员签字确认后随采购文件一并存档。投标人未参加开标的，视同认可开标结果。</w:t>
      </w:r>
    </w:p>
    <w:p w14:paraId="68265E93">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17.3 投标人对开标过程和开标记录有疑义，以及认为采购人、采购代理机构相关工作人员有需要回避的情形的，应当场提出询问或者回避申请。</w:t>
      </w:r>
      <w:bookmarkStart w:id="18" w:name="OLE_LINK176"/>
      <w:r>
        <w:rPr>
          <w:rFonts w:hint="eastAsia" w:ascii="宋体" w:hAnsi="宋体"/>
          <w:bCs/>
          <w:color w:val="auto"/>
          <w:sz w:val="24"/>
          <w:szCs w:val="24"/>
          <w:highlight w:val="none"/>
        </w:rPr>
        <w:t>对投标文件报价前后不一致的修正，待进入评标环节以后，由</w:t>
      </w:r>
      <w:r>
        <w:rPr>
          <w:rFonts w:hint="eastAsia" w:ascii="宋体" w:hAnsi="宋体"/>
          <w:bCs/>
          <w:color w:val="auto"/>
          <w:sz w:val="24"/>
          <w:szCs w:val="24"/>
          <w:highlight w:val="none"/>
          <w:lang w:val="zh-CN"/>
        </w:rPr>
        <w:t>评标委员会做出认定</w:t>
      </w:r>
      <w:bookmarkEnd w:id="18"/>
      <w:r>
        <w:rPr>
          <w:rFonts w:hint="eastAsia" w:ascii="宋体" w:hAnsi="宋体"/>
          <w:bCs/>
          <w:color w:val="auto"/>
          <w:sz w:val="24"/>
          <w:szCs w:val="24"/>
          <w:highlight w:val="none"/>
          <w:lang w:val="zh-CN"/>
        </w:rPr>
        <w:t>；若未进入评审环节，不需要做出认定。</w:t>
      </w:r>
    </w:p>
    <w:p w14:paraId="3C5E91AE">
      <w:pPr>
        <w:spacing w:line="360" w:lineRule="auto"/>
        <w:ind w:firstLine="482" w:firstLineChars="200"/>
        <w:rPr>
          <w:rFonts w:ascii="宋体" w:hAnsi="宋体"/>
          <w:b/>
          <w:color w:val="auto"/>
          <w:sz w:val="24"/>
          <w:szCs w:val="24"/>
          <w:highlight w:val="none"/>
        </w:rPr>
      </w:pPr>
      <w:bookmarkStart w:id="19" w:name="OLE_LINK18"/>
      <w:r>
        <w:rPr>
          <w:rFonts w:hint="eastAsia" w:ascii="宋体" w:hAnsi="宋体"/>
          <w:b/>
          <w:color w:val="auto"/>
          <w:sz w:val="24"/>
          <w:szCs w:val="24"/>
          <w:highlight w:val="none"/>
        </w:rPr>
        <w:t>18、评标</w:t>
      </w:r>
    </w:p>
    <w:p w14:paraId="2368A911">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18.1 具体评标事务由采购人依法组建的评标委员会负责。</w:t>
      </w:r>
    </w:p>
    <w:p w14:paraId="2D4557A9">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18.2 开标结束后，评标委员会</w:t>
      </w:r>
      <w:r>
        <w:rPr>
          <w:rFonts w:hint="eastAsia" w:ascii="宋体" w:hAnsi="宋体" w:cs="宋体"/>
          <w:color w:val="auto"/>
          <w:sz w:val="24"/>
          <w:szCs w:val="24"/>
          <w:highlight w:val="none"/>
        </w:rPr>
        <w:t>对投标人投标截止时间之前的信用情况进行查询并按照本须知“7、投标文件的组成”中“（3）资格证明文件”的要求依法对投标人的资格进行审查。</w:t>
      </w:r>
    </w:p>
    <w:p w14:paraId="4FBF052D">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18.3 评标委员会对符合资格的投标人的投标文件进行符合性审查，以确定其是否满足招标文件的实质性要求。</w:t>
      </w:r>
    </w:p>
    <w:p w14:paraId="3DE45DE3">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18.4</w:t>
      </w:r>
      <w:r>
        <w:rPr>
          <w:rFonts w:hint="eastAsia" w:ascii="宋体" w:hAnsi="宋体"/>
          <w:b/>
          <w:color w:val="auto"/>
          <w:sz w:val="24"/>
          <w:szCs w:val="24"/>
          <w:highlight w:val="none"/>
        </w:rPr>
        <w:t xml:space="preserve"> 澄清有关问题。</w:t>
      </w:r>
      <w:r>
        <w:rPr>
          <w:rFonts w:hint="eastAsia" w:ascii="宋体" w:hAnsi="宋体" w:cs="宋体"/>
          <w:color w:val="auto"/>
          <w:sz w:val="24"/>
          <w:szCs w:val="24"/>
          <w:highlight w:val="none"/>
        </w:rPr>
        <w:t>对投标文件中含义不明确、同类问题表述不一致或者有明显文字和计算错误的内容</w:t>
      </w:r>
      <w:r>
        <w:rPr>
          <w:rFonts w:hint="eastAsia" w:ascii="宋体" w:hAnsi="宋体"/>
          <w:bCs/>
          <w:color w:val="auto"/>
          <w:sz w:val="24"/>
          <w:szCs w:val="24"/>
          <w:highlight w:val="none"/>
        </w:rPr>
        <w:t>，</w:t>
      </w:r>
      <w:r>
        <w:rPr>
          <w:rFonts w:hint="eastAsia" w:ascii="宋体" w:hAnsi="宋体" w:cs="宋体"/>
          <w:color w:val="auto"/>
          <w:sz w:val="24"/>
          <w:szCs w:val="24"/>
          <w:highlight w:val="none"/>
        </w:rPr>
        <w:t>评标委员会应当以书面形式要求投标人作出必要的澄清、说明或者补正</w:t>
      </w:r>
      <w:r>
        <w:rPr>
          <w:rFonts w:hint="eastAsia" w:ascii="宋体" w:hAnsi="宋体"/>
          <w:bCs/>
          <w:color w:val="auto"/>
          <w:sz w:val="24"/>
          <w:szCs w:val="24"/>
          <w:highlight w:val="none"/>
        </w:rPr>
        <w:t>。</w:t>
      </w:r>
      <w:r>
        <w:rPr>
          <w:rFonts w:hint="eastAsia" w:ascii="宋体" w:hAnsi="宋体" w:cs="宋体"/>
          <w:color w:val="auto"/>
          <w:sz w:val="24"/>
          <w:szCs w:val="24"/>
          <w:highlight w:val="none"/>
        </w:rPr>
        <w:t>投标人的澄清、说明或者补正应当采用书面形式，并加盖公章，或者由法定代表人或其授权的代表签字。投标人的澄清、说明或者补正不得超出投标文件的范围或者改变投标文件的实质性内容。若</w:t>
      </w:r>
      <w:r>
        <w:rPr>
          <w:rFonts w:hint="eastAsia" w:ascii="宋体" w:hAnsi="宋体"/>
          <w:bCs/>
          <w:color w:val="auto"/>
          <w:sz w:val="24"/>
          <w:szCs w:val="24"/>
          <w:highlight w:val="none"/>
        </w:rPr>
        <w:t>对不同文字文本投标文件的解释发生异议的，以中文文本为准；正本与副本不符，以正本为准。</w:t>
      </w:r>
    </w:p>
    <w:p w14:paraId="33A2F0EE">
      <w:pPr>
        <w:spacing w:line="360" w:lineRule="auto"/>
        <w:ind w:firstLine="480" w:firstLineChars="200"/>
        <w:rPr>
          <w:rFonts w:ascii="宋体" w:hAnsi="宋体"/>
          <w:bCs/>
          <w:color w:val="auto"/>
          <w:sz w:val="24"/>
          <w:highlight w:val="none"/>
        </w:rPr>
      </w:pPr>
      <w:r>
        <w:rPr>
          <w:rFonts w:hint="eastAsia" w:ascii="宋体" w:hAnsi="宋体"/>
          <w:bCs/>
          <w:color w:val="auto"/>
          <w:sz w:val="24"/>
          <w:szCs w:val="24"/>
          <w:highlight w:val="none"/>
        </w:rPr>
        <w:t xml:space="preserve">18.5 </w:t>
      </w:r>
      <w:r>
        <w:rPr>
          <w:rFonts w:hint="eastAsia" w:ascii="宋体" w:hAnsi="宋体"/>
          <w:b/>
          <w:color w:val="auto"/>
          <w:sz w:val="24"/>
          <w:szCs w:val="24"/>
          <w:highlight w:val="none"/>
        </w:rPr>
        <w:t>比</w:t>
      </w:r>
      <w:r>
        <w:rPr>
          <w:rFonts w:hint="eastAsia" w:ascii="宋体" w:hAnsi="宋体"/>
          <w:b/>
          <w:color w:val="auto"/>
          <w:sz w:val="24"/>
          <w:highlight w:val="none"/>
        </w:rPr>
        <w:t>较与评价</w:t>
      </w:r>
      <w:r>
        <w:rPr>
          <w:rFonts w:hint="eastAsia" w:ascii="宋体" w:hAnsi="宋体"/>
          <w:bCs/>
          <w:color w:val="auto"/>
          <w:sz w:val="24"/>
          <w:highlight w:val="none"/>
        </w:rPr>
        <w:t>。</w:t>
      </w:r>
      <w:r>
        <w:rPr>
          <w:rFonts w:hint="eastAsia" w:ascii="宋体" w:hAnsi="宋体" w:cs="宋体"/>
          <w:color w:val="auto"/>
          <w:sz w:val="24"/>
          <w:szCs w:val="24"/>
          <w:highlight w:val="none"/>
        </w:rPr>
        <w:t>评标委员会应当按照招标文件中规定的评标方法和标准，对符合性审查合格的投标文件进行商务和技术评估，综合比较与评价。</w:t>
      </w:r>
    </w:p>
    <w:p w14:paraId="4AC6C092">
      <w:pPr>
        <w:tabs>
          <w:tab w:val="left" w:pos="945"/>
        </w:tabs>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18.</w:t>
      </w:r>
      <w:r>
        <w:rPr>
          <w:rFonts w:hint="eastAsia" w:ascii="宋体"/>
          <w:bCs/>
          <w:color w:val="auto"/>
          <w:sz w:val="24"/>
          <w:szCs w:val="24"/>
          <w:highlight w:val="none"/>
        </w:rPr>
        <w:t xml:space="preserve">6 </w:t>
      </w:r>
      <w:r>
        <w:rPr>
          <w:rFonts w:hint="eastAsia" w:ascii="宋体" w:hAnsi="宋体"/>
          <w:b/>
          <w:color w:val="auto"/>
          <w:sz w:val="24"/>
          <w:highlight w:val="none"/>
        </w:rPr>
        <w:t>评标方法和标准</w:t>
      </w:r>
      <w:r>
        <w:rPr>
          <w:rFonts w:hint="eastAsia" w:ascii="宋体" w:hAnsi="宋体"/>
          <w:bCs/>
          <w:color w:val="auto"/>
          <w:sz w:val="24"/>
          <w:highlight w:val="none"/>
        </w:rPr>
        <w:t>。本次招标采用综合评分法。</w:t>
      </w:r>
    </w:p>
    <w:p w14:paraId="726BE414">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lang w:val="zh-CN"/>
        </w:rPr>
        <w:t>（</w:t>
      </w:r>
      <w:r>
        <w:rPr>
          <w:rFonts w:hint="eastAsia" w:ascii="宋体" w:hAnsi="宋体"/>
          <w:bCs/>
          <w:color w:val="auto"/>
          <w:sz w:val="24"/>
          <w:szCs w:val="24"/>
          <w:highlight w:val="none"/>
        </w:rPr>
        <w:t>1</w:t>
      </w:r>
      <w:r>
        <w:rPr>
          <w:rFonts w:hint="eastAsia" w:ascii="宋体" w:hAnsi="宋体"/>
          <w:bCs/>
          <w:color w:val="auto"/>
          <w:sz w:val="24"/>
          <w:szCs w:val="24"/>
          <w:highlight w:val="none"/>
          <w:lang w:val="zh-CN"/>
        </w:rPr>
        <w:t>）评标委员会在资格性检查、符合性检查的基础上，按照招标文件确定的评分标准分别评定投标人的分值，各投标人的最终得分为各评委所评定分值的平均值,并按由高到低顺序排列，推荐三名中标候选人。</w:t>
      </w:r>
    </w:p>
    <w:p w14:paraId="10CF9B6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zh-CN"/>
        </w:rPr>
        <w:t>若得分相同，按投标报价由低到高顺序排列；若得分且投标报价相同的，则抽签决定顺序排列。</w:t>
      </w:r>
    </w:p>
    <w:p w14:paraId="7FE057CF">
      <w:pPr>
        <w:tabs>
          <w:tab w:val="left" w:pos="945"/>
        </w:tabs>
        <w:spacing w:line="360" w:lineRule="auto"/>
        <w:ind w:left="420" w:leftChars="200"/>
        <w:rPr>
          <w:rFonts w:ascii="宋体" w:hAnsi="宋体"/>
          <w:bCs/>
          <w:color w:val="auto"/>
          <w:sz w:val="24"/>
          <w:highlight w:val="none"/>
        </w:rPr>
      </w:pPr>
      <w:r>
        <w:rPr>
          <w:rFonts w:hint="eastAsia" w:ascii="宋体" w:hAnsi="宋体"/>
          <w:bCs/>
          <w:color w:val="auto"/>
          <w:sz w:val="24"/>
          <w:highlight w:val="none"/>
        </w:rPr>
        <w:t>（2）投标文件报价出现前后不一致的，除招标文件另有规定外，按照下列规定修正：</w:t>
      </w:r>
    </w:p>
    <w:p w14:paraId="541E2E73">
      <w:pPr>
        <w:numPr>
          <w:ilvl w:val="0"/>
          <w:numId w:val="6"/>
        </w:numPr>
        <w:tabs>
          <w:tab w:val="left" w:pos="945"/>
        </w:tabs>
        <w:spacing w:line="360" w:lineRule="auto"/>
        <w:ind w:firstLine="638" w:firstLineChars="266"/>
        <w:rPr>
          <w:rFonts w:ascii="宋体" w:hAnsi="宋体"/>
          <w:bCs/>
          <w:color w:val="auto"/>
          <w:sz w:val="24"/>
          <w:highlight w:val="none"/>
        </w:rPr>
      </w:pPr>
      <w:r>
        <w:rPr>
          <w:rFonts w:hint="eastAsia" w:ascii="宋体" w:hAnsi="宋体"/>
          <w:bCs/>
          <w:color w:val="auto"/>
          <w:sz w:val="24"/>
          <w:highlight w:val="none"/>
        </w:rPr>
        <w:t>投标文件中开标一览表内容与投标文件中相应内容不一致的，以开标一览表为准；</w:t>
      </w:r>
    </w:p>
    <w:p w14:paraId="2EDAFC87">
      <w:pPr>
        <w:numPr>
          <w:ilvl w:val="0"/>
          <w:numId w:val="6"/>
        </w:numPr>
        <w:tabs>
          <w:tab w:val="left" w:pos="945"/>
        </w:tabs>
        <w:spacing w:line="360" w:lineRule="auto"/>
        <w:ind w:firstLine="638" w:firstLineChars="266"/>
        <w:rPr>
          <w:rFonts w:ascii="宋体" w:hAnsi="宋体"/>
          <w:bCs/>
          <w:color w:val="auto"/>
          <w:sz w:val="24"/>
          <w:highlight w:val="none"/>
        </w:rPr>
      </w:pPr>
      <w:r>
        <w:rPr>
          <w:rFonts w:hint="eastAsia" w:ascii="宋体" w:hAnsi="宋体"/>
          <w:bCs/>
          <w:color w:val="auto"/>
          <w:sz w:val="24"/>
          <w:highlight w:val="none"/>
        </w:rPr>
        <w:t>大写金额和小写金额不一致的，以大写金额为准；</w:t>
      </w:r>
    </w:p>
    <w:p w14:paraId="2FE820AA">
      <w:pPr>
        <w:numPr>
          <w:ilvl w:val="0"/>
          <w:numId w:val="6"/>
        </w:numPr>
        <w:tabs>
          <w:tab w:val="left" w:pos="945"/>
        </w:tabs>
        <w:spacing w:line="360" w:lineRule="auto"/>
        <w:ind w:firstLine="638" w:firstLineChars="266"/>
        <w:rPr>
          <w:rFonts w:ascii="宋体" w:hAnsi="宋体"/>
          <w:bCs/>
          <w:color w:val="auto"/>
          <w:sz w:val="24"/>
          <w:highlight w:val="none"/>
        </w:rPr>
      </w:pPr>
      <w:r>
        <w:rPr>
          <w:rFonts w:hint="eastAsia" w:ascii="宋体" w:hAnsi="宋体"/>
          <w:bCs/>
          <w:color w:val="auto"/>
          <w:sz w:val="24"/>
          <w:highlight w:val="none"/>
        </w:rPr>
        <w:t>单价金额小数点或者百分比有明显错位的，以开标一览表的总价为准，并修改单价；</w:t>
      </w:r>
    </w:p>
    <w:p w14:paraId="6C52DA26">
      <w:pPr>
        <w:numPr>
          <w:ilvl w:val="0"/>
          <w:numId w:val="6"/>
        </w:numPr>
        <w:tabs>
          <w:tab w:val="left" w:pos="945"/>
        </w:tabs>
        <w:spacing w:line="360" w:lineRule="auto"/>
        <w:ind w:firstLine="638" w:firstLineChars="266"/>
        <w:rPr>
          <w:rFonts w:ascii="宋体" w:hAnsi="宋体"/>
          <w:bCs/>
          <w:color w:val="auto"/>
          <w:sz w:val="24"/>
          <w:highlight w:val="none"/>
        </w:rPr>
      </w:pPr>
      <w:r>
        <w:rPr>
          <w:rFonts w:hint="eastAsia" w:ascii="宋体" w:hAnsi="宋体"/>
          <w:bCs/>
          <w:color w:val="auto"/>
          <w:sz w:val="24"/>
          <w:highlight w:val="none"/>
        </w:rPr>
        <w:t>总价金额与按单价汇总金额不一致的，以单价金额计算结果为准。</w:t>
      </w:r>
    </w:p>
    <w:p w14:paraId="4E396DD5">
      <w:pPr>
        <w:tabs>
          <w:tab w:val="left" w:pos="945"/>
        </w:tabs>
        <w:spacing w:line="360" w:lineRule="auto"/>
        <w:ind w:firstLine="420" w:firstLineChars="175"/>
        <w:rPr>
          <w:rFonts w:ascii="宋体" w:hAnsi="宋体"/>
          <w:bCs/>
          <w:color w:val="auto"/>
          <w:sz w:val="24"/>
          <w:highlight w:val="none"/>
        </w:rPr>
      </w:pPr>
      <w:r>
        <w:rPr>
          <w:rFonts w:hint="eastAsia" w:ascii="宋体" w:hAnsi="宋体"/>
          <w:bCs/>
          <w:color w:val="auto"/>
          <w:sz w:val="24"/>
          <w:highlight w:val="none"/>
        </w:rPr>
        <w:t>注：同时出现两种以上不一致的，按照前款规定的顺序修正。修正后的报价须</w:t>
      </w:r>
      <w:r>
        <w:rPr>
          <w:rFonts w:hint="eastAsia" w:ascii="宋体" w:hAnsi="宋体" w:cs="宋体"/>
          <w:color w:val="auto"/>
          <w:sz w:val="24"/>
          <w:szCs w:val="24"/>
          <w:highlight w:val="none"/>
        </w:rPr>
        <w:t>加盖投标人公章，或由法定代表人或其授权的代表签字。</w:t>
      </w:r>
      <w:r>
        <w:rPr>
          <w:rFonts w:hint="eastAsia" w:ascii="宋体" w:hAnsi="宋体"/>
          <w:bCs/>
          <w:color w:val="auto"/>
          <w:sz w:val="24"/>
          <w:highlight w:val="none"/>
        </w:rPr>
        <w:t>投标人不确认的，其投标无效。</w:t>
      </w:r>
    </w:p>
    <w:p w14:paraId="6E6D5709">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highlight w:val="none"/>
        </w:rPr>
        <w:t xml:space="preserve">18.7 </w:t>
      </w:r>
      <w:r>
        <w:rPr>
          <w:rFonts w:hint="eastAsia" w:ascii="宋体" w:hAnsi="宋体"/>
          <w:bCs/>
          <w:color w:val="auto"/>
          <w:sz w:val="24"/>
          <w:szCs w:val="24"/>
          <w:highlight w:val="none"/>
          <w:lang w:val="zh-CN"/>
        </w:rPr>
        <w:t>评标委员会根据评审结果，完成评审报告的制作。</w:t>
      </w:r>
    </w:p>
    <w:p w14:paraId="3396751E">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highlight w:val="none"/>
        </w:rPr>
        <w:t>18.8 采购人或</w:t>
      </w:r>
      <w:r>
        <w:rPr>
          <w:rFonts w:hint="eastAsia" w:ascii="宋体" w:hAnsi="宋体"/>
          <w:bCs/>
          <w:color w:val="auto"/>
          <w:sz w:val="24"/>
          <w:szCs w:val="24"/>
          <w:highlight w:val="none"/>
          <w:lang w:val="zh-CN"/>
        </w:rPr>
        <w:t>采购代理机构</w:t>
      </w:r>
      <w:r>
        <w:rPr>
          <w:rFonts w:hint="eastAsia" w:ascii="宋体" w:hAnsi="宋体"/>
          <w:bCs/>
          <w:color w:val="auto"/>
          <w:sz w:val="24"/>
          <w:highlight w:val="none"/>
        </w:rPr>
        <w:t>宣读</w:t>
      </w:r>
      <w:r>
        <w:rPr>
          <w:rFonts w:hint="eastAsia" w:ascii="宋体" w:hAnsi="宋体"/>
          <w:bCs/>
          <w:color w:val="auto"/>
          <w:sz w:val="24"/>
          <w:szCs w:val="24"/>
          <w:highlight w:val="none"/>
          <w:lang w:val="zh-CN"/>
        </w:rPr>
        <w:t>评标委员会初步评审意见。</w:t>
      </w:r>
    </w:p>
    <w:bookmarkEnd w:id="19"/>
    <w:p w14:paraId="38B10138">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19、定标</w:t>
      </w:r>
    </w:p>
    <w:p w14:paraId="10DF6451">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19.1</w:t>
      </w:r>
      <w:r>
        <w:rPr>
          <w:rFonts w:hint="eastAsia" w:ascii="宋体" w:hAnsi="宋体"/>
          <w:bCs/>
          <w:color w:val="auto"/>
          <w:sz w:val="24"/>
          <w:szCs w:val="24"/>
          <w:highlight w:val="none"/>
          <w:lang w:val="zh-CN"/>
        </w:rPr>
        <w:t>评审结束后，由采购人根据评审报告推荐的中标候选人中确定中标人。</w:t>
      </w:r>
    </w:p>
    <w:p w14:paraId="26D62041">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 xml:space="preserve">19.2 </w:t>
      </w:r>
      <w:r>
        <w:rPr>
          <w:rFonts w:hint="eastAsia" w:ascii="宋体" w:hAnsi="宋体"/>
          <w:bCs/>
          <w:color w:val="auto"/>
          <w:sz w:val="24"/>
          <w:szCs w:val="24"/>
          <w:highlight w:val="none"/>
          <w:lang w:val="zh-CN"/>
        </w:rPr>
        <w:t>采购人和采购代理机构向中标人发出中标通知书。</w:t>
      </w:r>
    </w:p>
    <w:p w14:paraId="506D0ECE">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20、投标截止后投标人不足3家，除采购任务取消情形外，按照以下方式处理：</w:t>
      </w:r>
    </w:p>
    <w:p w14:paraId="4462800A">
      <w:pPr>
        <w:numPr>
          <w:ilvl w:val="0"/>
          <w:numId w:val="7"/>
        </w:numPr>
        <w:spacing w:line="360" w:lineRule="auto"/>
        <w:rPr>
          <w:rFonts w:ascii="宋体" w:hAnsi="宋体"/>
          <w:bCs/>
          <w:color w:val="auto"/>
          <w:sz w:val="24"/>
          <w:szCs w:val="24"/>
          <w:highlight w:val="none"/>
        </w:rPr>
      </w:pPr>
      <w:r>
        <w:rPr>
          <w:rFonts w:hint="eastAsia" w:ascii="宋体" w:hAnsi="宋体"/>
          <w:bCs/>
          <w:color w:val="auto"/>
          <w:sz w:val="24"/>
          <w:szCs w:val="24"/>
          <w:highlight w:val="none"/>
        </w:rPr>
        <w:t>招标文件存在不合理条款或者招标程序不符合规定的，采购人、采购代理机构改正后依法重新招标；</w:t>
      </w:r>
    </w:p>
    <w:p w14:paraId="2184BAAE">
      <w:pPr>
        <w:numPr>
          <w:ilvl w:val="0"/>
          <w:numId w:val="7"/>
        </w:numPr>
        <w:spacing w:line="360" w:lineRule="auto"/>
        <w:rPr>
          <w:rFonts w:ascii="宋体" w:hAnsi="宋体"/>
          <w:bCs/>
          <w:color w:val="auto"/>
          <w:sz w:val="24"/>
          <w:szCs w:val="24"/>
          <w:highlight w:val="none"/>
          <w:lang w:val="zh-CN"/>
        </w:rPr>
      </w:pPr>
      <w:r>
        <w:rPr>
          <w:rFonts w:hint="eastAsia" w:ascii="宋体" w:hAnsi="宋体"/>
          <w:bCs/>
          <w:color w:val="auto"/>
          <w:sz w:val="24"/>
          <w:szCs w:val="24"/>
          <w:highlight w:val="none"/>
        </w:rPr>
        <w:t>招标文件没有不合理条款、招标程序符合规定，需要采用其他采购方式采购的，由采购人决定是否需要采用其他采购方式采购。</w:t>
      </w:r>
    </w:p>
    <w:p w14:paraId="0A803E64">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21、废标的确认</w:t>
      </w:r>
    </w:p>
    <w:p w14:paraId="69656251">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21.1 有下列情形之一的予以废标，同时由</w:t>
      </w:r>
      <w:r>
        <w:rPr>
          <w:rFonts w:hint="eastAsia" w:ascii="宋体" w:hAnsi="宋体"/>
          <w:bCs/>
          <w:color w:val="auto"/>
          <w:sz w:val="24"/>
          <w:highlight w:val="none"/>
        </w:rPr>
        <w:t>采购人或</w:t>
      </w:r>
      <w:r>
        <w:rPr>
          <w:rFonts w:hint="eastAsia" w:ascii="宋体" w:hAnsi="宋体"/>
          <w:bCs/>
          <w:color w:val="auto"/>
          <w:sz w:val="24"/>
          <w:szCs w:val="24"/>
          <w:highlight w:val="none"/>
          <w:lang w:val="zh-CN"/>
        </w:rPr>
        <w:t>采购机构</w:t>
      </w:r>
      <w:r>
        <w:rPr>
          <w:rFonts w:hint="eastAsia" w:ascii="宋体" w:hAnsi="宋体"/>
          <w:bCs/>
          <w:color w:val="auto"/>
          <w:sz w:val="24"/>
          <w:szCs w:val="24"/>
          <w:highlight w:val="none"/>
        </w:rPr>
        <w:t>将废标理由通知所有投标人：</w:t>
      </w:r>
    </w:p>
    <w:p w14:paraId="04F3A0D6">
      <w:pPr>
        <w:numPr>
          <w:ilvl w:val="0"/>
          <w:numId w:val="8"/>
        </w:numPr>
        <w:spacing w:line="360" w:lineRule="auto"/>
        <w:rPr>
          <w:rFonts w:ascii="宋体" w:hAnsi="宋体"/>
          <w:bCs/>
          <w:color w:val="auto"/>
          <w:sz w:val="24"/>
          <w:szCs w:val="24"/>
          <w:highlight w:val="none"/>
          <w:lang w:val="zh-CN"/>
        </w:rPr>
      </w:pPr>
      <w:r>
        <w:rPr>
          <w:rFonts w:hint="eastAsia" w:ascii="宋体" w:hAnsi="宋体"/>
          <w:bCs/>
          <w:color w:val="auto"/>
          <w:sz w:val="24"/>
          <w:szCs w:val="24"/>
          <w:highlight w:val="none"/>
          <w:lang w:val="zh-CN"/>
        </w:rPr>
        <w:t>符合专业条件的投标人或者对招标文件作出实质性响应的投标人不足</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家，且未采用其他采购方式的；</w:t>
      </w:r>
    </w:p>
    <w:p w14:paraId="6E0D7BF4">
      <w:pPr>
        <w:numPr>
          <w:ilvl w:val="0"/>
          <w:numId w:val="8"/>
        </w:numPr>
        <w:spacing w:line="360" w:lineRule="auto"/>
        <w:rPr>
          <w:rFonts w:ascii="宋体" w:hAnsi="宋体"/>
          <w:bCs/>
          <w:color w:val="auto"/>
          <w:sz w:val="24"/>
          <w:szCs w:val="24"/>
          <w:highlight w:val="none"/>
          <w:lang w:val="zh-CN"/>
        </w:rPr>
      </w:pPr>
      <w:r>
        <w:rPr>
          <w:rFonts w:hint="eastAsia" w:ascii="宋体" w:hAnsi="宋体"/>
          <w:bCs/>
          <w:color w:val="auto"/>
          <w:sz w:val="24"/>
          <w:szCs w:val="24"/>
          <w:highlight w:val="none"/>
          <w:lang w:val="zh-CN"/>
        </w:rPr>
        <w:t>出现影响采购公正的违法、违规行为；</w:t>
      </w:r>
    </w:p>
    <w:p w14:paraId="749DC381">
      <w:pPr>
        <w:numPr>
          <w:ilvl w:val="0"/>
          <w:numId w:val="8"/>
        </w:numPr>
        <w:spacing w:line="360" w:lineRule="auto"/>
        <w:rPr>
          <w:rFonts w:ascii="宋体" w:hAnsi="宋体"/>
          <w:bCs/>
          <w:color w:val="auto"/>
          <w:sz w:val="24"/>
          <w:szCs w:val="24"/>
          <w:highlight w:val="none"/>
          <w:lang w:val="zh-CN"/>
        </w:rPr>
      </w:pPr>
      <w:r>
        <w:rPr>
          <w:rFonts w:hint="eastAsia" w:ascii="宋体" w:hAnsi="宋体"/>
          <w:bCs/>
          <w:color w:val="auto"/>
          <w:sz w:val="24"/>
          <w:szCs w:val="24"/>
          <w:highlight w:val="none"/>
          <w:lang w:val="zh-CN"/>
        </w:rPr>
        <w:t>投标人的报价均超过采购预算，采购人不能支付；</w:t>
      </w:r>
    </w:p>
    <w:p w14:paraId="6CEE120D">
      <w:pPr>
        <w:numPr>
          <w:ilvl w:val="0"/>
          <w:numId w:val="8"/>
        </w:numPr>
        <w:spacing w:line="360" w:lineRule="auto"/>
        <w:rPr>
          <w:rFonts w:ascii="宋体" w:hAnsi="宋体"/>
          <w:bCs/>
          <w:color w:val="auto"/>
          <w:sz w:val="24"/>
          <w:szCs w:val="24"/>
          <w:highlight w:val="none"/>
          <w:lang w:val="zh-CN"/>
        </w:rPr>
      </w:pPr>
      <w:r>
        <w:rPr>
          <w:rFonts w:hint="eastAsia" w:ascii="宋体" w:hAnsi="宋体"/>
          <w:bCs/>
          <w:color w:val="auto"/>
          <w:sz w:val="24"/>
          <w:szCs w:val="24"/>
          <w:highlight w:val="none"/>
          <w:lang w:val="zh-CN"/>
        </w:rPr>
        <w:t>因重大变故，采购任务取消。</w:t>
      </w:r>
    </w:p>
    <w:p w14:paraId="59880FBE">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22、投标保证金</w:t>
      </w:r>
    </w:p>
    <w:p w14:paraId="6BBA76C9">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 xml:space="preserve">22.1 </w:t>
      </w:r>
      <w:r>
        <w:rPr>
          <w:rFonts w:hint="eastAsia" w:ascii="宋体" w:hAnsi="宋体"/>
          <w:bCs/>
          <w:color w:val="auto"/>
          <w:sz w:val="24"/>
          <w:szCs w:val="24"/>
          <w:highlight w:val="none"/>
          <w:lang w:val="zh-CN"/>
        </w:rPr>
        <w:t>投标保证金应按照投标邀请规定的数额和办法交纳。</w:t>
      </w:r>
    </w:p>
    <w:p w14:paraId="11F660E7">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22.</w:t>
      </w:r>
      <w:r>
        <w:rPr>
          <w:rFonts w:ascii="宋体" w:hAnsi="宋体"/>
          <w:bCs/>
          <w:color w:val="auto"/>
          <w:sz w:val="24"/>
          <w:szCs w:val="24"/>
          <w:highlight w:val="none"/>
        </w:rPr>
        <w:t>2</w:t>
      </w:r>
      <w:r>
        <w:rPr>
          <w:rFonts w:hint="eastAsia" w:ascii="宋体" w:hAnsi="宋体"/>
          <w:bCs/>
          <w:color w:val="auto"/>
          <w:sz w:val="24"/>
          <w:szCs w:val="24"/>
          <w:highlight w:val="none"/>
        </w:rPr>
        <w:t>招标活动结束后，</w:t>
      </w:r>
      <w:r>
        <w:rPr>
          <w:rFonts w:hint="eastAsia" w:ascii="宋体" w:hAnsi="宋体"/>
          <w:bCs/>
          <w:color w:val="auto"/>
          <w:sz w:val="24"/>
          <w:szCs w:val="24"/>
          <w:highlight w:val="none"/>
          <w:lang w:eastAsia="zh-CN"/>
        </w:rPr>
        <w:t>中标人</w:t>
      </w:r>
      <w:r>
        <w:rPr>
          <w:rFonts w:hint="eastAsia" w:ascii="宋体" w:hAnsi="宋体"/>
          <w:bCs/>
          <w:color w:val="auto"/>
          <w:sz w:val="24"/>
          <w:szCs w:val="24"/>
          <w:highlight w:val="none"/>
        </w:rPr>
        <w:t>的投标保证金在合同签订后的五个工作日内无息退还；中标通知书发出后5个工作日内退还未</w:t>
      </w:r>
      <w:r>
        <w:rPr>
          <w:rFonts w:hint="eastAsia" w:ascii="宋体" w:hAnsi="宋体"/>
          <w:bCs/>
          <w:color w:val="auto"/>
          <w:sz w:val="24"/>
          <w:szCs w:val="24"/>
          <w:highlight w:val="none"/>
          <w:lang w:eastAsia="zh-CN"/>
        </w:rPr>
        <w:t>中标人</w:t>
      </w:r>
      <w:r>
        <w:rPr>
          <w:rFonts w:hint="eastAsia" w:ascii="宋体" w:hAnsi="宋体"/>
          <w:bCs/>
          <w:color w:val="auto"/>
          <w:sz w:val="24"/>
          <w:szCs w:val="24"/>
          <w:highlight w:val="none"/>
        </w:rPr>
        <w:t>的投标保证金，不计利息。</w:t>
      </w:r>
    </w:p>
    <w:p w14:paraId="1B5641BB">
      <w:pPr>
        <w:spacing w:line="360" w:lineRule="auto"/>
        <w:ind w:firstLine="480" w:firstLineChars="200"/>
        <w:rPr>
          <w:rFonts w:ascii="宋体" w:hAnsi="宋体"/>
          <w:b/>
          <w:color w:val="auto"/>
          <w:sz w:val="24"/>
          <w:szCs w:val="24"/>
          <w:highlight w:val="none"/>
          <w:lang w:val="zh-CN"/>
        </w:rPr>
      </w:pPr>
      <w:r>
        <w:rPr>
          <w:rFonts w:hint="eastAsia" w:ascii="宋体" w:hAnsi="宋体"/>
          <w:bCs/>
          <w:color w:val="auto"/>
          <w:sz w:val="24"/>
          <w:szCs w:val="24"/>
          <w:highlight w:val="none"/>
          <w:lang w:val="zh-CN"/>
        </w:rPr>
        <w:t>退还投标保证金的手续，由投标人自行与</w:t>
      </w:r>
      <w:r>
        <w:rPr>
          <w:rFonts w:hint="eastAsia" w:ascii="宋体" w:hAnsi="宋体"/>
          <w:bCs/>
          <w:color w:val="auto"/>
          <w:sz w:val="24"/>
          <w:szCs w:val="21"/>
          <w:highlight w:val="none"/>
        </w:rPr>
        <w:t>宜兴市公用环保集团有限公司</w:t>
      </w:r>
      <w:r>
        <w:rPr>
          <w:rFonts w:hint="eastAsia" w:ascii="宋体" w:hAnsi="宋体"/>
          <w:bCs/>
          <w:color w:val="auto"/>
          <w:sz w:val="24"/>
          <w:szCs w:val="24"/>
          <w:highlight w:val="none"/>
          <w:lang w:val="zh-CN"/>
        </w:rPr>
        <w:t>联系办理退还事宜。</w:t>
      </w:r>
    </w:p>
    <w:p w14:paraId="0C6576FC">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22.</w:t>
      </w:r>
      <w:r>
        <w:rPr>
          <w:rFonts w:ascii="宋体" w:hAnsi="宋体"/>
          <w:bCs/>
          <w:color w:val="auto"/>
          <w:sz w:val="24"/>
          <w:szCs w:val="24"/>
          <w:highlight w:val="none"/>
        </w:rPr>
        <w:t>3</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投标人有下列情形之一的，其交纳的投标保证金不予退还：</w:t>
      </w:r>
    </w:p>
    <w:p w14:paraId="0BC854C3">
      <w:pPr>
        <w:numPr>
          <w:ilvl w:val="0"/>
          <w:numId w:val="9"/>
        </w:numPr>
        <w:spacing w:line="360" w:lineRule="auto"/>
        <w:rPr>
          <w:rFonts w:ascii="宋体" w:hAnsi="宋体"/>
          <w:bCs/>
          <w:color w:val="auto"/>
          <w:sz w:val="24"/>
          <w:szCs w:val="24"/>
          <w:highlight w:val="none"/>
          <w:lang w:val="zh-CN"/>
        </w:rPr>
      </w:pPr>
      <w:r>
        <w:rPr>
          <w:rFonts w:hint="eastAsia" w:ascii="宋体" w:hAnsi="宋体"/>
          <w:bCs/>
          <w:color w:val="auto"/>
          <w:sz w:val="24"/>
          <w:szCs w:val="24"/>
          <w:highlight w:val="none"/>
          <w:lang w:val="zh-CN"/>
        </w:rPr>
        <w:t>在提交投标文件截止时间后撤回投标文件的；</w:t>
      </w:r>
    </w:p>
    <w:p w14:paraId="7CA56767">
      <w:pPr>
        <w:numPr>
          <w:ilvl w:val="0"/>
          <w:numId w:val="9"/>
        </w:numPr>
        <w:spacing w:line="360" w:lineRule="auto"/>
        <w:rPr>
          <w:rFonts w:ascii="宋体" w:hAnsi="宋体"/>
          <w:bCs/>
          <w:color w:val="auto"/>
          <w:sz w:val="24"/>
          <w:szCs w:val="24"/>
          <w:highlight w:val="none"/>
          <w:lang w:val="zh-CN"/>
        </w:rPr>
      </w:pPr>
      <w:r>
        <w:rPr>
          <w:rFonts w:hint="eastAsia" w:ascii="宋体" w:hAnsi="宋体"/>
          <w:bCs/>
          <w:color w:val="auto"/>
          <w:sz w:val="24"/>
          <w:szCs w:val="24"/>
          <w:highlight w:val="none"/>
          <w:lang w:val="zh-CN"/>
        </w:rPr>
        <w:t>在投标文件中提供虚假材料的；</w:t>
      </w:r>
    </w:p>
    <w:p w14:paraId="0ED30E41">
      <w:pPr>
        <w:numPr>
          <w:ilvl w:val="0"/>
          <w:numId w:val="9"/>
        </w:numPr>
        <w:spacing w:line="360" w:lineRule="auto"/>
        <w:rPr>
          <w:rFonts w:ascii="宋体" w:hAnsi="宋体"/>
          <w:bCs/>
          <w:color w:val="auto"/>
          <w:sz w:val="24"/>
          <w:szCs w:val="24"/>
          <w:highlight w:val="none"/>
          <w:lang w:val="zh-CN"/>
        </w:rPr>
      </w:pPr>
      <w:r>
        <w:rPr>
          <w:rFonts w:hint="eastAsia" w:ascii="宋体" w:hAnsi="宋体"/>
          <w:bCs/>
          <w:color w:val="auto"/>
          <w:sz w:val="24"/>
          <w:szCs w:val="24"/>
          <w:highlight w:val="none"/>
          <w:lang w:val="zh-CN"/>
        </w:rPr>
        <w:t>除因不可抗力或招标文件认可的情形以外，中标人不与采购人签订合同的；</w:t>
      </w:r>
    </w:p>
    <w:p w14:paraId="5D82A3C3">
      <w:pPr>
        <w:numPr>
          <w:ilvl w:val="0"/>
          <w:numId w:val="9"/>
        </w:numPr>
        <w:spacing w:line="360" w:lineRule="auto"/>
        <w:rPr>
          <w:rFonts w:ascii="宋体" w:hAnsi="宋体"/>
          <w:bCs/>
          <w:color w:val="auto"/>
          <w:sz w:val="24"/>
          <w:szCs w:val="24"/>
          <w:highlight w:val="none"/>
          <w:lang w:val="zh-CN"/>
        </w:rPr>
      </w:pPr>
      <w:r>
        <w:rPr>
          <w:rFonts w:hint="eastAsia" w:ascii="宋体" w:hAnsi="宋体"/>
          <w:bCs/>
          <w:color w:val="auto"/>
          <w:sz w:val="24"/>
          <w:szCs w:val="24"/>
          <w:highlight w:val="none"/>
          <w:lang w:val="zh-CN"/>
        </w:rPr>
        <w:t>与采购人、其他投标人或者采购代理机构恶意串通的；</w:t>
      </w:r>
    </w:p>
    <w:p w14:paraId="66B8AF39">
      <w:pPr>
        <w:numPr>
          <w:ilvl w:val="0"/>
          <w:numId w:val="9"/>
        </w:numPr>
        <w:spacing w:line="360" w:lineRule="auto"/>
        <w:rPr>
          <w:rFonts w:ascii="宋体" w:hAnsi="宋体"/>
          <w:bCs/>
          <w:color w:val="auto"/>
          <w:sz w:val="24"/>
          <w:szCs w:val="24"/>
          <w:highlight w:val="none"/>
          <w:lang w:val="zh-CN"/>
        </w:rPr>
      </w:pPr>
      <w:r>
        <w:rPr>
          <w:rFonts w:hint="eastAsia" w:ascii="宋体" w:hAnsi="宋体"/>
          <w:bCs/>
          <w:color w:val="auto"/>
          <w:sz w:val="24"/>
          <w:szCs w:val="24"/>
          <w:highlight w:val="none"/>
          <w:lang w:val="zh-CN"/>
        </w:rPr>
        <w:t>招标文件规定的其他情形。</w:t>
      </w:r>
    </w:p>
    <w:p w14:paraId="3DF652C1">
      <w:pPr>
        <w:numPr>
          <w:ilvl w:val="0"/>
          <w:numId w:val="10"/>
        </w:numPr>
        <w:spacing w:line="360" w:lineRule="auto"/>
        <w:rPr>
          <w:rFonts w:ascii="宋体" w:hAnsi="宋体"/>
          <w:b/>
          <w:color w:val="auto"/>
          <w:sz w:val="24"/>
          <w:szCs w:val="24"/>
          <w:highlight w:val="none"/>
        </w:rPr>
      </w:pPr>
      <w:r>
        <w:rPr>
          <w:rFonts w:hint="eastAsia" w:ascii="宋体" w:hAnsi="宋体"/>
          <w:b/>
          <w:color w:val="auto"/>
          <w:sz w:val="24"/>
          <w:szCs w:val="24"/>
          <w:highlight w:val="none"/>
        </w:rPr>
        <w:t>签订合同</w:t>
      </w:r>
    </w:p>
    <w:p w14:paraId="32D47FF8">
      <w:pPr>
        <w:numPr>
          <w:ilvl w:val="0"/>
          <w:numId w:val="11"/>
        </w:numPr>
        <w:spacing w:line="360" w:lineRule="auto"/>
        <w:rPr>
          <w:rFonts w:ascii="宋体" w:hAnsi="宋体"/>
          <w:b/>
          <w:bCs/>
          <w:color w:val="auto"/>
          <w:sz w:val="24"/>
          <w:szCs w:val="24"/>
          <w:highlight w:val="none"/>
        </w:rPr>
      </w:pPr>
      <w:r>
        <w:rPr>
          <w:rFonts w:hint="eastAsia" w:ascii="宋体" w:hAnsi="宋体"/>
          <w:b/>
          <w:bCs/>
          <w:color w:val="auto"/>
          <w:sz w:val="24"/>
          <w:szCs w:val="24"/>
          <w:highlight w:val="none"/>
        </w:rPr>
        <w:t>签订合同</w:t>
      </w:r>
    </w:p>
    <w:p w14:paraId="06685470">
      <w:pPr>
        <w:spacing w:line="360" w:lineRule="auto"/>
        <w:ind w:firstLine="472" w:firstLineChars="197"/>
        <w:rPr>
          <w:rFonts w:ascii="宋体" w:hAnsi="宋体"/>
          <w:b/>
          <w:bCs/>
          <w:color w:val="auto"/>
          <w:sz w:val="24"/>
          <w:szCs w:val="24"/>
          <w:highlight w:val="none"/>
        </w:rPr>
      </w:pPr>
      <w:r>
        <w:rPr>
          <w:rFonts w:hint="eastAsia" w:ascii="宋体" w:hAnsi="宋体"/>
          <w:bCs/>
          <w:color w:val="auto"/>
          <w:sz w:val="24"/>
          <w:szCs w:val="24"/>
          <w:highlight w:val="none"/>
        </w:rPr>
        <w:t xml:space="preserve">23.1 </w:t>
      </w:r>
      <w:r>
        <w:rPr>
          <w:rFonts w:hint="eastAsia" w:ascii="宋体" w:hAnsi="宋体"/>
          <w:bCs/>
          <w:color w:val="auto"/>
          <w:sz w:val="24"/>
          <w:szCs w:val="24"/>
          <w:highlight w:val="none"/>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14:paraId="36794809">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 xml:space="preserve">23.2 </w:t>
      </w:r>
      <w:r>
        <w:rPr>
          <w:rFonts w:hint="eastAsia" w:ascii="宋体" w:hAnsi="宋体"/>
          <w:bCs/>
          <w:color w:val="auto"/>
          <w:sz w:val="24"/>
          <w:szCs w:val="24"/>
          <w:highlight w:val="none"/>
          <w:lang w:val="zh-CN"/>
        </w:rPr>
        <w:t>中标人应于中标公告发布之日起7日内，办理签订合同前的相关手续;并于中标通知书发出之日起</w:t>
      </w:r>
      <w:r>
        <w:rPr>
          <w:rFonts w:hint="eastAsia" w:ascii="宋体" w:hAnsi="宋体"/>
          <w:bCs/>
          <w:color w:val="auto"/>
          <w:sz w:val="24"/>
          <w:szCs w:val="24"/>
          <w:highlight w:val="none"/>
        </w:rPr>
        <w:t>30</w:t>
      </w:r>
      <w:r>
        <w:rPr>
          <w:rFonts w:hint="eastAsia" w:ascii="宋体" w:hAnsi="宋体"/>
          <w:bCs/>
          <w:color w:val="auto"/>
          <w:sz w:val="24"/>
          <w:szCs w:val="24"/>
          <w:highlight w:val="none"/>
          <w:lang w:val="zh-CN"/>
        </w:rPr>
        <w:t>日内，按照招标文件确定的事项与采购人签订合同。</w:t>
      </w:r>
    </w:p>
    <w:p w14:paraId="57FDD071">
      <w:pPr>
        <w:spacing w:line="360" w:lineRule="auto"/>
        <w:ind w:left="420"/>
        <w:rPr>
          <w:rFonts w:ascii="宋体" w:hAnsi="宋体"/>
          <w:bCs/>
          <w:color w:val="auto"/>
          <w:sz w:val="24"/>
          <w:szCs w:val="24"/>
          <w:highlight w:val="none"/>
          <w:lang w:val="zh-CN"/>
        </w:rPr>
      </w:pPr>
      <w:r>
        <w:rPr>
          <w:rFonts w:hint="eastAsia" w:ascii="宋体" w:hAnsi="宋体"/>
          <w:bCs/>
          <w:color w:val="auto"/>
          <w:sz w:val="24"/>
          <w:szCs w:val="24"/>
          <w:highlight w:val="none"/>
          <w:lang w:val="zh-CN"/>
        </w:rPr>
        <w:t>中标人如逾期不办理相关手续、签订合同，采购人将不予退还其投标保证金。</w:t>
      </w:r>
    </w:p>
    <w:p w14:paraId="052B2BAB">
      <w:pPr>
        <w:spacing w:line="360" w:lineRule="auto"/>
        <w:ind w:left="420"/>
        <w:rPr>
          <w:rFonts w:ascii="宋体" w:hAnsi="宋体"/>
          <w:bCs/>
          <w:color w:val="auto"/>
          <w:sz w:val="24"/>
          <w:szCs w:val="24"/>
          <w:highlight w:val="none"/>
          <w:lang w:val="zh-CN"/>
        </w:rPr>
      </w:pPr>
      <w:r>
        <w:rPr>
          <w:rFonts w:hint="eastAsia" w:ascii="宋体" w:hAnsi="宋体"/>
          <w:bCs/>
          <w:color w:val="auto"/>
          <w:sz w:val="24"/>
          <w:szCs w:val="24"/>
          <w:highlight w:val="none"/>
          <w:lang w:val="zh-CN"/>
        </w:rPr>
        <w:t>如遇特殊情况，采购人可延期签订合同。</w:t>
      </w:r>
    </w:p>
    <w:p w14:paraId="1E23B387">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 xml:space="preserve">23.3 </w:t>
      </w:r>
      <w:r>
        <w:rPr>
          <w:rFonts w:hint="eastAsia" w:ascii="宋体" w:hAnsi="宋体"/>
          <w:bCs/>
          <w:color w:val="auto"/>
          <w:sz w:val="24"/>
          <w:szCs w:val="24"/>
          <w:highlight w:val="none"/>
          <w:lang w:val="zh-CN"/>
        </w:rPr>
        <w:t>签订合同书及合同条款应以招标文件和中标人的投标文件为依据。</w:t>
      </w:r>
    </w:p>
    <w:p w14:paraId="4B904626">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23.4</w:t>
      </w:r>
      <w:r>
        <w:rPr>
          <w:rFonts w:hint="eastAsia" w:ascii="宋体" w:hAnsi="宋体"/>
          <w:bCs/>
          <w:color w:val="auto"/>
          <w:sz w:val="24"/>
          <w:szCs w:val="24"/>
          <w:highlight w:val="none"/>
          <w:lang w:val="zh-CN"/>
        </w:rPr>
        <w:t>签订合同前，中标人须按下表要求交纳中标合同总金额</w:t>
      </w:r>
      <w:r>
        <w:rPr>
          <w:rFonts w:hint="eastAsia" w:ascii="宋体" w:hAnsi="宋体"/>
          <w:bCs/>
          <w:color w:val="auto"/>
          <w:sz w:val="24"/>
          <w:szCs w:val="24"/>
          <w:highlight w:val="none"/>
          <w:lang w:val="en-US" w:eastAsia="zh-CN"/>
        </w:rPr>
        <w:t>10</w:t>
      </w:r>
      <w:r>
        <w:rPr>
          <w:rFonts w:hint="eastAsia" w:ascii="宋体" w:hAnsi="宋体"/>
          <w:bCs/>
          <w:color w:val="auto"/>
          <w:sz w:val="24"/>
          <w:szCs w:val="24"/>
          <w:highlight w:val="none"/>
          <w:lang w:val="zh-CN"/>
        </w:rPr>
        <w:t>%的履约保证金。</w:t>
      </w:r>
    </w:p>
    <w:tbl>
      <w:tblPr>
        <w:tblStyle w:val="27"/>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6"/>
        <w:gridCol w:w="3260"/>
        <w:gridCol w:w="1134"/>
        <w:gridCol w:w="3040"/>
      </w:tblGrid>
      <w:tr w14:paraId="1D66C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766" w:type="dxa"/>
            <w:vAlign w:val="center"/>
          </w:tcPr>
          <w:p w14:paraId="73F643C9">
            <w:pPr>
              <w:jc w:val="center"/>
              <w:rPr>
                <w:rFonts w:ascii="Calibri" w:hAnsi="宋体" w:eastAsia="宋体" w:cs="Times New Roman"/>
                <w:bCs/>
                <w:color w:val="auto"/>
                <w:szCs w:val="21"/>
                <w:highlight w:val="none"/>
                <w:lang w:val="zh-CN"/>
              </w:rPr>
            </w:pPr>
            <w:bookmarkStart w:id="20" w:name="OLE_LINK136"/>
            <w:r>
              <w:rPr>
                <w:rFonts w:hint="eastAsia" w:ascii="Calibri" w:hAnsi="Calibri" w:eastAsia="宋体" w:cs="Times New Roman"/>
                <w:color w:val="auto"/>
                <w:szCs w:val="21"/>
                <w:highlight w:val="none"/>
              </w:rPr>
              <w:t>交纳履约保证金账户名称</w:t>
            </w:r>
          </w:p>
        </w:tc>
        <w:tc>
          <w:tcPr>
            <w:tcW w:w="3260" w:type="dxa"/>
            <w:vAlign w:val="center"/>
          </w:tcPr>
          <w:p w14:paraId="0ADAC07E">
            <w:pPr>
              <w:jc w:val="center"/>
              <w:rPr>
                <w:rFonts w:hint="eastAsia" w:ascii="宋体" w:hAnsi="宋体" w:eastAsia="宋体" w:cs="Times New Roman"/>
                <w:bCs/>
                <w:color w:val="auto"/>
                <w:sz w:val="24"/>
                <w:szCs w:val="21"/>
                <w:highlight w:val="none"/>
                <w:lang w:val="zh-CN" w:eastAsia="zh-CN"/>
              </w:rPr>
            </w:pPr>
            <w:r>
              <w:rPr>
                <w:rFonts w:hint="eastAsia" w:ascii="Calibri" w:hAnsi="Calibri" w:eastAsia="宋体" w:cs="Times New Roman"/>
                <w:color w:val="auto"/>
                <w:highlight w:val="none"/>
                <w:lang w:eastAsia="zh-CN"/>
              </w:rPr>
              <w:t>宜兴市公用环保集团有限公司</w:t>
            </w:r>
          </w:p>
        </w:tc>
        <w:tc>
          <w:tcPr>
            <w:tcW w:w="1134" w:type="dxa"/>
            <w:vMerge w:val="restart"/>
            <w:vAlign w:val="center"/>
          </w:tcPr>
          <w:p w14:paraId="1C08690A">
            <w:pPr>
              <w:jc w:val="center"/>
              <w:rPr>
                <w:rFonts w:ascii="Calibri" w:hAnsi="宋体" w:eastAsia="宋体" w:cs="Times New Roman"/>
                <w:bCs/>
                <w:color w:val="auto"/>
                <w:szCs w:val="21"/>
                <w:highlight w:val="none"/>
                <w:lang w:val="zh-CN"/>
              </w:rPr>
            </w:pPr>
            <w:r>
              <w:rPr>
                <w:rFonts w:hint="eastAsia" w:ascii="Calibri" w:hAnsi="宋体" w:eastAsia="宋体" w:cs="Times New Roman"/>
                <w:bCs/>
                <w:color w:val="auto"/>
                <w:szCs w:val="21"/>
                <w:highlight w:val="none"/>
                <w:lang w:val="zh-CN"/>
              </w:rPr>
              <w:t>交纳</w:t>
            </w:r>
          </w:p>
          <w:p w14:paraId="6B266FE4">
            <w:pPr>
              <w:jc w:val="center"/>
              <w:rPr>
                <w:rFonts w:ascii="Calibri" w:hAnsi="宋体" w:eastAsia="宋体" w:cs="Times New Roman"/>
                <w:bCs/>
                <w:color w:val="auto"/>
                <w:szCs w:val="21"/>
                <w:highlight w:val="none"/>
                <w:lang w:val="zh-CN"/>
              </w:rPr>
            </w:pPr>
            <w:r>
              <w:rPr>
                <w:rFonts w:hint="eastAsia" w:ascii="Calibri" w:hAnsi="宋体" w:eastAsia="宋体" w:cs="Times New Roman"/>
                <w:bCs/>
                <w:color w:val="auto"/>
                <w:szCs w:val="21"/>
                <w:highlight w:val="none"/>
                <w:lang w:val="zh-CN"/>
              </w:rPr>
              <w:t>形式</w:t>
            </w:r>
          </w:p>
        </w:tc>
        <w:tc>
          <w:tcPr>
            <w:tcW w:w="3040" w:type="dxa"/>
            <w:vMerge w:val="restart"/>
            <w:vAlign w:val="center"/>
          </w:tcPr>
          <w:p w14:paraId="4F371F13">
            <w:pPr>
              <w:jc w:val="center"/>
              <w:rPr>
                <w:rFonts w:hint="eastAsia" w:ascii="宋体" w:hAnsi="宋体" w:eastAsia="宋体" w:cs="Times New Roman"/>
                <w:bCs/>
                <w:color w:val="auto"/>
                <w:szCs w:val="21"/>
                <w:highlight w:val="none"/>
                <w:lang w:val="zh-CN"/>
              </w:rPr>
            </w:pPr>
            <w:r>
              <w:rPr>
                <w:rFonts w:hint="eastAsia" w:ascii="宋体" w:hAnsi="宋体" w:eastAsia="宋体" w:cs="Times New Roman"/>
                <w:bCs/>
                <w:color w:val="auto"/>
                <w:szCs w:val="21"/>
                <w:highlight w:val="none"/>
                <w:lang w:val="zh-CN"/>
              </w:rPr>
              <w:t>履约保证金的交纳形式限于转账、电汇、本票、银行汇票、</w:t>
            </w:r>
            <w:r>
              <w:rPr>
                <w:rFonts w:hint="eastAsia" w:ascii="宋体" w:hAnsi="宋体" w:eastAsia="宋体" w:cs="Times New Roman"/>
                <w:bCs/>
                <w:color w:val="auto"/>
                <w:szCs w:val="21"/>
                <w:highlight w:val="none"/>
              </w:rPr>
              <w:t>银行保函</w:t>
            </w:r>
            <w:r>
              <w:rPr>
                <w:rFonts w:hint="eastAsia" w:ascii="宋体" w:hAnsi="宋体" w:eastAsia="宋体" w:cs="Times New Roman"/>
                <w:bCs/>
                <w:color w:val="auto"/>
                <w:szCs w:val="21"/>
                <w:highlight w:val="none"/>
                <w:lang w:val="zh-CN"/>
              </w:rPr>
              <w:t>（不接受其他形式的履约保证金）</w:t>
            </w:r>
          </w:p>
          <w:p w14:paraId="5C6286AC">
            <w:pPr>
              <w:pStyle w:val="2"/>
              <w:rPr>
                <w:color w:val="auto"/>
                <w:highlight w:val="none"/>
                <w:lang w:val="zh-CN"/>
              </w:rPr>
            </w:pPr>
            <w:r>
              <w:rPr>
                <w:rFonts w:hint="eastAsia"/>
                <w:color w:val="auto"/>
                <w:highlight w:val="none"/>
                <w:lang w:val="zh-CN"/>
              </w:rPr>
              <w:t>【若缴纳履约保证金的形式为开具银行保函，需确保保函有效期覆盖合同期。若合同在执行过程中保函即将过期，乙方需提前一个月重新开具银行保函交至甲方，否则甲方将停付进度款。】</w:t>
            </w:r>
          </w:p>
        </w:tc>
      </w:tr>
      <w:tr w14:paraId="71C42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766" w:type="dxa"/>
            <w:vAlign w:val="center"/>
          </w:tcPr>
          <w:p w14:paraId="352E3DC2">
            <w:pPr>
              <w:spacing w:line="360" w:lineRule="auto"/>
              <w:jc w:val="center"/>
              <w:rPr>
                <w:rFonts w:ascii="宋体" w:hAnsi="宋体" w:eastAsia="宋体" w:cs="Times New Roman"/>
                <w:bCs/>
                <w:color w:val="auto"/>
                <w:szCs w:val="21"/>
                <w:highlight w:val="none"/>
                <w:lang w:val="zh-CN"/>
              </w:rPr>
            </w:pPr>
            <w:r>
              <w:rPr>
                <w:rFonts w:hint="eastAsia" w:ascii="Calibri" w:hAnsi="宋体" w:eastAsia="宋体" w:cs="Times New Roman"/>
                <w:bCs/>
                <w:color w:val="auto"/>
                <w:szCs w:val="21"/>
                <w:highlight w:val="none"/>
                <w:lang w:val="zh-CN"/>
              </w:rPr>
              <w:t>备注</w:t>
            </w:r>
          </w:p>
        </w:tc>
        <w:tc>
          <w:tcPr>
            <w:tcW w:w="3260" w:type="dxa"/>
            <w:vAlign w:val="center"/>
          </w:tcPr>
          <w:p w14:paraId="087A1632">
            <w:pPr>
              <w:jc w:val="center"/>
              <w:rPr>
                <w:rFonts w:ascii="Calibri" w:hAnsi="宋体" w:eastAsia="宋体" w:cs="Times New Roman"/>
                <w:bCs/>
                <w:color w:val="auto"/>
                <w:szCs w:val="21"/>
                <w:highlight w:val="none"/>
                <w:lang w:val="zh-CN"/>
              </w:rPr>
            </w:pPr>
            <w:r>
              <w:rPr>
                <w:rFonts w:hint="eastAsia" w:ascii="宋体" w:hAnsi="Calibri" w:eastAsia="宋体" w:cs="Times New Roman"/>
                <w:color w:val="auto"/>
                <w:szCs w:val="21"/>
                <w:highlight w:val="none"/>
                <w:lang w:eastAsia="zh-CN"/>
              </w:rPr>
              <w:t>中标人</w:t>
            </w:r>
            <w:r>
              <w:rPr>
                <w:rFonts w:hint="eastAsia" w:ascii="宋体" w:hAnsi="Calibri" w:eastAsia="宋体" w:cs="Times New Roman"/>
                <w:color w:val="auto"/>
                <w:szCs w:val="21"/>
                <w:highlight w:val="none"/>
              </w:rPr>
              <w:t>中标后和采购人财务联系，由财务出具缴款通知书，</w:t>
            </w:r>
            <w:r>
              <w:rPr>
                <w:rFonts w:hint="eastAsia" w:ascii="宋体" w:hAnsi="Calibri" w:eastAsia="宋体" w:cs="Times New Roman"/>
                <w:color w:val="auto"/>
                <w:szCs w:val="21"/>
                <w:highlight w:val="none"/>
                <w:lang w:eastAsia="zh-CN"/>
              </w:rPr>
              <w:t>中标人</w:t>
            </w:r>
            <w:r>
              <w:rPr>
                <w:rFonts w:hint="eastAsia" w:ascii="宋体" w:hAnsi="Calibri" w:eastAsia="宋体" w:cs="Times New Roman"/>
                <w:color w:val="auto"/>
                <w:szCs w:val="21"/>
                <w:highlight w:val="none"/>
              </w:rPr>
              <w:t>按缴款通知书要求支付该款项。</w:t>
            </w:r>
          </w:p>
        </w:tc>
        <w:tc>
          <w:tcPr>
            <w:tcW w:w="1134" w:type="dxa"/>
            <w:vMerge w:val="continue"/>
            <w:vAlign w:val="center"/>
          </w:tcPr>
          <w:p w14:paraId="77B61944">
            <w:pPr>
              <w:spacing w:line="360" w:lineRule="auto"/>
              <w:jc w:val="center"/>
              <w:rPr>
                <w:rFonts w:ascii="宋体" w:hAnsi="宋体" w:eastAsia="宋体" w:cs="Times New Roman"/>
                <w:bCs/>
                <w:color w:val="auto"/>
                <w:szCs w:val="21"/>
                <w:highlight w:val="none"/>
                <w:lang w:val="zh-CN"/>
              </w:rPr>
            </w:pPr>
          </w:p>
        </w:tc>
        <w:tc>
          <w:tcPr>
            <w:tcW w:w="3040" w:type="dxa"/>
            <w:vMerge w:val="continue"/>
            <w:vAlign w:val="center"/>
          </w:tcPr>
          <w:p w14:paraId="25E74F06">
            <w:pPr>
              <w:spacing w:line="360" w:lineRule="auto"/>
              <w:jc w:val="center"/>
              <w:rPr>
                <w:rFonts w:ascii="宋体" w:hAnsi="宋体" w:eastAsia="宋体" w:cs="Times New Roman"/>
                <w:bCs/>
                <w:color w:val="auto"/>
                <w:szCs w:val="21"/>
                <w:highlight w:val="none"/>
                <w:lang w:val="zh-CN"/>
              </w:rPr>
            </w:pPr>
          </w:p>
        </w:tc>
      </w:tr>
      <w:bookmarkEnd w:id="20"/>
    </w:tbl>
    <w:p w14:paraId="305D8A22">
      <w:pPr>
        <w:spacing w:line="400" w:lineRule="exact"/>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23.5</w:t>
      </w:r>
      <w:r>
        <w:rPr>
          <w:rFonts w:hint="eastAsia" w:ascii="宋体" w:hAnsi="宋体"/>
          <w:bCs/>
          <w:color w:val="auto"/>
          <w:sz w:val="24"/>
          <w:szCs w:val="24"/>
          <w:highlight w:val="none"/>
          <w:lang w:val="zh-CN"/>
        </w:rPr>
        <w:t>履约保证金</w:t>
      </w:r>
      <w:r>
        <w:rPr>
          <w:rFonts w:hint="eastAsia"/>
          <w:b w:val="0"/>
          <w:bCs w:val="0"/>
          <w:color w:val="auto"/>
          <w:sz w:val="24"/>
          <w:highlight w:val="yellow"/>
          <w:u w:val="none"/>
        </w:rPr>
        <w:t>于设备安装调试验收合格</w:t>
      </w:r>
      <w:r>
        <w:rPr>
          <w:rFonts w:hint="eastAsia"/>
          <w:b w:val="0"/>
          <w:bCs w:val="0"/>
          <w:color w:val="auto"/>
          <w:sz w:val="24"/>
          <w:highlight w:val="yellow"/>
          <w:u w:val="none"/>
          <w:lang w:val="en-US" w:eastAsia="zh-CN"/>
        </w:rPr>
        <w:t>并连续运行6个月</w:t>
      </w:r>
      <w:r>
        <w:rPr>
          <w:rFonts w:hint="eastAsia"/>
          <w:b w:val="0"/>
          <w:bCs w:val="0"/>
          <w:color w:val="auto"/>
          <w:sz w:val="24"/>
          <w:highlight w:val="yellow"/>
          <w:u w:val="none"/>
        </w:rPr>
        <w:t>后三十个工作日内无息退还。</w:t>
      </w:r>
    </w:p>
    <w:p w14:paraId="6A882B6A">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23.6</w:t>
      </w:r>
      <w:bookmarkStart w:id="21" w:name="OLE_LINK175"/>
      <w:bookmarkStart w:id="22" w:name="OLE_LINK5"/>
      <w:r>
        <w:rPr>
          <w:rFonts w:hint="eastAsia" w:ascii="宋体" w:hAnsi="宋体"/>
          <w:bCs/>
          <w:color w:val="auto"/>
          <w:sz w:val="24"/>
          <w:szCs w:val="24"/>
          <w:highlight w:val="none"/>
          <w:lang w:val="zh-CN"/>
        </w:rPr>
        <w:t>中标人（含中标候选人）</w:t>
      </w:r>
      <w:bookmarkEnd w:id="21"/>
      <w:r>
        <w:rPr>
          <w:rFonts w:hint="eastAsia" w:ascii="宋体" w:hAnsi="宋体"/>
          <w:bCs/>
          <w:color w:val="auto"/>
          <w:sz w:val="24"/>
          <w:szCs w:val="24"/>
          <w:highlight w:val="none"/>
          <w:lang w:val="zh-CN"/>
        </w:rPr>
        <w:t>拒绝与采购人签订合同，或因不可抗力或者自身原因不能履行采购合同的，须要有明确的意思表示，并向采购人书面申明放弃合同，采购人可以按照评审报告推荐的中标候选人名单排序，视情况确定下一候选人为中标人，也可以重新开展采购活动。无正当理由拒绝签订合同的中标人（含中标候选人），采购人将不予退还其投标保证金</w:t>
      </w:r>
      <w:r>
        <w:rPr>
          <w:rFonts w:ascii="宋体" w:hAnsi="宋体"/>
          <w:bCs/>
          <w:color w:val="auto"/>
          <w:sz w:val="24"/>
          <w:szCs w:val="24"/>
          <w:highlight w:val="none"/>
          <w:lang w:val="zh-CN"/>
        </w:rPr>
        <w:t>，列入不良行为记录名单，在一至三年内禁止参加</w:t>
      </w:r>
      <w:r>
        <w:rPr>
          <w:rFonts w:hint="eastAsia" w:ascii="宋体" w:hAnsi="宋体"/>
          <w:bCs/>
          <w:color w:val="auto"/>
          <w:sz w:val="24"/>
          <w:szCs w:val="24"/>
          <w:highlight w:val="none"/>
          <w:lang w:val="zh-CN"/>
        </w:rPr>
        <w:t>本单位的</w:t>
      </w:r>
      <w:r>
        <w:rPr>
          <w:rFonts w:ascii="宋体" w:hAnsi="宋体"/>
          <w:bCs/>
          <w:color w:val="auto"/>
          <w:sz w:val="24"/>
          <w:szCs w:val="24"/>
          <w:highlight w:val="none"/>
          <w:lang w:val="zh-CN"/>
        </w:rPr>
        <w:t>采购活动</w:t>
      </w:r>
      <w:bookmarkStart w:id="23" w:name="OLE_LINK2"/>
      <w:r>
        <w:rPr>
          <w:rFonts w:hint="eastAsia" w:ascii="宋体" w:hAnsi="宋体"/>
          <w:bCs/>
          <w:color w:val="auto"/>
          <w:sz w:val="24"/>
          <w:szCs w:val="24"/>
          <w:highlight w:val="none"/>
          <w:lang w:val="zh-CN"/>
        </w:rPr>
        <w:t>。</w:t>
      </w:r>
      <w:bookmarkEnd w:id="22"/>
      <w:bookmarkEnd w:id="23"/>
      <w:r>
        <w:rPr>
          <w:rFonts w:ascii="宋体" w:hAnsi="宋体"/>
          <w:bCs/>
          <w:color w:val="auto"/>
          <w:sz w:val="24"/>
          <w:szCs w:val="24"/>
          <w:highlight w:val="none"/>
          <w:lang w:val="zh-CN"/>
        </w:rPr>
        <w:t>拒绝签订合同的</w:t>
      </w:r>
      <w:r>
        <w:rPr>
          <w:rFonts w:hint="eastAsia" w:ascii="宋体" w:hAnsi="宋体"/>
          <w:bCs/>
          <w:color w:val="auto"/>
          <w:sz w:val="24"/>
          <w:szCs w:val="24"/>
          <w:highlight w:val="none"/>
          <w:lang w:val="zh-CN"/>
        </w:rPr>
        <w:t>中标人（含中标候选人）不得参加对该项目重新开展的采购活动。</w:t>
      </w:r>
    </w:p>
    <w:p w14:paraId="6F4D4465">
      <w:pPr>
        <w:spacing w:line="360" w:lineRule="auto"/>
        <w:ind w:firstLine="480" w:firstLineChars="200"/>
        <w:rPr>
          <w:rFonts w:ascii="宋体" w:hAnsi="宋体"/>
          <w:b/>
          <w:color w:val="auto"/>
          <w:sz w:val="24"/>
          <w:szCs w:val="24"/>
          <w:highlight w:val="none"/>
        </w:rPr>
      </w:pPr>
      <w:r>
        <w:rPr>
          <w:rFonts w:hint="eastAsia" w:ascii="宋体" w:hAnsi="宋体"/>
          <w:bCs/>
          <w:color w:val="auto"/>
          <w:sz w:val="24"/>
          <w:szCs w:val="24"/>
          <w:highlight w:val="none"/>
          <w:lang w:val="zh-CN"/>
        </w:rPr>
        <w:t>2</w:t>
      </w:r>
      <w:r>
        <w:rPr>
          <w:rFonts w:hint="eastAsia" w:ascii="宋体" w:hAnsi="宋体"/>
          <w:bCs/>
          <w:color w:val="auto"/>
          <w:sz w:val="24"/>
          <w:szCs w:val="24"/>
          <w:highlight w:val="none"/>
        </w:rPr>
        <w:t>3.7</w:t>
      </w:r>
      <w:r>
        <w:rPr>
          <w:rFonts w:hint="eastAsia" w:ascii="宋体" w:hAnsi="宋体"/>
          <w:bCs/>
          <w:color w:val="auto"/>
          <w:sz w:val="24"/>
          <w:szCs w:val="24"/>
          <w:highlight w:val="none"/>
          <w:lang w:val="zh-CN"/>
        </w:rPr>
        <w:t xml:space="preserve"> 采购合同履行中，采购人需追加与合同标的相同货物的，在不改变合同其他条款的前提下，可以与中标人协商签订补充合同，但所有补充合同的采购金额不得超过原合同采购金额的百分之十。</w:t>
      </w:r>
    </w:p>
    <w:p w14:paraId="5AE7467A">
      <w:pPr>
        <w:spacing w:line="360" w:lineRule="auto"/>
        <w:ind w:firstLine="472" w:firstLineChars="196"/>
        <w:rPr>
          <w:rFonts w:ascii="宋体" w:hAnsi="宋体"/>
          <w:b/>
          <w:color w:val="auto"/>
          <w:sz w:val="24"/>
          <w:szCs w:val="24"/>
          <w:highlight w:val="none"/>
        </w:rPr>
      </w:pPr>
      <w:r>
        <w:rPr>
          <w:rFonts w:hint="eastAsia" w:ascii="宋体" w:hAnsi="宋体"/>
          <w:b/>
          <w:color w:val="auto"/>
          <w:sz w:val="24"/>
          <w:szCs w:val="24"/>
          <w:highlight w:val="none"/>
        </w:rPr>
        <w:t>七、投标行为及投标产品：</w:t>
      </w:r>
    </w:p>
    <w:p w14:paraId="4AB10EC6">
      <w:pPr>
        <w:spacing w:line="360" w:lineRule="auto"/>
        <w:ind w:firstLine="361" w:firstLineChars="150"/>
        <w:rPr>
          <w:rFonts w:ascii="宋体" w:hAnsi="宋体"/>
          <w:b/>
          <w:bCs/>
          <w:color w:val="auto"/>
          <w:sz w:val="24"/>
          <w:szCs w:val="24"/>
          <w:highlight w:val="none"/>
        </w:rPr>
      </w:pPr>
      <w:r>
        <w:rPr>
          <w:rFonts w:hint="eastAsia" w:ascii="宋体" w:hAnsi="宋体"/>
          <w:b/>
          <w:bCs/>
          <w:color w:val="auto"/>
          <w:sz w:val="24"/>
          <w:szCs w:val="24"/>
          <w:highlight w:val="none"/>
        </w:rPr>
        <w:t>24、投标行为及投标产品：</w:t>
      </w:r>
    </w:p>
    <w:p w14:paraId="1B295991">
      <w:pPr>
        <w:numPr>
          <w:ilvl w:val="0"/>
          <w:numId w:val="12"/>
        </w:numPr>
        <w:spacing w:line="360" w:lineRule="auto"/>
        <w:ind w:left="6"/>
        <w:rPr>
          <w:rFonts w:ascii="宋体" w:hAnsi="宋体"/>
          <w:bCs/>
          <w:color w:val="auto"/>
          <w:sz w:val="24"/>
          <w:szCs w:val="24"/>
          <w:highlight w:val="none"/>
          <w:lang w:val="zh-CN"/>
        </w:rPr>
      </w:pPr>
      <w:r>
        <w:rPr>
          <w:rFonts w:hint="eastAsia" w:ascii="宋体" w:hAnsi="宋体"/>
          <w:bCs/>
          <w:color w:val="auto"/>
          <w:sz w:val="24"/>
          <w:szCs w:val="24"/>
          <w:highlight w:val="none"/>
          <w:lang w:val="zh-CN"/>
        </w:rPr>
        <w:t>投标人的投标行为必须遵守各项法律、法规、规章及相关制度的规定。</w:t>
      </w:r>
    </w:p>
    <w:p w14:paraId="04B15261">
      <w:pPr>
        <w:numPr>
          <w:ilvl w:val="0"/>
          <w:numId w:val="12"/>
        </w:numPr>
        <w:spacing w:line="360" w:lineRule="auto"/>
        <w:ind w:left="6"/>
        <w:rPr>
          <w:rFonts w:ascii="宋体" w:hAnsi="宋体"/>
          <w:bCs/>
          <w:color w:val="auto"/>
          <w:sz w:val="24"/>
          <w:szCs w:val="24"/>
          <w:highlight w:val="none"/>
          <w:lang w:val="zh-CN"/>
        </w:rPr>
      </w:pPr>
      <w:r>
        <w:rPr>
          <w:rFonts w:hint="eastAsia" w:ascii="宋体" w:hAnsi="宋体"/>
          <w:bCs/>
          <w:color w:val="auto"/>
          <w:sz w:val="24"/>
          <w:szCs w:val="24"/>
          <w:highlight w:val="none"/>
          <w:lang w:val="zh-CN"/>
        </w:rPr>
        <w:t>投标产品、产品安装（施工）及服务质量等应符合国家、行业等相关标准及要求。</w:t>
      </w:r>
    </w:p>
    <w:p w14:paraId="6D1DC63B">
      <w:pPr>
        <w:numPr>
          <w:ilvl w:val="0"/>
          <w:numId w:val="12"/>
        </w:numPr>
        <w:spacing w:line="360" w:lineRule="auto"/>
        <w:ind w:left="6"/>
        <w:rPr>
          <w:rFonts w:ascii="宋体" w:hAnsi="宋体"/>
          <w:bCs/>
          <w:color w:val="auto"/>
          <w:sz w:val="24"/>
          <w:szCs w:val="24"/>
          <w:highlight w:val="none"/>
          <w:lang w:val="zh-CN"/>
        </w:rPr>
      </w:pPr>
      <w:r>
        <w:rPr>
          <w:rFonts w:hint="eastAsia" w:ascii="宋体" w:hAnsi="宋体"/>
          <w:bCs/>
          <w:color w:val="auto"/>
          <w:sz w:val="24"/>
          <w:szCs w:val="24"/>
          <w:highlight w:val="none"/>
          <w:lang w:val="zh-CN"/>
        </w:rPr>
        <w:t>如投标产品为进口产品的，则投标产品必须为通过中国海关报关验放进入中国境内且产自关境外的产品。</w:t>
      </w:r>
    </w:p>
    <w:p w14:paraId="76BC0D09">
      <w:pPr>
        <w:numPr>
          <w:ilvl w:val="0"/>
          <w:numId w:val="12"/>
        </w:numPr>
        <w:spacing w:line="360" w:lineRule="auto"/>
        <w:ind w:left="6"/>
        <w:rPr>
          <w:rFonts w:ascii="宋体" w:hAnsi="宋体"/>
          <w:bCs/>
          <w:color w:val="auto"/>
          <w:sz w:val="24"/>
          <w:szCs w:val="24"/>
          <w:highlight w:val="none"/>
          <w:lang w:val="zh-CN"/>
        </w:rPr>
      </w:pPr>
      <w:r>
        <w:rPr>
          <w:rFonts w:hint="eastAsia" w:ascii="宋体" w:hAnsi="宋体"/>
          <w:bCs/>
          <w:color w:val="auto"/>
          <w:sz w:val="24"/>
          <w:szCs w:val="24"/>
          <w:highlight w:val="none"/>
          <w:lang w:val="zh-CN"/>
        </w:rPr>
        <w:t>投标人提供的产品应是全新、未使用过的原装合格正品。投标人中标后，在供货期内如遇产品平滑（自然）升级，中标人应提供平滑升级商品不补差价（招标文件中有特殊要求的除外）。</w:t>
      </w:r>
    </w:p>
    <w:p w14:paraId="2922C170">
      <w:pPr>
        <w:numPr>
          <w:ilvl w:val="0"/>
          <w:numId w:val="12"/>
        </w:numPr>
        <w:spacing w:line="360" w:lineRule="auto"/>
        <w:ind w:left="6"/>
        <w:rPr>
          <w:rFonts w:ascii="宋体" w:hAnsi="宋体"/>
          <w:bCs/>
          <w:color w:val="auto"/>
          <w:sz w:val="24"/>
          <w:szCs w:val="24"/>
          <w:highlight w:val="none"/>
        </w:rPr>
      </w:pPr>
      <w:r>
        <w:rPr>
          <w:rFonts w:hint="eastAsia" w:ascii="宋体" w:hAnsi="宋体"/>
          <w:bCs/>
          <w:color w:val="auto"/>
          <w:sz w:val="24"/>
          <w:szCs w:val="24"/>
          <w:highlight w:val="none"/>
          <w:lang w:val="zh-CN"/>
        </w:rPr>
        <w:t>招标文件中要求投标人出具的证书等相关材料，均应在有效期限内，即有效期限应覆盖投标文件评审当日。</w:t>
      </w:r>
    </w:p>
    <w:p w14:paraId="3A4BA3D4">
      <w:pPr>
        <w:spacing w:line="360" w:lineRule="auto"/>
        <w:ind w:left="420"/>
        <w:rPr>
          <w:rFonts w:ascii="宋体" w:hAnsi="宋体"/>
          <w:b/>
          <w:color w:val="auto"/>
          <w:sz w:val="24"/>
          <w:szCs w:val="24"/>
          <w:highlight w:val="none"/>
        </w:rPr>
      </w:pPr>
      <w:bookmarkStart w:id="24" w:name="_Toc23122"/>
      <w:r>
        <w:rPr>
          <w:rFonts w:hint="eastAsia" w:ascii="宋体" w:hAnsi="宋体"/>
          <w:b/>
          <w:color w:val="auto"/>
          <w:sz w:val="24"/>
          <w:szCs w:val="24"/>
          <w:highlight w:val="none"/>
        </w:rPr>
        <w:t>八、质疑处理：</w:t>
      </w:r>
    </w:p>
    <w:p w14:paraId="18C42E68">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25、询问</w:t>
      </w:r>
    </w:p>
    <w:p w14:paraId="51791429">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val="zh-CN"/>
        </w:rPr>
        <w:t>投标人对招标活动事项有疑问的，可以向采购人提出询问，采购人将在两个工作日内作出答复，但答复的内容不涉及商业秘密。</w:t>
      </w:r>
    </w:p>
    <w:p w14:paraId="5E7029E9">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lang w:val="zh-CN"/>
        </w:rPr>
        <w:t>26、质疑</w:t>
      </w:r>
    </w:p>
    <w:p w14:paraId="7EBF5AB7">
      <w:pPr>
        <w:spacing w:line="360" w:lineRule="auto"/>
        <w:ind w:firstLine="360" w:firstLineChars="150"/>
        <w:rPr>
          <w:rFonts w:ascii="宋体" w:hAnsi="宋体"/>
          <w:bCs/>
          <w:color w:val="auto"/>
          <w:sz w:val="24"/>
          <w:szCs w:val="24"/>
          <w:highlight w:val="none"/>
          <w:lang w:val="zh-CN"/>
        </w:rPr>
      </w:pPr>
      <w:r>
        <w:rPr>
          <w:rFonts w:hint="eastAsia" w:ascii="宋体" w:hAnsi="宋体"/>
          <w:bCs/>
          <w:color w:val="auto"/>
          <w:sz w:val="24"/>
          <w:szCs w:val="24"/>
          <w:highlight w:val="none"/>
          <w:lang w:val="zh-CN"/>
        </w:rPr>
        <w:t xml:space="preserve">26.1投标人认为采购文件、采购过程和中标、成交结果使自己的权益受到损害的，可以在知道或者应当知道其权益受到损害之日起七个工作日内，以书面形式向采购人提出质疑。质疑书格式参照“宜兴市政府采购质疑书”格式内容，可在宜兴市公共资源交易网“下载中心”栏自行下载。 </w:t>
      </w:r>
    </w:p>
    <w:p w14:paraId="1BEDAAB7">
      <w:pPr>
        <w:spacing w:line="360" w:lineRule="auto"/>
        <w:ind w:firstLine="360" w:firstLineChars="150"/>
        <w:rPr>
          <w:rFonts w:ascii="宋体" w:hAnsi="宋体"/>
          <w:bCs/>
          <w:color w:val="auto"/>
          <w:sz w:val="24"/>
          <w:szCs w:val="24"/>
          <w:highlight w:val="none"/>
          <w:lang w:val="zh-CN"/>
        </w:rPr>
      </w:pPr>
      <w:r>
        <w:rPr>
          <w:rFonts w:hint="eastAsia" w:ascii="宋体" w:hAnsi="宋体"/>
          <w:bCs/>
          <w:color w:val="auto"/>
          <w:sz w:val="24"/>
          <w:szCs w:val="24"/>
          <w:highlight w:val="none"/>
          <w:lang w:val="zh-CN"/>
        </w:rPr>
        <w:t>26.2 质疑时效期间的起算：对招标文件提出质疑的，应自招标文件公告期限届满之日起计算；对采购过程提出质疑的，自采购程序环节结束之日起计算；对中标结果提出质疑的，自中标结果公告期限届满之日起计算。未在规定的时间内按要求提交质疑函（仅限于原件）的，被质疑人将不予受理。</w:t>
      </w:r>
    </w:p>
    <w:p w14:paraId="0EECEA11">
      <w:pPr>
        <w:spacing w:line="360" w:lineRule="auto"/>
        <w:ind w:firstLine="360" w:firstLineChars="150"/>
        <w:rPr>
          <w:rFonts w:ascii="宋体" w:hAnsi="宋体"/>
          <w:bCs/>
          <w:color w:val="auto"/>
          <w:sz w:val="24"/>
          <w:szCs w:val="24"/>
          <w:highlight w:val="none"/>
          <w:lang w:val="zh-CN"/>
        </w:rPr>
      </w:pPr>
      <w:r>
        <w:rPr>
          <w:rFonts w:hint="eastAsia" w:ascii="宋体" w:hAnsi="宋体"/>
          <w:bCs/>
          <w:color w:val="auto"/>
          <w:sz w:val="24"/>
          <w:szCs w:val="24"/>
          <w:highlight w:val="none"/>
          <w:lang w:val="zh-CN"/>
        </w:rPr>
        <w:t>26.3对符合法定质疑条件的质疑，被质疑人在受理后的七个工作日内进行书面答复。</w:t>
      </w:r>
    </w:p>
    <w:p w14:paraId="2C669B26">
      <w:pPr>
        <w:spacing w:line="360" w:lineRule="auto"/>
        <w:ind w:firstLine="360" w:firstLineChars="150"/>
        <w:rPr>
          <w:rFonts w:ascii="宋体" w:hAnsi="宋体"/>
          <w:bCs/>
          <w:color w:val="auto"/>
          <w:sz w:val="24"/>
          <w:szCs w:val="24"/>
          <w:highlight w:val="none"/>
          <w:lang w:val="zh-CN"/>
        </w:rPr>
      </w:pPr>
      <w:r>
        <w:rPr>
          <w:rFonts w:hint="eastAsia" w:ascii="宋体" w:hAnsi="宋体"/>
          <w:bCs/>
          <w:color w:val="auto"/>
          <w:sz w:val="24"/>
          <w:szCs w:val="24"/>
          <w:highlight w:val="none"/>
          <w:lang w:val="zh-CN"/>
        </w:rPr>
        <w:t>26.4恶意质疑或提交虚假质疑一经查实，被质疑人有权依据有关规定，报请采购监管部门对该质疑人进行相应的处罚。</w:t>
      </w:r>
    </w:p>
    <w:p w14:paraId="396C0EFD">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lang w:val="zh-CN"/>
        </w:rPr>
        <w:t>27 投诉</w:t>
      </w:r>
    </w:p>
    <w:p w14:paraId="3BE8BCCB">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lang w:val="zh-CN"/>
        </w:rPr>
        <w:t>27.1质疑供应商对采购人、采购代理机构的答复不满意或者采购人、采购代理机构未在规定的时间内作出答复的，可以在答复期满后十五个工作日内提出投诉。投标</w:t>
      </w:r>
      <w:r>
        <w:rPr>
          <w:rFonts w:hint="eastAsia" w:ascii="宋体" w:hAnsi="宋体"/>
          <w:bCs/>
          <w:color w:val="auto"/>
          <w:sz w:val="24"/>
          <w:szCs w:val="24"/>
          <w:highlight w:val="none"/>
          <w:lang w:val="en-US" w:eastAsia="zh-CN"/>
        </w:rPr>
        <w:t>人</w:t>
      </w:r>
      <w:r>
        <w:rPr>
          <w:rFonts w:hint="eastAsia" w:ascii="宋体" w:hAnsi="宋体"/>
          <w:bCs/>
          <w:color w:val="auto"/>
          <w:sz w:val="24"/>
          <w:szCs w:val="24"/>
          <w:highlight w:val="none"/>
          <w:lang w:val="zh-CN"/>
        </w:rPr>
        <w:t>投诉由宜兴市公用环保集团有限公司纪监办公室处理。</w:t>
      </w:r>
    </w:p>
    <w:p w14:paraId="474C8C76">
      <w:pPr>
        <w:spacing w:line="360" w:lineRule="auto"/>
        <w:ind w:firstLine="480" w:firstLineChars="200"/>
        <w:rPr>
          <w:rFonts w:ascii="宋体" w:hAnsi="宋体"/>
          <w:bCs/>
          <w:color w:val="auto"/>
          <w:sz w:val="24"/>
          <w:szCs w:val="24"/>
          <w:highlight w:val="none"/>
          <w:lang w:val="zh-CN"/>
        </w:rPr>
      </w:pPr>
    </w:p>
    <w:p w14:paraId="3B092EA4">
      <w:pPr>
        <w:rPr>
          <w:color w:val="auto"/>
          <w:highlight w:val="none"/>
        </w:rPr>
      </w:pPr>
    </w:p>
    <w:p w14:paraId="29CE2361">
      <w:pPr>
        <w:rPr>
          <w:color w:val="auto"/>
          <w:highlight w:val="none"/>
        </w:rPr>
      </w:pPr>
    </w:p>
    <w:p w14:paraId="55FFB108">
      <w:pPr>
        <w:rPr>
          <w:color w:val="auto"/>
          <w:highlight w:val="none"/>
        </w:rPr>
      </w:pPr>
    </w:p>
    <w:p w14:paraId="13D32901">
      <w:pPr>
        <w:rPr>
          <w:color w:val="auto"/>
          <w:highlight w:val="none"/>
        </w:rPr>
      </w:pPr>
    </w:p>
    <w:p w14:paraId="61E1686C">
      <w:pPr>
        <w:pStyle w:val="3"/>
        <w:spacing w:before="0" w:after="0"/>
        <w:jc w:val="center"/>
        <w:rPr>
          <w:color w:val="auto"/>
          <w:highlight w:val="none"/>
        </w:rPr>
      </w:pPr>
      <w:bookmarkStart w:id="25" w:name="_Toc64637566"/>
      <w:r>
        <w:rPr>
          <w:rFonts w:hint="eastAsia" w:ascii="黑体" w:hAnsi="黑体" w:eastAsia="黑体"/>
          <w:b w:val="0"/>
          <w:color w:val="auto"/>
          <w:kern w:val="2"/>
          <w:sz w:val="28"/>
          <w:highlight w:val="none"/>
        </w:rPr>
        <w:t>第三章 评标方法和标准</w:t>
      </w:r>
      <w:bookmarkEnd w:id="25"/>
    </w:p>
    <w:p w14:paraId="6C706046">
      <w:p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一、评分项目（总分100分）</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5755"/>
      </w:tblGrid>
      <w:tr w14:paraId="7460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785" w:type="dxa"/>
            <w:vAlign w:val="center"/>
          </w:tcPr>
          <w:p w14:paraId="0E44C7ED">
            <w:pPr>
              <w:jc w:val="center"/>
              <w:rPr>
                <w:rFonts w:ascii="宋体" w:hAnsi="宋体"/>
                <w:color w:val="auto"/>
                <w:sz w:val="24"/>
                <w:szCs w:val="24"/>
                <w:highlight w:val="yellow"/>
              </w:rPr>
            </w:pPr>
            <w:r>
              <w:rPr>
                <w:rFonts w:hint="eastAsia" w:ascii="宋体" w:hAnsi="宋体"/>
                <w:color w:val="auto"/>
                <w:sz w:val="24"/>
                <w:szCs w:val="24"/>
                <w:highlight w:val="yellow"/>
              </w:rPr>
              <w:t>技术商务部分</w:t>
            </w:r>
          </w:p>
        </w:tc>
        <w:tc>
          <w:tcPr>
            <w:tcW w:w="5755" w:type="dxa"/>
            <w:vAlign w:val="center"/>
          </w:tcPr>
          <w:p w14:paraId="0C0B6A12">
            <w:pPr>
              <w:jc w:val="center"/>
              <w:rPr>
                <w:rFonts w:ascii="宋体" w:hAnsi="宋体"/>
                <w:color w:val="FF0000"/>
                <w:sz w:val="24"/>
                <w:szCs w:val="24"/>
                <w:highlight w:val="yellow"/>
              </w:rPr>
            </w:pPr>
            <w:r>
              <w:rPr>
                <w:rFonts w:hint="eastAsia" w:ascii="宋体" w:hAnsi="宋体"/>
                <w:color w:val="FF0000"/>
                <w:sz w:val="24"/>
                <w:szCs w:val="24"/>
                <w:highlight w:val="yellow"/>
                <w:lang w:val="en-US" w:eastAsia="zh-CN"/>
              </w:rPr>
              <w:t>50</w:t>
            </w:r>
            <w:r>
              <w:rPr>
                <w:rFonts w:hint="eastAsia" w:ascii="宋体" w:hAnsi="宋体"/>
                <w:color w:val="FF0000"/>
                <w:sz w:val="24"/>
                <w:szCs w:val="24"/>
                <w:highlight w:val="yellow"/>
              </w:rPr>
              <w:t>分</w:t>
            </w:r>
          </w:p>
        </w:tc>
      </w:tr>
      <w:tr w14:paraId="302A8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785" w:type="dxa"/>
            <w:vAlign w:val="center"/>
          </w:tcPr>
          <w:p w14:paraId="05152D42">
            <w:pPr>
              <w:jc w:val="center"/>
              <w:rPr>
                <w:rFonts w:ascii="宋体" w:hAnsi="宋体"/>
                <w:color w:val="auto"/>
                <w:sz w:val="24"/>
                <w:szCs w:val="24"/>
                <w:highlight w:val="yellow"/>
              </w:rPr>
            </w:pPr>
            <w:r>
              <w:rPr>
                <w:rFonts w:hint="eastAsia" w:ascii="宋体" w:hAnsi="宋体"/>
                <w:color w:val="auto"/>
                <w:sz w:val="24"/>
                <w:szCs w:val="24"/>
                <w:highlight w:val="yellow"/>
              </w:rPr>
              <w:t>价格部分</w:t>
            </w:r>
          </w:p>
        </w:tc>
        <w:tc>
          <w:tcPr>
            <w:tcW w:w="5755" w:type="dxa"/>
            <w:vAlign w:val="center"/>
          </w:tcPr>
          <w:p w14:paraId="43BD0666">
            <w:pPr>
              <w:jc w:val="center"/>
              <w:rPr>
                <w:rFonts w:ascii="宋体" w:hAnsi="宋体"/>
                <w:color w:val="FF0000"/>
                <w:sz w:val="24"/>
                <w:szCs w:val="24"/>
                <w:highlight w:val="yellow"/>
              </w:rPr>
            </w:pPr>
            <w:r>
              <w:rPr>
                <w:rFonts w:hint="eastAsia" w:ascii="宋体" w:hAnsi="宋体"/>
                <w:color w:val="FF0000"/>
                <w:sz w:val="24"/>
                <w:szCs w:val="24"/>
                <w:highlight w:val="yellow"/>
                <w:lang w:val="en-US" w:eastAsia="zh-CN"/>
              </w:rPr>
              <w:t>50</w:t>
            </w:r>
            <w:r>
              <w:rPr>
                <w:rFonts w:hint="eastAsia" w:ascii="宋体" w:hAnsi="宋体"/>
                <w:color w:val="FF0000"/>
                <w:sz w:val="24"/>
                <w:szCs w:val="24"/>
                <w:highlight w:val="yellow"/>
              </w:rPr>
              <w:t>分</w:t>
            </w:r>
          </w:p>
        </w:tc>
      </w:tr>
    </w:tbl>
    <w:p w14:paraId="3DCA7821">
      <w:pPr>
        <w:rPr>
          <w:rFonts w:ascii="宋体" w:hAnsi="宋体"/>
          <w:color w:val="auto"/>
          <w:sz w:val="24"/>
          <w:szCs w:val="24"/>
          <w:highlight w:val="none"/>
        </w:rPr>
      </w:pPr>
    </w:p>
    <w:p w14:paraId="35696335">
      <w:p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二、评审内容：</w:t>
      </w:r>
    </w:p>
    <w:p w14:paraId="1D188E96">
      <w:p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1、</w:t>
      </w:r>
      <w:bookmarkStart w:id="26" w:name="OLE_LINK10"/>
      <w:r>
        <w:rPr>
          <w:rFonts w:hint="eastAsia" w:ascii="宋体" w:hAnsi="宋体"/>
          <w:color w:val="auto"/>
          <w:sz w:val="24"/>
          <w:szCs w:val="24"/>
          <w:highlight w:val="none"/>
        </w:rPr>
        <w:t>技术商务部分</w:t>
      </w:r>
      <w:bookmarkEnd w:id="26"/>
    </w:p>
    <w:tbl>
      <w:tblPr>
        <w:tblStyle w:val="27"/>
        <w:tblW w:w="9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504"/>
        <w:gridCol w:w="1056"/>
        <w:gridCol w:w="828"/>
        <w:gridCol w:w="5557"/>
        <w:gridCol w:w="878"/>
      </w:tblGrid>
      <w:tr w14:paraId="0F4F9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4675ED1E">
            <w:pPr>
              <w:jc w:val="center"/>
              <w:rPr>
                <w:rFonts w:ascii="宋体" w:hAnsi="宋体"/>
                <w:color w:val="auto"/>
                <w:sz w:val="24"/>
                <w:szCs w:val="24"/>
                <w:highlight w:val="none"/>
              </w:rPr>
            </w:pPr>
            <w:bookmarkStart w:id="27" w:name="OLE_LINK8"/>
            <w:r>
              <w:rPr>
                <w:rFonts w:hint="eastAsia" w:ascii="宋体" w:hAnsi="宋体"/>
                <w:color w:val="auto"/>
                <w:sz w:val="24"/>
                <w:szCs w:val="24"/>
                <w:highlight w:val="none"/>
              </w:rPr>
              <w:t>评审内容</w:t>
            </w:r>
          </w:p>
        </w:tc>
        <w:tc>
          <w:tcPr>
            <w:tcW w:w="504" w:type="dxa"/>
            <w:tcBorders>
              <w:top w:val="single" w:color="auto" w:sz="4" w:space="0"/>
              <w:left w:val="single" w:color="auto" w:sz="4" w:space="0"/>
              <w:bottom w:val="single" w:color="auto" w:sz="4" w:space="0"/>
              <w:right w:val="single" w:color="auto" w:sz="4" w:space="0"/>
            </w:tcBorders>
            <w:noWrap w:val="0"/>
            <w:vAlign w:val="center"/>
          </w:tcPr>
          <w:p w14:paraId="3229E5DF">
            <w:pPr>
              <w:jc w:val="center"/>
              <w:rPr>
                <w:color w:val="auto"/>
                <w:sz w:val="24"/>
                <w:szCs w:val="24"/>
                <w:highlight w:val="none"/>
              </w:rPr>
            </w:pPr>
            <w:r>
              <w:rPr>
                <w:rFonts w:hint="eastAsia" w:ascii="宋体" w:hAnsi="宋体"/>
                <w:color w:val="auto"/>
                <w:sz w:val="24"/>
                <w:szCs w:val="24"/>
                <w:highlight w:val="none"/>
              </w:rPr>
              <w:t>序号</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4E06390D">
            <w:pPr>
              <w:jc w:val="center"/>
              <w:rPr>
                <w:rFonts w:ascii="宋体" w:hAnsi="宋体"/>
                <w:color w:val="auto"/>
                <w:sz w:val="24"/>
                <w:szCs w:val="24"/>
                <w:highlight w:val="none"/>
              </w:rPr>
            </w:pPr>
            <w:r>
              <w:rPr>
                <w:rFonts w:hint="eastAsia" w:ascii="宋体" w:hAnsi="宋体"/>
                <w:color w:val="auto"/>
                <w:sz w:val="24"/>
                <w:szCs w:val="24"/>
                <w:highlight w:val="none"/>
              </w:rPr>
              <w:t>评审项目</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64234DF">
            <w:pPr>
              <w:jc w:val="center"/>
              <w:rPr>
                <w:rFonts w:ascii="宋体" w:hAnsi="宋体"/>
                <w:color w:val="auto"/>
                <w:sz w:val="24"/>
                <w:szCs w:val="24"/>
                <w:highlight w:val="none"/>
              </w:rPr>
            </w:pPr>
            <w:r>
              <w:rPr>
                <w:rFonts w:hint="eastAsia" w:ascii="宋体" w:hAnsi="宋体"/>
                <w:color w:val="auto"/>
                <w:sz w:val="24"/>
                <w:szCs w:val="24"/>
                <w:highlight w:val="none"/>
              </w:rPr>
              <w:t>分值</w:t>
            </w:r>
          </w:p>
        </w:tc>
        <w:tc>
          <w:tcPr>
            <w:tcW w:w="5557" w:type="dxa"/>
            <w:tcBorders>
              <w:top w:val="single" w:color="auto" w:sz="4" w:space="0"/>
              <w:left w:val="single" w:color="auto" w:sz="4" w:space="0"/>
              <w:bottom w:val="single" w:color="auto" w:sz="4" w:space="0"/>
              <w:right w:val="single" w:color="auto" w:sz="4" w:space="0"/>
            </w:tcBorders>
            <w:noWrap w:val="0"/>
            <w:vAlign w:val="center"/>
          </w:tcPr>
          <w:p w14:paraId="0ECCAE54">
            <w:pPr>
              <w:jc w:val="center"/>
              <w:rPr>
                <w:rFonts w:ascii="宋体" w:hAnsi="宋体"/>
                <w:color w:val="auto"/>
                <w:sz w:val="24"/>
                <w:szCs w:val="24"/>
                <w:highlight w:val="none"/>
              </w:rPr>
            </w:pPr>
            <w:r>
              <w:rPr>
                <w:rFonts w:hint="eastAsia" w:ascii="宋体" w:hAnsi="宋体"/>
                <w:color w:val="auto"/>
                <w:sz w:val="24"/>
                <w:szCs w:val="24"/>
                <w:highlight w:val="none"/>
              </w:rPr>
              <w:t>评审细则</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049A1287">
            <w:pPr>
              <w:jc w:val="center"/>
              <w:rPr>
                <w:rFonts w:ascii="宋体" w:hAnsi="宋体"/>
                <w:color w:val="auto"/>
                <w:sz w:val="24"/>
                <w:szCs w:val="24"/>
                <w:highlight w:val="none"/>
              </w:rPr>
            </w:pPr>
            <w:r>
              <w:rPr>
                <w:rFonts w:hint="eastAsia" w:ascii="宋体" w:hAnsi="宋体"/>
                <w:color w:val="auto"/>
                <w:sz w:val="24"/>
                <w:szCs w:val="24"/>
                <w:highlight w:val="none"/>
              </w:rPr>
              <w:t>投标文件对应页码</w:t>
            </w:r>
          </w:p>
        </w:tc>
      </w:tr>
      <w:tr w14:paraId="50FC7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4" w:hRule="atLeast"/>
          <w:jc w:val="center"/>
        </w:trPr>
        <w:tc>
          <w:tcPr>
            <w:tcW w:w="625" w:type="dxa"/>
            <w:tcBorders>
              <w:top w:val="single" w:color="auto" w:sz="4" w:space="0"/>
              <w:left w:val="single" w:color="auto" w:sz="4" w:space="0"/>
              <w:right w:val="single" w:color="auto" w:sz="4" w:space="0"/>
            </w:tcBorders>
            <w:noWrap w:val="0"/>
            <w:vAlign w:val="center"/>
          </w:tcPr>
          <w:p w14:paraId="4D65D52E">
            <w:pPr>
              <w:jc w:val="center"/>
              <w:rPr>
                <w:rFonts w:hint="default" w:ascii="宋体" w:hAnsi="宋体" w:eastAsiaTheme="minorEastAsia"/>
                <w:color w:val="auto"/>
                <w:sz w:val="24"/>
                <w:szCs w:val="24"/>
                <w:highlight w:val="none"/>
                <w:lang w:val="en-US" w:eastAsia="zh-CN"/>
              </w:rPr>
            </w:pPr>
            <w:r>
              <w:rPr>
                <w:rFonts w:hint="eastAsia" w:ascii="宋体" w:hAnsi="宋体"/>
                <w:color w:val="auto"/>
                <w:sz w:val="24"/>
                <w:szCs w:val="24"/>
                <w:highlight w:val="none"/>
              </w:rPr>
              <w:t>主观评审因素</w:t>
            </w:r>
            <w:r>
              <w:rPr>
                <w:rFonts w:hint="eastAsia" w:ascii="宋体" w:hAnsi="宋体"/>
                <w:color w:val="auto"/>
                <w:sz w:val="24"/>
                <w:szCs w:val="24"/>
                <w:highlight w:val="none"/>
                <w:lang w:val="en-US" w:eastAsia="zh-CN"/>
              </w:rPr>
              <w:t>25分</w:t>
            </w:r>
          </w:p>
        </w:tc>
        <w:tc>
          <w:tcPr>
            <w:tcW w:w="504" w:type="dxa"/>
            <w:tcBorders>
              <w:top w:val="single" w:color="auto" w:sz="4" w:space="0"/>
              <w:left w:val="single" w:color="auto" w:sz="4" w:space="0"/>
              <w:bottom w:val="single" w:color="auto" w:sz="4" w:space="0"/>
              <w:right w:val="single" w:color="auto" w:sz="4" w:space="0"/>
            </w:tcBorders>
            <w:noWrap w:val="0"/>
            <w:vAlign w:val="center"/>
          </w:tcPr>
          <w:p w14:paraId="6B1CCB6D">
            <w:pPr>
              <w:jc w:val="center"/>
              <w:rPr>
                <w:rFonts w:ascii="宋体" w:hAnsi="宋体"/>
                <w:color w:val="auto"/>
                <w:sz w:val="24"/>
                <w:szCs w:val="24"/>
                <w:highlight w:val="none"/>
              </w:rPr>
            </w:pPr>
            <w:r>
              <w:rPr>
                <w:rFonts w:hint="eastAsia" w:ascii="宋体" w:hAnsi="宋体"/>
                <w:color w:val="auto"/>
                <w:sz w:val="24"/>
                <w:szCs w:val="24"/>
                <w:highlight w:val="none"/>
              </w:rPr>
              <w:t>1</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0DE10B9A">
            <w:pPr>
              <w:pStyle w:val="75"/>
              <w:widowControl/>
              <w:jc w:val="center"/>
              <w:rPr>
                <w:rFonts w:ascii="宋体" w:hAnsi="宋体"/>
                <w:color w:val="auto"/>
                <w:kern w:val="2"/>
                <w:sz w:val="24"/>
                <w:highlight w:val="none"/>
              </w:rPr>
            </w:pPr>
            <w:r>
              <w:rPr>
                <w:rFonts w:hint="eastAsia" w:ascii="宋体" w:hAnsi="宋体"/>
                <w:color w:val="auto"/>
                <w:kern w:val="2"/>
                <w:sz w:val="24"/>
                <w:highlight w:val="none"/>
              </w:rPr>
              <w:t>技术方案</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193E8DE">
            <w:pPr>
              <w:jc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25</w:t>
            </w:r>
          </w:p>
        </w:tc>
        <w:tc>
          <w:tcPr>
            <w:tcW w:w="5557" w:type="dxa"/>
            <w:tcBorders>
              <w:top w:val="single" w:color="auto" w:sz="4" w:space="0"/>
              <w:left w:val="single" w:color="auto" w:sz="4" w:space="0"/>
              <w:bottom w:val="single" w:color="auto" w:sz="4" w:space="0"/>
              <w:right w:val="single" w:color="auto" w:sz="4" w:space="0"/>
            </w:tcBorders>
            <w:noWrap w:val="0"/>
            <w:vAlign w:val="center"/>
          </w:tcPr>
          <w:p w14:paraId="14F0AD97">
            <w:pPr>
              <w:numPr>
                <w:ilvl w:val="0"/>
                <w:numId w:val="13"/>
              </w:numPr>
              <w:tabs>
                <w:tab w:val="left" w:pos="360"/>
                <w:tab w:val="left" w:pos="1401"/>
              </w:tabs>
              <w:spacing w:line="400" w:lineRule="exact"/>
              <w:ind w:left="0" w:leftChars="0" w:firstLine="0" w:firstLineChars="0"/>
              <w:jc w:val="left"/>
              <w:rPr>
                <w:rFonts w:hint="eastAsia" w:ascii="宋体" w:hAnsi="宋体"/>
                <w:color w:val="auto"/>
                <w:sz w:val="24"/>
                <w:szCs w:val="24"/>
                <w:highlight w:val="none"/>
              </w:rPr>
            </w:pPr>
            <w:r>
              <w:rPr>
                <w:rFonts w:hint="eastAsia" w:ascii="宋体" w:hAnsi="宋体"/>
                <w:color w:val="auto"/>
                <w:sz w:val="24"/>
                <w:szCs w:val="24"/>
                <w:highlight w:val="none"/>
              </w:rPr>
              <w:t>针对本项目的实际需求、提供重点及难点解决方案（</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分）</w:t>
            </w:r>
            <w:r>
              <w:rPr>
                <w:rFonts w:hint="eastAsia" w:ascii="宋体" w:hAnsi="宋体"/>
                <w:color w:val="auto"/>
                <w:sz w:val="24"/>
                <w:szCs w:val="24"/>
                <w:highlight w:val="none"/>
                <w:lang w:eastAsia="zh-CN"/>
              </w:rPr>
              <w:t>：</w:t>
            </w:r>
          </w:p>
          <w:p w14:paraId="3D92A7F6">
            <w:pPr>
              <w:numPr>
                <w:ilvl w:val="0"/>
                <w:numId w:val="0"/>
              </w:numPr>
              <w:tabs>
                <w:tab w:val="left" w:pos="360"/>
                <w:tab w:val="left" w:pos="1401"/>
              </w:tabs>
              <w:spacing w:line="400" w:lineRule="exact"/>
              <w:ind w:leftChars="0"/>
              <w:jc w:val="left"/>
              <w:rPr>
                <w:rFonts w:ascii="宋体" w:hAnsi="宋体"/>
                <w:color w:val="auto"/>
                <w:sz w:val="24"/>
                <w:szCs w:val="24"/>
                <w:highlight w:val="none"/>
              </w:rPr>
            </w:pPr>
            <w:r>
              <w:rPr>
                <w:rFonts w:hint="eastAsia" w:ascii="宋体" w:hAnsi="宋体"/>
                <w:color w:val="auto"/>
                <w:sz w:val="24"/>
                <w:szCs w:val="24"/>
                <w:highlight w:val="none"/>
              </w:rPr>
              <w:t>方案详实具体、科学合理、针对性强、可实施性强</w:t>
            </w:r>
            <w:r>
              <w:rPr>
                <w:rFonts w:hint="eastAsia" w:ascii="宋体" w:hAnsi="宋体"/>
                <w:color w:val="auto"/>
                <w:sz w:val="24"/>
                <w:szCs w:val="24"/>
                <w:highlight w:val="none"/>
                <w:lang w:val="en-US" w:eastAsia="zh-CN"/>
              </w:rPr>
              <w:t>的，</w:t>
            </w:r>
            <w:r>
              <w:rPr>
                <w:rFonts w:hint="eastAsia" w:ascii="宋体" w:hAnsi="宋体"/>
                <w:color w:val="auto"/>
                <w:sz w:val="24"/>
                <w:szCs w:val="24"/>
                <w:highlight w:val="none"/>
              </w:rPr>
              <w:t>得</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分；方案简单、可实施性</w:t>
            </w:r>
            <w:r>
              <w:rPr>
                <w:rFonts w:hint="eastAsia" w:ascii="宋体" w:hAnsi="宋体"/>
                <w:color w:val="auto"/>
                <w:sz w:val="24"/>
                <w:szCs w:val="24"/>
                <w:highlight w:val="none"/>
                <w:lang w:val="en-US" w:eastAsia="zh-CN"/>
              </w:rPr>
              <w:t>较强的，</w:t>
            </w:r>
            <w:r>
              <w:rPr>
                <w:rFonts w:hint="eastAsia" w:ascii="宋体" w:hAnsi="宋体"/>
                <w:color w:val="auto"/>
                <w:sz w:val="24"/>
                <w:szCs w:val="24"/>
                <w:highlight w:val="none"/>
              </w:rPr>
              <w:t>得</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分；方案简单、可实施性</w:t>
            </w:r>
            <w:r>
              <w:rPr>
                <w:rFonts w:hint="eastAsia" w:ascii="宋体" w:hAnsi="宋体"/>
                <w:color w:val="auto"/>
                <w:sz w:val="24"/>
                <w:szCs w:val="24"/>
                <w:highlight w:val="none"/>
                <w:lang w:val="en-US" w:eastAsia="zh-CN"/>
              </w:rPr>
              <w:t>一般</w:t>
            </w:r>
            <w:r>
              <w:rPr>
                <w:rFonts w:hint="eastAsia" w:ascii="宋体" w:hAnsi="宋体"/>
                <w:color w:val="auto"/>
                <w:sz w:val="24"/>
                <w:szCs w:val="24"/>
                <w:highlight w:val="none"/>
              </w:rPr>
              <w:t>的</w:t>
            </w:r>
            <w:r>
              <w:rPr>
                <w:rFonts w:hint="eastAsia" w:ascii="宋体" w:hAnsi="宋体"/>
                <w:color w:val="auto"/>
                <w:sz w:val="24"/>
                <w:szCs w:val="24"/>
                <w:highlight w:val="none"/>
                <w:lang w:eastAsia="zh-CN"/>
              </w:rPr>
              <w:t>，</w:t>
            </w:r>
            <w:r>
              <w:rPr>
                <w:rFonts w:hint="eastAsia" w:ascii="宋体" w:hAnsi="宋体"/>
                <w:color w:val="auto"/>
                <w:sz w:val="24"/>
                <w:szCs w:val="24"/>
                <w:highlight w:val="none"/>
              </w:rPr>
              <w:t>得</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分；</w:t>
            </w:r>
            <w:r>
              <w:rPr>
                <w:rFonts w:hint="eastAsia" w:ascii="宋体" w:hAnsi="宋体"/>
                <w:color w:val="auto"/>
                <w:sz w:val="24"/>
                <w:szCs w:val="24"/>
                <w:highlight w:val="none"/>
                <w:lang w:val="en-US" w:eastAsia="zh-CN"/>
              </w:rPr>
              <w:t>其余情况不得分。</w:t>
            </w:r>
          </w:p>
          <w:p w14:paraId="144DAF3F">
            <w:pPr>
              <w:tabs>
                <w:tab w:val="left" w:pos="360"/>
                <w:tab w:val="left" w:pos="1401"/>
              </w:tabs>
              <w:spacing w:line="400" w:lineRule="exact"/>
              <w:jc w:val="left"/>
              <w:rPr>
                <w:rFonts w:hint="eastAsia" w:ascii="宋体" w:hAnsi="宋体" w:eastAsiaTheme="minorEastAsia"/>
                <w:color w:val="auto"/>
                <w:sz w:val="24"/>
                <w:szCs w:val="24"/>
                <w:highlight w:val="none"/>
                <w:lang w:eastAsia="zh-CN"/>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、进度计划及质量保证措施（</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分）</w:t>
            </w:r>
            <w:r>
              <w:rPr>
                <w:rFonts w:hint="eastAsia" w:ascii="宋体" w:hAnsi="宋体"/>
                <w:color w:val="auto"/>
                <w:sz w:val="24"/>
                <w:szCs w:val="24"/>
                <w:highlight w:val="none"/>
                <w:lang w:eastAsia="zh-CN"/>
              </w:rPr>
              <w:t>：</w:t>
            </w:r>
          </w:p>
          <w:p w14:paraId="3D9C26D0">
            <w:pPr>
              <w:numPr>
                <w:ilvl w:val="0"/>
                <w:numId w:val="0"/>
              </w:numPr>
              <w:tabs>
                <w:tab w:val="left" w:pos="360"/>
                <w:tab w:val="left" w:pos="1401"/>
              </w:tabs>
              <w:spacing w:line="400" w:lineRule="exact"/>
              <w:jc w:val="left"/>
              <w:rPr>
                <w:rFonts w:ascii="宋体" w:hAnsi="宋体"/>
                <w:color w:val="auto"/>
                <w:sz w:val="24"/>
                <w:szCs w:val="24"/>
                <w:highlight w:val="none"/>
              </w:rPr>
            </w:pPr>
            <w:r>
              <w:rPr>
                <w:rFonts w:hint="eastAsia" w:ascii="宋体" w:hAnsi="宋体"/>
                <w:color w:val="auto"/>
                <w:sz w:val="24"/>
                <w:szCs w:val="24"/>
                <w:highlight w:val="none"/>
              </w:rPr>
              <w:t>措施详实具体、科学合理、针对性强、可实施性强</w:t>
            </w:r>
            <w:r>
              <w:rPr>
                <w:rFonts w:hint="eastAsia" w:ascii="宋体" w:hAnsi="宋体"/>
                <w:color w:val="auto"/>
                <w:sz w:val="24"/>
                <w:szCs w:val="24"/>
                <w:highlight w:val="none"/>
                <w:lang w:val="en-US" w:eastAsia="zh-CN"/>
              </w:rPr>
              <w:t>的，</w:t>
            </w:r>
            <w:r>
              <w:rPr>
                <w:rFonts w:hint="eastAsia" w:ascii="宋体" w:hAnsi="宋体"/>
                <w:color w:val="auto"/>
                <w:sz w:val="24"/>
                <w:szCs w:val="24"/>
                <w:highlight w:val="none"/>
              </w:rPr>
              <w:t>得</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分；措施简单、可实施性</w:t>
            </w:r>
            <w:r>
              <w:rPr>
                <w:rFonts w:hint="eastAsia" w:ascii="宋体" w:hAnsi="宋体"/>
                <w:color w:val="auto"/>
                <w:sz w:val="24"/>
                <w:szCs w:val="24"/>
                <w:highlight w:val="none"/>
                <w:lang w:val="en-US" w:eastAsia="zh-CN"/>
              </w:rPr>
              <w:t>较强的，</w:t>
            </w:r>
            <w:r>
              <w:rPr>
                <w:rFonts w:hint="eastAsia" w:ascii="宋体" w:hAnsi="宋体"/>
                <w:color w:val="auto"/>
                <w:sz w:val="24"/>
                <w:szCs w:val="24"/>
                <w:highlight w:val="none"/>
              </w:rPr>
              <w:t>得</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分；措施简单、可实施性</w:t>
            </w:r>
            <w:r>
              <w:rPr>
                <w:rFonts w:hint="eastAsia" w:ascii="宋体" w:hAnsi="宋体"/>
                <w:color w:val="auto"/>
                <w:sz w:val="24"/>
                <w:szCs w:val="24"/>
                <w:highlight w:val="none"/>
                <w:lang w:val="en-US" w:eastAsia="zh-CN"/>
              </w:rPr>
              <w:t>一般</w:t>
            </w:r>
            <w:r>
              <w:rPr>
                <w:rFonts w:hint="eastAsia" w:ascii="宋体" w:hAnsi="宋体"/>
                <w:color w:val="auto"/>
                <w:sz w:val="24"/>
                <w:szCs w:val="24"/>
                <w:highlight w:val="none"/>
              </w:rPr>
              <w:t>的</w:t>
            </w:r>
            <w:r>
              <w:rPr>
                <w:rFonts w:hint="eastAsia" w:ascii="宋体" w:hAnsi="宋体"/>
                <w:color w:val="auto"/>
                <w:sz w:val="24"/>
                <w:szCs w:val="24"/>
                <w:highlight w:val="none"/>
                <w:lang w:eastAsia="zh-CN"/>
              </w:rPr>
              <w:t>，</w:t>
            </w:r>
            <w:r>
              <w:rPr>
                <w:rFonts w:hint="eastAsia" w:ascii="宋体" w:hAnsi="宋体"/>
                <w:color w:val="auto"/>
                <w:sz w:val="24"/>
                <w:szCs w:val="24"/>
                <w:highlight w:val="none"/>
              </w:rPr>
              <w:t>得</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分；</w:t>
            </w:r>
            <w:r>
              <w:rPr>
                <w:rFonts w:hint="eastAsia" w:ascii="宋体" w:hAnsi="宋体"/>
                <w:color w:val="auto"/>
                <w:sz w:val="24"/>
                <w:szCs w:val="24"/>
                <w:highlight w:val="none"/>
                <w:lang w:val="en-US" w:eastAsia="zh-CN"/>
              </w:rPr>
              <w:t>其余情况不得分。</w:t>
            </w:r>
          </w:p>
          <w:p w14:paraId="6D66CF5A">
            <w:pPr>
              <w:spacing w:line="400" w:lineRule="exact"/>
              <w:jc w:val="left"/>
              <w:rPr>
                <w:rFonts w:hint="eastAsia" w:ascii="宋体" w:hAnsi="宋体" w:eastAsiaTheme="minorEastAsia"/>
                <w:color w:val="auto"/>
                <w:sz w:val="24"/>
                <w:szCs w:val="24"/>
                <w:highlight w:val="none"/>
                <w:lang w:eastAsia="zh-CN"/>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、安全保障措施（</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分）</w:t>
            </w:r>
            <w:r>
              <w:rPr>
                <w:rFonts w:hint="eastAsia" w:ascii="宋体" w:hAnsi="宋体"/>
                <w:color w:val="auto"/>
                <w:sz w:val="24"/>
                <w:szCs w:val="24"/>
                <w:highlight w:val="none"/>
                <w:lang w:eastAsia="zh-CN"/>
              </w:rPr>
              <w:t>：</w:t>
            </w:r>
          </w:p>
          <w:p w14:paraId="09D476D0">
            <w:pPr>
              <w:tabs>
                <w:tab w:val="left" w:pos="360"/>
                <w:tab w:val="left" w:pos="1401"/>
              </w:tabs>
              <w:adjustRightInd w:val="0"/>
              <w:snapToGrid w:val="0"/>
              <w:spacing w:line="400" w:lineRule="exact"/>
              <w:jc w:val="left"/>
              <w:rPr>
                <w:rFonts w:ascii="宋体" w:hAnsi="宋体"/>
                <w:color w:val="auto"/>
                <w:sz w:val="24"/>
                <w:szCs w:val="24"/>
                <w:highlight w:val="none"/>
              </w:rPr>
            </w:pPr>
            <w:r>
              <w:rPr>
                <w:rFonts w:hint="eastAsia" w:ascii="宋体" w:hAnsi="宋体"/>
                <w:color w:val="auto"/>
                <w:sz w:val="24"/>
                <w:szCs w:val="24"/>
                <w:highlight w:val="none"/>
              </w:rPr>
              <w:t>措施详实具体、科学合理、针对性强、可实施性强</w:t>
            </w:r>
            <w:r>
              <w:rPr>
                <w:rFonts w:hint="eastAsia" w:ascii="宋体" w:hAnsi="宋体"/>
                <w:color w:val="auto"/>
                <w:sz w:val="24"/>
                <w:szCs w:val="24"/>
                <w:highlight w:val="none"/>
                <w:lang w:val="en-US" w:eastAsia="zh-CN"/>
              </w:rPr>
              <w:t>的，</w:t>
            </w:r>
            <w:r>
              <w:rPr>
                <w:rFonts w:hint="eastAsia" w:ascii="宋体" w:hAnsi="宋体"/>
                <w:color w:val="auto"/>
                <w:sz w:val="24"/>
                <w:szCs w:val="24"/>
                <w:highlight w:val="none"/>
              </w:rPr>
              <w:t>得</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分；措施简单、可实施性</w:t>
            </w:r>
            <w:r>
              <w:rPr>
                <w:rFonts w:hint="eastAsia" w:ascii="宋体" w:hAnsi="宋体"/>
                <w:color w:val="auto"/>
                <w:sz w:val="24"/>
                <w:szCs w:val="24"/>
                <w:highlight w:val="none"/>
                <w:lang w:val="en-US" w:eastAsia="zh-CN"/>
              </w:rPr>
              <w:t>较强的，</w:t>
            </w:r>
            <w:r>
              <w:rPr>
                <w:rFonts w:hint="eastAsia" w:ascii="宋体" w:hAnsi="宋体"/>
                <w:color w:val="auto"/>
                <w:sz w:val="24"/>
                <w:szCs w:val="24"/>
                <w:highlight w:val="none"/>
              </w:rPr>
              <w:t>得</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分；措施简单、可实施性</w:t>
            </w:r>
            <w:r>
              <w:rPr>
                <w:rFonts w:hint="eastAsia" w:ascii="宋体" w:hAnsi="宋体"/>
                <w:color w:val="auto"/>
                <w:sz w:val="24"/>
                <w:szCs w:val="24"/>
                <w:highlight w:val="none"/>
                <w:lang w:val="en-US" w:eastAsia="zh-CN"/>
              </w:rPr>
              <w:t>一般</w:t>
            </w:r>
            <w:r>
              <w:rPr>
                <w:rFonts w:hint="eastAsia" w:ascii="宋体" w:hAnsi="宋体"/>
                <w:color w:val="auto"/>
                <w:sz w:val="24"/>
                <w:szCs w:val="24"/>
                <w:highlight w:val="none"/>
              </w:rPr>
              <w:t>的</w:t>
            </w:r>
            <w:r>
              <w:rPr>
                <w:rFonts w:hint="eastAsia" w:ascii="宋体" w:hAnsi="宋体"/>
                <w:color w:val="auto"/>
                <w:sz w:val="24"/>
                <w:szCs w:val="24"/>
                <w:highlight w:val="none"/>
                <w:lang w:eastAsia="zh-CN"/>
              </w:rPr>
              <w:t>，</w:t>
            </w:r>
            <w:r>
              <w:rPr>
                <w:rFonts w:hint="eastAsia" w:ascii="宋体" w:hAnsi="宋体"/>
                <w:color w:val="auto"/>
                <w:sz w:val="24"/>
                <w:szCs w:val="24"/>
                <w:highlight w:val="none"/>
              </w:rPr>
              <w:t>得</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分；</w:t>
            </w:r>
            <w:r>
              <w:rPr>
                <w:rFonts w:hint="eastAsia" w:ascii="宋体" w:hAnsi="宋体"/>
                <w:color w:val="auto"/>
                <w:sz w:val="24"/>
                <w:szCs w:val="24"/>
                <w:highlight w:val="none"/>
                <w:lang w:val="en-US" w:eastAsia="zh-CN"/>
              </w:rPr>
              <w:t>其余情况不得分。</w:t>
            </w:r>
          </w:p>
          <w:p w14:paraId="66ACAC6D">
            <w:pPr>
              <w:numPr>
                <w:ilvl w:val="0"/>
                <w:numId w:val="0"/>
              </w:numPr>
              <w:tabs>
                <w:tab w:val="left" w:pos="360"/>
                <w:tab w:val="left" w:pos="1401"/>
              </w:tabs>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售后服务方案（包含服务人员、质保期、故障响应机制、交货时间等）（</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分）</w:t>
            </w:r>
            <w:r>
              <w:rPr>
                <w:rFonts w:hint="eastAsia" w:ascii="宋体" w:hAnsi="宋体"/>
                <w:color w:val="auto"/>
                <w:sz w:val="24"/>
                <w:szCs w:val="24"/>
                <w:highlight w:val="none"/>
                <w:lang w:val="en-US" w:eastAsia="zh-CN"/>
              </w:rPr>
              <w:t>:</w:t>
            </w:r>
          </w:p>
          <w:p w14:paraId="56CA61CB">
            <w:pPr>
              <w:numPr>
                <w:ilvl w:val="0"/>
                <w:numId w:val="0"/>
              </w:numPr>
              <w:tabs>
                <w:tab w:val="left" w:pos="360"/>
                <w:tab w:val="left" w:pos="1401"/>
              </w:tabs>
              <w:spacing w:line="400" w:lineRule="exact"/>
              <w:jc w:val="left"/>
              <w:rPr>
                <w:rFonts w:hint="eastAsia" w:ascii="宋体" w:hAnsi="宋体" w:eastAsiaTheme="minorEastAsia"/>
                <w:color w:val="auto"/>
                <w:sz w:val="24"/>
                <w:szCs w:val="24"/>
                <w:highlight w:val="none"/>
                <w:lang w:eastAsia="zh-CN"/>
              </w:rPr>
            </w:pPr>
            <w:r>
              <w:rPr>
                <w:rFonts w:hint="eastAsia" w:ascii="宋体" w:hAnsi="宋体"/>
                <w:color w:val="auto"/>
                <w:sz w:val="24"/>
                <w:szCs w:val="24"/>
                <w:highlight w:val="none"/>
              </w:rPr>
              <w:t>售后服务方案完善合理、专业性强、可操作性强的，得</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分；售后服务方案较合理、专业性</w:t>
            </w:r>
            <w:r>
              <w:rPr>
                <w:rFonts w:hint="eastAsia" w:ascii="宋体" w:hAnsi="宋体"/>
                <w:color w:val="auto"/>
                <w:sz w:val="24"/>
                <w:szCs w:val="24"/>
                <w:highlight w:val="none"/>
                <w:lang w:val="en-US" w:eastAsia="zh-CN"/>
              </w:rPr>
              <w:t>较强</w:t>
            </w:r>
            <w:r>
              <w:rPr>
                <w:rFonts w:hint="eastAsia" w:ascii="宋体" w:hAnsi="宋体"/>
                <w:color w:val="auto"/>
                <w:sz w:val="24"/>
                <w:szCs w:val="24"/>
                <w:highlight w:val="none"/>
              </w:rPr>
              <w:t>、有一定可操作性的，得</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分；售后服务方案、专业性、可操作性</w:t>
            </w:r>
            <w:r>
              <w:rPr>
                <w:rFonts w:hint="eastAsia" w:ascii="宋体" w:hAnsi="宋体"/>
                <w:color w:val="auto"/>
                <w:sz w:val="24"/>
                <w:szCs w:val="24"/>
                <w:highlight w:val="none"/>
                <w:lang w:val="en-US" w:eastAsia="zh-CN"/>
              </w:rPr>
              <w:t>一般</w:t>
            </w:r>
            <w:r>
              <w:rPr>
                <w:rFonts w:hint="eastAsia" w:ascii="宋体" w:hAnsi="宋体"/>
                <w:color w:val="auto"/>
                <w:sz w:val="24"/>
                <w:szCs w:val="24"/>
                <w:highlight w:val="none"/>
              </w:rPr>
              <w:t>的，得</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分；</w:t>
            </w:r>
            <w:r>
              <w:rPr>
                <w:rFonts w:hint="eastAsia" w:ascii="宋体" w:hAnsi="宋体"/>
                <w:color w:val="auto"/>
                <w:sz w:val="24"/>
                <w:szCs w:val="24"/>
                <w:highlight w:val="none"/>
                <w:lang w:val="en-US" w:eastAsia="zh-CN"/>
              </w:rPr>
              <w:t>其余情况不得分。</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7DC171FD">
            <w:pPr>
              <w:jc w:val="center"/>
              <w:rPr>
                <w:rFonts w:ascii="宋体" w:hAnsi="宋体"/>
                <w:color w:val="auto"/>
                <w:sz w:val="24"/>
                <w:szCs w:val="24"/>
                <w:highlight w:val="none"/>
              </w:rPr>
            </w:pPr>
          </w:p>
        </w:tc>
      </w:tr>
      <w:tr w14:paraId="6AD40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9" w:hRule="atLeast"/>
          <w:jc w:val="center"/>
        </w:trPr>
        <w:tc>
          <w:tcPr>
            <w:tcW w:w="625" w:type="dxa"/>
            <w:vMerge w:val="restart"/>
            <w:tcBorders>
              <w:top w:val="single" w:color="auto" w:sz="4" w:space="0"/>
              <w:left w:val="single" w:color="auto" w:sz="4" w:space="0"/>
              <w:right w:val="single" w:color="auto" w:sz="4" w:space="0"/>
            </w:tcBorders>
            <w:noWrap w:val="0"/>
            <w:vAlign w:val="center"/>
          </w:tcPr>
          <w:p w14:paraId="5F11DDD1">
            <w:pPr>
              <w:jc w:val="center"/>
              <w:rPr>
                <w:rFonts w:hint="default" w:ascii="宋体" w:hAnsi="宋体" w:eastAsiaTheme="minorEastAsia"/>
                <w:color w:val="auto"/>
                <w:sz w:val="24"/>
                <w:szCs w:val="24"/>
                <w:highlight w:val="none"/>
                <w:lang w:val="en-US" w:eastAsia="zh-CN"/>
              </w:rPr>
            </w:pPr>
            <w:r>
              <w:rPr>
                <w:rFonts w:hint="eastAsia" w:ascii="宋体" w:hAnsi="宋体"/>
                <w:color w:val="auto"/>
                <w:sz w:val="24"/>
                <w:szCs w:val="24"/>
                <w:highlight w:val="none"/>
              </w:rPr>
              <w:t>客观评审因素</w:t>
            </w:r>
            <w:r>
              <w:rPr>
                <w:rFonts w:hint="eastAsia" w:ascii="宋体" w:hAnsi="宋体"/>
                <w:color w:val="auto"/>
                <w:sz w:val="24"/>
                <w:szCs w:val="24"/>
                <w:highlight w:val="none"/>
                <w:lang w:val="en-US" w:eastAsia="zh-CN"/>
              </w:rPr>
              <w:t>25分</w:t>
            </w:r>
          </w:p>
        </w:tc>
        <w:tc>
          <w:tcPr>
            <w:tcW w:w="504" w:type="dxa"/>
            <w:tcBorders>
              <w:top w:val="single" w:color="auto" w:sz="4" w:space="0"/>
              <w:left w:val="single" w:color="auto" w:sz="4" w:space="0"/>
              <w:right w:val="single" w:color="auto" w:sz="4" w:space="0"/>
            </w:tcBorders>
            <w:noWrap w:val="0"/>
            <w:vAlign w:val="center"/>
          </w:tcPr>
          <w:p w14:paraId="71DB15A9">
            <w:pPr>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1</w:t>
            </w:r>
          </w:p>
        </w:tc>
        <w:tc>
          <w:tcPr>
            <w:tcW w:w="1056" w:type="dxa"/>
            <w:tcBorders>
              <w:top w:val="single" w:color="auto" w:sz="4" w:space="0"/>
              <w:left w:val="single" w:color="auto" w:sz="4" w:space="0"/>
              <w:right w:val="single" w:color="auto" w:sz="4" w:space="0"/>
            </w:tcBorders>
            <w:noWrap w:val="0"/>
            <w:vAlign w:val="center"/>
          </w:tcPr>
          <w:p w14:paraId="414A983D">
            <w:pPr>
              <w:pStyle w:val="75"/>
              <w:widowControl/>
              <w:jc w:val="center"/>
              <w:rPr>
                <w:rFonts w:hint="eastAsia" w:ascii="宋体" w:hAnsi="宋体" w:eastAsia="宋体"/>
                <w:color w:val="auto"/>
                <w:kern w:val="2"/>
                <w:sz w:val="24"/>
                <w:highlight w:val="none"/>
                <w:lang w:val="en-US" w:eastAsia="zh-CN"/>
              </w:rPr>
            </w:pPr>
            <w:r>
              <w:rPr>
                <w:rFonts w:hint="eastAsia" w:ascii="宋体" w:hAnsi="宋体"/>
                <w:color w:val="auto"/>
                <w:kern w:val="2"/>
                <w:sz w:val="24"/>
                <w:highlight w:val="none"/>
                <w:lang w:val="en-US" w:eastAsia="zh-CN"/>
              </w:rPr>
              <w:t>业绩</w:t>
            </w:r>
          </w:p>
        </w:tc>
        <w:tc>
          <w:tcPr>
            <w:tcW w:w="828" w:type="dxa"/>
            <w:tcBorders>
              <w:top w:val="single" w:color="auto" w:sz="4" w:space="0"/>
              <w:left w:val="single" w:color="auto" w:sz="4" w:space="0"/>
              <w:right w:val="single" w:color="auto" w:sz="4" w:space="0"/>
            </w:tcBorders>
            <w:noWrap w:val="0"/>
            <w:vAlign w:val="center"/>
          </w:tcPr>
          <w:p w14:paraId="6AAE28CE">
            <w:pPr>
              <w:jc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4</w:t>
            </w:r>
          </w:p>
        </w:tc>
        <w:tc>
          <w:tcPr>
            <w:tcW w:w="5557" w:type="dxa"/>
            <w:tcBorders>
              <w:top w:val="single" w:color="auto" w:sz="4" w:space="0"/>
              <w:left w:val="single" w:color="auto" w:sz="4" w:space="0"/>
              <w:bottom w:val="single" w:color="auto" w:sz="4" w:space="0"/>
              <w:right w:val="single" w:color="auto" w:sz="4" w:space="0"/>
            </w:tcBorders>
            <w:noWrap w:val="0"/>
            <w:vAlign w:val="center"/>
          </w:tcPr>
          <w:p w14:paraId="17256507">
            <w:pPr>
              <w:pStyle w:val="74"/>
              <w:widowControl/>
              <w:jc w:val="left"/>
              <w:rPr>
                <w:rFonts w:hint="default" w:ascii="宋体" w:hAnsi="宋体" w:eastAsia="宋体"/>
                <w:color w:val="auto"/>
                <w:kern w:val="2"/>
                <w:sz w:val="24"/>
                <w:highlight w:val="yellow"/>
                <w:lang w:val="en-US" w:eastAsia="zh-CN"/>
              </w:rPr>
            </w:pPr>
            <w:r>
              <w:rPr>
                <w:rFonts w:hint="eastAsia" w:ascii="宋体" w:hAnsi="宋体" w:eastAsia="宋体"/>
                <w:color w:val="auto"/>
                <w:kern w:val="2"/>
                <w:sz w:val="24"/>
                <w:highlight w:val="yellow"/>
                <w:lang w:eastAsia="zh-CN"/>
              </w:rPr>
              <w:t>自2022年1月（指销售合同签订时间）以来，承担过类似项目业绩的， 细格栅、精准除砂、除臭系统、活性炭吸附系统每类设备业绩得</w:t>
            </w:r>
            <w:r>
              <w:rPr>
                <w:rFonts w:hint="eastAsia" w:ascii="宋体" w:hAnsi="宋体"/>
                <w:color w:val="auto"/>
                <w:kern w:val="2"/>
                <w:sz w:val="24"/>
                <w:highlight w:val="yellow"/>
                <w:lang w:val="en-US" w:eastAsia="zh-CN"/>
              </w:rPr>
              <w:t>1</w:t>
            </w:r>
            <w:r>
              <w:rPr>
                <w:rFonts w:hint="eastAsia" w:ascii="宋体" w:hAnsi="宋体" w:eastAsia="宋体"/>
                <w:color w:val="auto"/>
                <w:kern w:val="2"/>
                <w:sz w:val="24"/>
                <w:highlight w:val="yellow"/>
                <w:lang w:eastAsia="zh-CN"/>
              </w:rPr>
              <w:t>分，全部得4分</w:t>
            </w:r>
            <w:r>
              <w:rPr>
                <w:rFonts w:hint="eastAsia" w:ascii="宋体" w:hAnsi="宋体"/>
                <w:color w:val="auto"/>
                <w:kern w:val="2"/>
                <w:sz w:val="24"/>
                <w:highlight w:val="yellow"/>
                <w:lang w:eastAsia="zh-CN"/>
              </w:rPr>
              <w:t>。</w:t>
            </w:r>
          </w:p>
          <w:p w14:paraId="325E2889">
            <w:pPr>
              <w:pStyle w:val="74"/>
              <w:widowControl/>
              <w:jc w:val="left"/>
              <w:rPr>
                <w:rFonts w:hint="eastAsia" w:ascii="宋体" w:hAnsi="宋体" w:eastAsia="宋体"/>
                <w:color w:val="auto"/>
                <w:kern w:val="2"/>
                <w:sz w:val="24"/>
                <w:highlight w:val="none"/>
                <w:lang w:eastAsia="zh-CN"/>
              </w:rPr>
            </w:pPr>
            <w:r>
              <w:rPr>
                <w:rFonts w:hint="eastAsia" w:ascii="宋体" w:hAnsi="宋体"/>
                <w:b/>
                <w:bCs/>
                <w:color w:val="auto"/>
                <w:kern w:val="2"/>
                <w:sz w:val="24"/>
                <w:highlight w:val="none"/>
                <w:lang w:val="en-US" w:eastAsia="zh-CN"/>
              </w:rPr>
              <w:t>备注：</w:t>
            </w:r>
            <w:r>
              <w:rPr>
                <w:rFonts w:hint="eastAsia" w:ascii="宋体" w:hAnsi="宋体" w:eastAsia="宋体"/>
                <w:color w:val="auto"/>
                <w:kern w:val="2"/>
                <w:sz w:val="24"/>
                <w:highlight w:val="none"/>
                <w:lang w:eastAsia="zh-CN"/>
              </w:rPr>
              <w:t>投标文件中须提供</w:t>
            </w:r>
            <w:r>
              <w:rPr>
                <w:rFonts w:hint="eastAsia" w:ascii="宋体" w:hAnsi="宋体"/>
                <w:color w:val="auto"/>
                <w:kern w:val="2"/>
                <w:sz w:val="24"/>
                <w:highlight w:val="none"/>
                <w:lang w:val="en-US" w:eastAsia="zh-CN"/>
              </w:rPr>
              <w:t>以上</w:t>
            </w:r>
            <w:r>
              <w:rPr>
                <w:rFonts w:hint="eastAsia" w:ascii="宋体" w:hAnsi="宋体" w:eastAsia="宋体"/>
                <w:color w:val="auto"/>
                <w:kern w:val="2"/>
                <w:sz w:val="24"/>
                <w:highlight w:val="none"/>
                <w:lang w:eastAsia="zh-CN"/>
              </w:rPr>
              <w:t>销售合同及业绩真实性证明材料复印件（中标通知书或直接发包通知书或成交通知书，若无中标通知书或直接发包通知书或成交通知书的，须提供网上中标公示的截图）；如投标人提供的合同从字面上不能体现以上业绩评审要素的，应在投标文件中另行补充相关证明材料，如未提供或不能证明的，评标委员会将不予认可，原件或公证件投标时一并递交，如未提供原件或公证件，则评标委员会不予认可，若该设备为投标单位整体外购，则提供生产企业相应的销售合同或公证件复印件加盖投标单位的公章。</w:t>
            </w:r>
          </w:p>
        </w:tc>
        <w:tc>
          <w:tcPr>
            <w:tcW w:w="878" w:type="dxa"/>
            <w:tcBorders>
              <w:top w:val="single" w:color="auto" w:sz="4" w:space="0"/>
              <w:left w:val="single" w:color="auto" w:sz="4" w:space="0"/>
              <w:right w:val="single" w:color="auto" w:sz="4" w:space="0"/>
            </w:tcBorders>
            <w:noWrap w:val="0"/>
            <w:vAlign w:val="center"/>
          </w:tcPr>
          <w:p w14:paraId="3E8A70D0">
            <w:pPr>
              <w:jc w:val="center"/>
              <w:rPr>
                <w:rFonts w:ascii="宋体" w:hAnsi="宋体"/>
                <w:color w:val="auto"/>
                <w:sz w:val="24"/>
                <w:szCs w:val="24"/>
                <w:highlight w:val="none"/>
              </w:rPr>
            </w:pPr>
          </w:p>
        </w:tc>
      </w:tr>
      <w:tr w14:paraId="45A9A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625" w:type="dxa"/>
            <w:vMerge w:val="continue"/>
            <w:tcBorders>
              <w:left w:val="single" w:color="auto" w:sz="4" w:space="0"/>
              <w:right w:val="single" w:color="auto" w:sz="4" w:space="0"/>
            </w:tcBorders>
            <w:noWrap w:val="0"/>
            <w:vAlign w:val="center"/>
          </w:tcPr>
          <w:p w14:paraId="65D8CC7A">
            <w:pPr>
              <w:jc w:val="center"/>
              <w:rPr>
                <w:rFonts w:ascii="宋体" w:hAnsi="宋体"/>
                <w:color w:val="auto"/>
                <w:sz w:val="24"/>
                <w:szCs w:val="24"/>
                <w:highlight w:val="none"/>
              </w:rPr>
            </w:pPr>
          </w:p>
        </w:tc>
        <w:tc>
          <w:tcPr>
            <w:tcW w:w="504" w:type="dxa"/>
            <w:tcBorders>
              <w:top w:val="single" w:color="auto" w:sz="4" w:space="0"/>
              <w:left w:val="single" w:color="auto" w:sz="4" w:space="0"/>
              <w:right w:val="single" w:color="auto" w:sz="4" w:space="0"/>
            </w:tcBorders>
            <w:noWrap w:val="0"/>
            <w:vAlign w:val="center"/>
          </w:tcPr>
          <w:p w14:paraId="62567528">
            <w:pPr>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2</w:t>
            </w:r>
          </w:p>
        </w:tc>
        <w:tc>
          <w:tcPr>
            <w:tcW w:w="1056" w:type="dxa"/>
            <w:tcBorders>
              <w:top w:val="single" w:color="auto" w:sz="4" w:space="0"/>
              <w:left w:val="single" w:color="auto" w:sz="4" w:space="0"/>
              <w:right w:val="single" w:color="auto" w:sz="4" w:space="0"/>
            </w:tcBorders>
            <w:noWrap w:val="0"/>
            <w:vAlign w:val="center"/>
          </w:tcPr>
          <w:p w14:paraId="3AE7D0B2">
            <w:pPr>
              <w:keepNext w:val="0"/>
              <w:keepLines w:val="0"/>
              <w:widowControl/>
              <w:suppressLineNumbers w:val="0"/>
              <w:jc w:val="center"/>
              <w:textAlignment w:val="center"/>
              <w:rPr>
                <w:rFonts w:hint="default" w:ascii="宋体" w:hAnsi="宋体"/>
                <w:color w:val="auto"/>
                <w:kern w:val="2"/>
                <w:sz w:val="24"/>
                <w:highlight w:val="none"/>
                <w:lang w:val="en-US"/>
              </w:rPr>
            </w:pPr>
            <w:r>
              <w:rPr>
                <w:rFonts w:hint="eastAsia" w:ascii="宋体" w:hAnsi="宋体" w:eastAsia="宋体" w:cs="宋体"/>
                <w:i w:val="0"/>
                <w:iCs w:val="0"/>
                <w:color w:val="auto"/>
                <w:kern w:val="0"/>
                <w:sz w:val="24"/>
                <w:szCs w:val="24"/>
                <w:u w:val="none"/>
                <w:lang w:val="en-US" w:eastAsia="zh-CN" w:bidi="ar"/>
              </w:rPr>
              <w:t>认证证书资质</w:t>
            </w:r>
          </w:p>
        </w:tc>
        <w:tc>
          <w:tcPr>
            <w:tcW w:w="828" w:type="dxa"/>
            <w:tcBorders>
              <w:top w:val="single" w:color="auto" w:sz="4" w:space="0"/>
              <w:left w:val="single" w:color="auto" w:sz="4" w:space="0"/>
              <w:right w:val="single" w:color="auto" w:sz="4" w:space="0"/>
            </w:tcBorders>
            <w:noWrap w:val="0"/>
            <w:vAlign w:val="center"/>
          </w:tcPr>
          <w:p w14:paraId="240419D4">
            <w:pPr>
              <w:pStyle w:val="75"/>
              <w:widowControl/>
              <w:jc w:val="left"/>
              <w:rPr>
                <w:rFonts w:hint="default" w:ascii="宋体" w:hAnsi="宋体" w:eastAsia="宋体"/>
                <w:color w:val="auto"/>
                <w:kern w:val="2"/>
                <w:sz w:val="24"/>
                <w:highlight w:val="none"/>
                <w:lang w:val="en-US" w:eastAsia="zh-CN"/>
              </w:rPr>
            </w:pPr>
            <w:r>
              <w:rPr>
                <w:rFonts w:hint="eastAsia" w:ascii="宋体" w:hAnsi="宋体"/>
                <w:color w:val="auto"/>
                <w:kern w:val="2"/>
                <w:sz w:val="24"/>
                <w:highlight w:val="none"/>
                <w:lang w:val="en-US" w:eastAsia="zh-CN"/>
              </w:rPr>
              <w:t xml:space="preserve"> 8</w:t>
            </w:r>
          </w:p>
        </w:tc>
        <w:tc>
          <w:tcPr>
            <w:tcW w:w="5557"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D44824A">
            <w:pPr>
              <w:keepNext w:val="0"/>
              <w:keepLines w:val="0"/>
              <w:widowControl/>
              <w:suppressLineNumbers w:val="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1、投标人通过ISO9001质量管理认证体系认证的，得2分；OHSAS18001职业健康安全管理体系认证的，得2分；ISO14001环境管理体系认证的，得2分，三项累计最高得6分。</w:t>
            </w:r>
          </w:p>
          <w:p w14:paraId="0B8D844F">
            <w:pPr>
              <w:keepNext w:val="0"/>
              <w:keepLines w:val="0"/>
              <w:widowControl/>
              <w:suppressLineNumbers w:val="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2、投标人获得环保工程专业承包资质贰级及以上的得2分。</w:t>
            </w:r>
          </w:p>
          <w:p w14:paraId="619E781E">
            <w:pPr>
              <w:keepNext w:val="0"/>
              <w:keepLines w:val="0"/>
              <w:widowControl/>
              <w:suppressLineNumbers w:val="0"/>
              <w:jc w:val="both"/>
              <w:textAlignment w:val="top"/>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w:t>
            </w:r>
            <w:r>
              <w:rPr>
                <w:rFonts w:hint="eastAsia" w:ascii="宋体" w:hAnsi="宋体" w:eastAsia="宋体" w:cs="宋体"/>
                <w:i w:val="0"/>
                <w:iCs w:val="0"/>
                <w:color w:val="auto"/>
                <w:kern w:val="2"/>
                <w:sz w:val="24"/>
                <w:szCs w:val="24"/>
                <w:u w:val="none"/>
                <w:lang w:val="en-US" w:eastAsia="zh-CN" w:bidi="ar-SA"/>
              </w:rPr>
              <w:t>投标文件中须提供有效期内的相关证明文件复印件并加盖公章，原件（或电子件）投标截止时间前提交。</w:t>
            </w:r>
            <w:r>
              <w:rPr>
                <w:rFonts w:hint="eastAsia" w:ascii="宋体" w:hAnsi="宋体" w:eastAsia="宋体" w:cs="宋体"/>
                <w:i w:val="0"/>
                <w:iCs w:val="0"/>
                <w:color w:val="auto"/>
                <w:kern w:val="0"/>
                <w:sz w:val="24"/>
                <w:szCs w:val="24"/>
                <w:u w:val="none"/>
                <w:lang w:val="en-US" w:eastAsia="zh-CN" w:bidi="ar"/>
              </w:rPr>
              <w:t>】</w:t>
            </w:r>
          </w:p>
        </w:tc>
        <w:tc>
          <w:tcPr>
            <w:tcW w:w="878" w:type="dxa"/>
            <w:tcBorders>
              <w:top w:val="single" w:color="auto" w:sz="4" w:space="0"/>
              <w:left w:val="single" w:color="auto" w:sz="4" w:space="0"/>
              <w:right w:val="single" w:color="auto" w:sz="4" w:space="0"/>
            </w:tcBorders>
            <w:noWrap w:val="0"/>
            <w:vAlign w:val="center"/>
          </w:tcPr>
          <w:p w14:paraId="6C06D99F">
            <w:pPr>
              <w:spacing w:line="276" w:lineRule="auto"/>
              <w:jc w:val="center"/>
              <w:rPr>
                <w:rFonts w:ascii="宋体" w:hAnsi="宋体"/>
                <w:color w:val="auto"/>
                <w:sz w:val="24"/>
                <w:szCs w:val="24"/>
                <w:highlight w:val="none"/>
              </w:rPr>
            </w:pPr>
          </w:p>
        </w:tc>
      </w:tr>
      <w:tr w14:paraId="69E1F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625" w:type="dxa"/>
            <w:vMerge w:val="continue"/>
            <w:tcBorders>
              <w:left w:val="single" w:color="auto" w:sz="4" w:space="0"/>
              <w:right w:val="single" w:color="auto" w:sz="4" w:space="0"/>
            </w:tcBorders>
            <w:noWrap w:val="0"/>
            <w:vAlign w:val="center"/>
          </w:tcPr>
          <w:p w14:paraId="43D9DAD9">
            <w:pPr>
              <w:jc w:val="center"/>
              <w:rPr>
                <w:rFonts w:ascii="宋体" w:hAnsi="宋体"/>
                <w:color w:val="auto"/>
                <w:sz w:val="24"/>
                <w:szCs w:val="24"/>
                <w:highlight w:val="none"/>
              </w:rPr>
            </w:pPr>
          </w:p>
        </w:tc>
        <w:tc>
          <w:tcPr>
            <w:tcW w:w="504" w:type="dxa"/>
            <w:tcBorders>
              <w:top w:val="single" w:color="auto" w:sz="4" w:space="0"/>
              <w:left w:val="single" w:color="auto" w:sz="4" w:space="0"/>
              <w:bottom w:val="single" w:color="auto" w:sz="4" w:space="0"/>
              <w:right w:val="single" w:color="auto" w:sz="4" w:space="0"/>
            </w:tcBorders>
            <w:noWrap w:val="0"/>
            <w:vAlign w:val="center"/>
          </w:tcPr>
          <w:p w14:paraId="7768C537">
            <w:pPr>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3</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6EC3545F">
            <w:pPr>
              <w:keepNext w:val="0"/>
              <w:keepLines w:val="0"/>
              <w:widowControl/>
              <w:suppressLineNumbers w:val="0"/>
              <w:jc w:val="center"/>
              <w:textAlignment w:val="center"/>
              <w:rPr>
                <w:rFonts w:ascii="宋体" w:hAnsi="宋体"/>
                <w:color w:val="auto"/>
                <w:kern w:val="2"/>
                <w:sz w:val="24"/>
                <w:highlight w:val="none"/>
              </w:rPr>
            </w:pPr>
            <w:r>
              <w:rPr>
                <w:rFonts w:hint="eastAsia" w:ascii="宋体" w:hAnsi="宋体" w:eastAsia="宋体" w:cs="宋体"/>
                <w:i w:val="0"/>
                <w:iCs w:val="0"/>
                <w:color w:val="auto"/>
                <w:kern w:val="0"/>
                <w:sz w:val="24"/>
                <w:szCs w:val="24"/>
                <w:u w:val="none"/>
                <w:lang w:val="en-US" w:eastAsia="zh-CN" w:bidi="ar"/>
              </w:rPr>
              <w:t>获得荣誉</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D05AA0F">
            <w:pPr>
              <w:jc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w:t>
            </w:r>
          </w:p>
        </w:tc>
        <w:tc>
          <w:tcPr>
            <w:tcW w:w="555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21B864">
            <w:pPr>
              <w:keepNext w:val="0"/>
              <w:keepLines w:val="0"/>
              <w:widowControl/>
              <w:numPr>
                <w:ilvl w:val="0"/>
                <w:numId w:val="14"/>
              </w:numPr>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投标人取得省级及以上（含省级和直辖市）企业技术中心认证的，得1分。</w:t>
            </w:r>
          </w:p>
          <w:p w14:paraId="6A882200">
            <w:pPr>
              <w:keepNext w:val="0"/>
              <w:keepLines w:val="0"/>
              <w:widowControl/>
              <w:numPr>
                <w:ilvl w:val="0"/>
                <w:numId w:val="14"/>
              </w:numPr>
              <w:suppressLineNumbers w:val="0"/>
              <w:ind w:left="0" w:leftChars="0" w:firstLine="0" w:firstLineChars="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投标人取得专精特新“小巨人”企业（国家级）或专精特新中小企业（省级）的，得1分。</w:t>
            </w:r>
          </w:p>
          <w:p w14:paraId="3D269565">
            <w:pPr>
              <w:keepNext w:val="0"/>
              <w:keepLines w:val="0"/>
              <w:widowControl/>
              <w:numPr>
                <w:ilvl w:val="0"/>
                <w:numId w:val="14"/>
              </w:numPr>
              <w:suppressLineNumbers w:val="0"/>
              <w:ind w:left="0" w:leftChars="0" w:firstLine="0" w:firstLineChars="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投标人具有省级或以上（含省级和直辖市）主管部门颁发的高新技术企业的，得1分。</w:t>
            </w:r>
          </w:p>
          <w:p w14:paraId="31F25798">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【投标文件中须提供有效期内的相关证明文件复印件并加盖公章，原件（或电子件）投标截止时间前提交。】</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249C7F96">
            <w:pPr>
              <w:spacing w:line="276" w:lineRule="auto"/>
              <w:jc w:val="center"/>
              <w:rPr>
                <w:rFonts w:ascii="宋体" w:hAnsi="宋体"/>
                <w:b/>
                <w:color w:val="auto"/>
                <w:sz w:val="24"/>
                <w:szCs w:val="24"/>
                <w:highlight w:val="none"/>
              </w:rPr>
            </w:pPr>
          </w:p>
        </w:tc>
      </w:tr>
      <w:tr w14:paraId="47428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625" w:type="dxa"/>
            <w:vMerge w:val="continue"/>
            <w:tcBorders>
              <w:left w:val="single" w:color="auto" w:sz="4" w:space="0"/>
              <w:right w:val="single" w:color="auto" w:sz="4" w:space="0"/>
            </w:tcBorders>
            <w:noWrap w:val="0"/>
            <w:vAlign w:val="center"/>
          </w:tcPr>
          <w:p w14:paraId="117608A2">
            <w:pPr>
              <w:jc w:val="center"/>
              <w:rPr>
                <w:rFonts w:ascii="宋体" w:hAnsi="宋体"/>
                <w:color w:val="auto"/>
                <w:sz w:val="24"/>
                <w:szCs w:val="24"/>
                <w:highlight w:val="none"/>
              </w:rPr>
            </w:pPr>
          </w:p>
        </w:tc>
        <w:tc>
          <w:tcPr>
            <w:tcW w:w="504" w:type="dxa"/>
            <w:tcBorders>
              <w:top w:val="single" w:color="auto" w:sz="4" w:space="0"/>
              <w:left w:val="single" w:color="auto" w:sz="4" w:space="0"/>
              <w:bottom w:val="single" w:color="auto" w:sz="4" w:space="0"/>
              <w:right w:val="single" w:color="auto" w:sz="4" w:space="0"/>
            </w:tcBorders>
            <w:noWrap w:val="0"/>
            <w:vAlign w:val="center"/>
          </w:tcPr>
          <w:p w14:paraId="2752E2F5">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4</w:t>
            </w:r>
          </w:p>
        </w:tc>
        <w:tc>
          <w:tcPr>
            <w:tcW w:w="105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90913A">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供货期保证</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C507A0E">
            <w:pPr>
              <w:jc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w:t>
            </w:r>
          </w:p>
        </w:tc>
        <w:tc>
          <w:tcPr>
            <w:tcW w:w="555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F02628">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具有明确、合理的供货计划和承诺，整体交货期每提前7天，得1分，最多得2分。</w:t>
            </w:r>
          </w:p>
          <w:p w14:paraId="21FE7306">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【需提供承诺函且有实质性罚则，否则不得分】</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1780187B">
            <w:pPr>
              <w:spacing w:line="276" w:lineRule="auto"/>
              <w:jc w:val="center"/>
              <w:rPr>
                <w:rFonts w:ascii="宋体" w:hAnsi="宋体"/>
                <w:b/>
                <w:color w:val="auto"/>
                <w:sz w:val="24"/>
                <w:szCs w:val="24"/>
                <w:highlight w:val="none"/>
              </w:rPr>
            </w:pPr>
          </w:p>
        </w:tc>
      </w:tr>
      <w:tr w14:paraId="68C39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625" w:type="dxa"/>
            <w:vMerge w:val="continue"/>
            <w:tcBorders>
              <w:left w:val="single" w:color="auto" w:sz="4" w:space="0"/>
              <w:right w:val="single" w:color="auto" w:sz="4" w:space="0"/>
            </w:tcBorders>
            <w:noWrap w:val="0"/>
            <w:vAlign w:val="center"/>
          </w:tcPr>
          <w:p w14:paraId="691AA1EC">
            <w:pPr>
              <w:jc w:val="center"/>
              <w:rPr>
                <w:rFonts w:ascii="宋体" w:hAnsi="宋体"/>
                <w:color w:val="auto"/>
                <w:sz w:val="24"/>
                <w:szCs w:val="24"/>
                <w:highlight w:val="none"/>
              </w:rPr>
            </w:pPr>
          </w:p>
        </w:tc>
        <w:tc>
          <w:tcPr>
            <w:tcW w:w="504" w:type="dxa"/>
            <w:tcBorders>
              <w:top w:val="single" w:color="auto" w:sz="4" w:space="0"/>
              <w:left w:val="single" w:color="auto" w:sz="4" w:space="0"/>
              <w:bottom w:val="single" w:color="auto" w:sz="4" w:space="0"/>
              <w:right w:val="single" w:color="auto" w:sz="4" w:space="0"/>
            </w:tcBorders>
            <w:noWrap w:val="0"/>
            <w:vAlign w:val="center"/>
          </w:tcPr>
          <w:p w14:paraId="73B8DD4B">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5</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2597A2F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检测报告</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1D8BA3A">
            <w:pPr>
              <w:jc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6</w:t>
            </w:r>
          </w:p>
        </w:tc>
        <w:tc>
          <w:tcPr>
            <w:tcW w:w="555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AC1CAE">
            <w:pPr>
              <w:keepNext w:val="0"/>
              <w:keepLines w:val="0"/>
              <w:widowControl/>
              <w:numPr>
                <w:ilvl w:val="0"/>
                <w:numId w:val="15"/>
              </w:numPr>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投标人有所投除臭设备中的菌种省级或直辖市以上第三方检测报告，得2分，不提供不得分。</w:t>
            </w:r>
          </w:p>
          <w:p w14:paraId="440BC07B">
            <w:pPr>
              <w:keepNext w:val="0"/>
              <w:keepLines w:val="0"/>
              <w:widowControl/>
              <w:numPr>
                <w:ilvl w:val="0"/>
                <w:numId w:val="15"/>
              </w:numPr>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投标人有所投活性炭省级或直辖市以上第三方检测报告，得2分，不提供不得分。</w:t>
            </w:r>
          </w:p>
          <w:p w14:paraId="67F077AD">
            <w:pPr>
              <w:keepNext w:val="0"/>
              <w:keepLines w:val="0"/>
              <w:widowControl/>
              <w:numPr>
                <w:ilvl w:val="0"/>
                <w:numId w:val="15"/>
              </w:numPr>
              <w:suppressLineNumbers w:val="0"/>
              <w:ind w:left="0" w:leftChars="0"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投标人有所投精准除砂设备省级或直辖市以上第三方检测报告，得2分，不提供不得分。</w:t>
            </w:r>
          </w:p>
          <w:p w14:paraId="09410B00">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【投标文件中须提供相关证明文件复印件，原件（或电子件）投标截止时间前提交。</w:t>
            </w:r>
            <w:r>
              <w:rPr>
                <w:rFonts w:hint="eastAsia" w:ascii="宋体" w:hAnsi="宋体" w:eastAsia="宋体"/>
                <w:color w:val="auto"/>
                <w:kern w:val="2"/>
                <w:sz w:val="24"/>
                <w:highlight w:val="yellow"/>
                <w:lang w:eastAsia="zh-CN"/>
              </w:rPr>
              <w:t>若</w:t>
            </w:r>
            <w:r>
              <w:rPr>
                <w:rFonts w:hint="eastAsia" w:ascii="宋体" w:hAnsi="宋体" w:eastAsia="宋体"/>
                <w:color w:val="auto"/>
                <w:kern w:val="2"/>
                <w:sz w:val="24"/>
                <w:highlight w:val="yellow"/>
                <w:lang w:val="en-US" w:eastAsia="zh-CN"/>
              </w:rPr>
              <w:t>投标设备</w:t>
            </w:r>
            <w:r>
              <w:rPr>
                <w:rFonts w:hint="eastAsia" w:ascii="宋体" w:hAnsi="宋体" w:eastAsia="宋体"/>
                <w:color w:val="auto"/>
                <w:kern w:val="2"/>
                <w:sz w:val="24"/>
                <w:highlight w:val="yellow"/>
                <w:lang w:eastAsia="zh-CN"/>
              </w:rPr>
              <w:t>为投标单位整体外购，则提供生产企业相应的</w:t>
            </w:r>
            <w:r>
              <w:rPr>
                <w:rFonts w:hint="eastAsia" w:ascii="宋体" w:hAnsi="宋体" w:eastAsia="宋体"/>
                <w:color w:val="auto"/>
                <w:kern w:val="2"/>
                <w:sz w:val="24"/>
                <w:highlight w:val="yellow"/>
                <w:lang w:val="en-US" w:eastAsia="zh-CN"/>
              </w:rPr>
              <w:t>第三方检测报告</w:t>
            </w:r>
            <w:r>
              <w:rPr>
                <w:rFonts w:hint="eastAsia" w:ascii="宋体" w:hAnsi="宋体" w:eastAsia="宋体"/>
                <w:color w:val="auto"/>
                <w:kern w:val="2"/>
                <w:sz w:val="24"/>
                <w:highlight w:val="yellow"/>
                <w:lang w:eastAsia="zh-CN"/>
              </w:rPr>
              <w:t>件</w:t>
            </w:r>
            <w:r>
              <w:rPr>
                <w:rFonts w:hint="eastAsia" w:ascii="宋体" w:hAnsi="宋体" w:eastAsia="宋体"/>
                <w:color w:val="auto"/>
                <w:kern w:val="2"/>
                <w:sz w:val="24"/>
                <w:highlight w:val="yellow"/>
                <w:lang w:val="en-US" w:eastAsia="zh-CN"/>
              </w:rPr>
              <w:t>复印件</w:t>
            </w:r>
            <w:r>
              <w:rPr>
                <w:rFonts w:hint="eastAsia" w:ascii="宋体" w:hAnsi="宋体" w:eastAsia="宋体"/>
                <w:color w:val="auto"/>
                <w:kern w:val="2"/>
                <w:sz w:val="24"/>
                <w:highlight w:val="yellow"/>
                <w:lang w:eastAsia="zh-CN"/>
              </w:rPr>
              <w:t>加盖投标单位的公章。</w:t>
            </w:r>
            <w:r>
              <w:rPr>
                <w:rFonts w:hint="eastAsia" w:ascii="宋体" w:hAnsi="宋体" w:eastAsia="宋体" w:cs="宋体"/>
                <w:i w:val="0"/>
                <w:iCs w:val="0"/>
                <w:color w:val="auto"/>
                <w:kern w:val="0"/>
                <w:sz w:val="24"/>
                <w:szCs w:val="24"/>
                <w:u w:val="none"/>
                <w:lang w:val="en-US" w:eastAsia="zh-CN" w:bidi="ar"/>
              </w:rPr>
              <w:t>】</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014B4E41">
            <w:pPr>
              <w:spacing w:line="276" w:lineRule="auto"/>
              <w:jc w:val="center"/>
              <w:rPr>
                <w:rFonts w:ascii="宋体" w:hAnsi="宋体"/>
                <w:b/>
                <w:color w:val="auto"/>
                <w:sz w:val="24"/>
                <w:szCs w:val="24"/>
                <w:highlight w:val="none"/>
              </w:rPr>
            </w:pPr>
          </w:p>
        </w:tc>
      </w:tr>
      <w:tr w14:paraId="1FBB9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625" w:type="dxa"/>
            <w:vMerge w:val="continue"/>
            <w:tcBorders>
              <w:left w:val="single" w:color="auto" w:sz="4" w:space="0"/>
              <w:right w:val="single" w:color="auto" w:sz="4" w:space="0"/>
            </w:tcBorders>
            <w:noWrap w:val="0"/>
            <w:vAlign w:val="center"/>
          </w:tcPr>
          <w:p w14:paraId="30CF2C16">
            <w:pPr>
              <w:jc w:val="left"/>
              <w:rPr>
                <w:color w:val="auto"/>
                <w:sz w:val="24"/>
                <w:szCs w:val="24"/>
                <w:highlight w:val="none"/>
              </w:rPr>
            </w:pPr>
          </w:p>
        </w:tc>
        <w:tc>
          <w:tcPr>
            <w:tcW w:w="504" w:type="dxa"/>
            <w:tcBorders>
              <w:left w:val="single" w:color="auto" w:sz="4" w:space="0"/>
              <w:right w:val="single" w:color="auto" w:sz="4" w:space="0"/>
            </w:tcBorders>
            <w:noWrap w:val="0"/>
            <w:vAlign w:val="center"/>
          </w:tcPr>
          <w:p w14:paraId="1034BABB">
            <w:pPr>
              <w:jc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6</w:t>
            </w:r>
          </w:p>
        </w:tc>
        <w:tc>
          <w:tcPr>
            <w:tcW w:w="1056" w:type="dxa"/>
            <w:tcBorders>
              <w:left w:val="single" w:color="auto" w:sz="4" w:space="0"/>
              <w:right w:val="single" w:color="auto" w:sz="4" w:space="0"/>
            </w:tcBorders>
            <w:noWrap w:val="0"/>
            <w:vAlign w:val="center"/>
          </w:tcPr>
          <w:p w14:paraId="348DD810">
            <w:pPr>
              <w:keepNext w:val="0"/>
              <w:keepLines w:val="0"/>
              <w:widowControl/>
              <w:suppressLineNumbers w:val="0"/>
              <w:jc w:val="center"/>
              <w:textAlignment w:val="center"/>
              <w:rPr>
                <w:rFonts w:ascii="宋体" w:hAnsi="宋体"/>
                <w:color w:val="auto"/>
                <w:kern w:val="2"/>
                <w:sz w:val="24"/>
                <w:highlight w:val="none"/>
              </w:rPr>
            </w:pPr>
            <w:r>
              <w:rPr>
                <w:rFonts w:hint="eastAsia" w:ascii="宋体" w:hAnsi="宋体"/>
                <w:color w:val="auto"/>
                <w:kern w:val="2"/>
                <w:sz w:val="24"/>
                <w:highlight w:val="none"/>
              </w:rPr>
              <w:t>售后服务认证体系（GB/T 27922）</w:t>
            </w:r>
          </w:p>
        </w:tc>
        <w:tc>
          <w:tcPr>
            <w:tcW w:w="828" w:type="dxa"/>
            <w:tcBorders>
              <w:left w:val="single" w:color="auto" w:sz="4" w:space="0"/>
              <w:right w:val="single" w:color="auto" w:sz="4" w:space="0"/>
            </w:tcBorders>
            <w:noWrap w:val="0"/>
            <w:vAlign w:val="center"/>
          </w:tcPr>
          <w:p w14:paraId="55B0A8AD">
            <w:pPr>
              <w:jc w:val="center"/>
              <w:rPr>
                <w:rFonts w:hint="default" w:ascii="宋体" w:hAnsi="宋体" w:eastAsiaTheme="minorEastAsia"/>
                <w:color w:val="auto"/>
                <w:sz w:val="24"/>
                <w:szCs w:val="24"/>
                <w:highlight w:val="none"/>
                <w:lang w:val="en-US" w:eastAsia="zh-CN"/>
              </w:rPr>
            </w:pPr>
            <w:r>
              <w:rPr>
                <w:rFonts w:hint="eastAsia" w:ascii="宋体" w:hAnsi="宋体"/>
                <w:color w:val="auto"/>
                <w:sz w:val="24"/>
                <w:szCs w:val="24"/>
                <w:highlight w:val="none"/>
                <w:lang w:val="en-US" w:eastAsia="zh-CN"/>
              </w:rPr>
              <w:t>2</w:t>
            </w:r>
          </w:p>
        </w:tc>
        <w:tc>
          <w:tcPr>
            <w:tcW w:w="555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C755EF">
            <w:pPr>
              <w:keepNext w:val="0"/>
              <w:keepLines w:val="0"/>
              <w:widowControl/>
              <w:suppressLineNumbers w:val="0"/>
              <w:jc w:val="left"/>
              <w:textAlignment w:val="center"/>
              <w:rPr>
                <w:rFonts w:hint="eastAsia" w:ascii="宋体" w:hAnsi="宋体"/>
                <w:color w:val="auto"/>
                <w:kern w:val="2"/>
                <w:sz w:val="24"/>
                <w:highlight w:val="none"/>
              </w:rPr>
            </w:pPr>
            <w:r>
              <w:rPr>
                <w:rFonts w:hint="eastAsia" w:ascii="宋体" w:hAnsi="宋体"/>
                <w:color w:val="auto"/>
                <w:kern w:val="2"/>
                <w:sz w:val="24"/>
                <w:highlight w:val="none"/>
              </w:rPr>
              <w:t>投标人售后服务认证达五星级且在有效期内的，得2分；售后服务认证达四星级且在有效期内的，得1分。</w:t>
            </w:r>
          </w:p>
          <w:p w14:paraId="2D683389">
            <w:pPr>
              <w:keepNext w:val="0"/>
              <w:keepLines w:val="0"/>
              <w:widowControl/>
              <w:suppressLineNumbers w:val="0"/>
              <w:jc w:val="left"/>
              <w:textAlignment w:val="center"/>
              <w:rPr>
                <w:rFonts w:hint="default" w:ascii="宋体" w:hAnsi="宋体" w:cs="宋体" w:eastAsiaTheme="minorEastAsia"/>
                <w:i w:val="0"/>
                <w:iCs w:val="0"/>
                <w:color w:val="auto"/>
                <w:kern w:val="2"/>
                <w:sz w:val="24"/>
                <w:szCs w:val="24"/>
                <w:u w:val="none"/>
                <w:lang w:val="en-US" w:eastAsia="zh-CN" w:bidi="ar-SA"/>
              </w:rPr>
            </w:pPr>
            <w:r>
              <w:rPr>
                <w:rFonts w:hint="eastAsia" w:ascii="宋体" w:hAnsi="宋体"/>
                <w:color w:val="auto"/>
                <w:kern w:val="2"/>
                <w:sz w:val="24"/>
                <w:highlight w:val="none"/>
              </w:rPr>
              <w:t>【以最高级别得分，证书复印件放入投标文件中并加盖投标人公章】</w:t>
            </w:r>
          </w:p>
        </w:tc>
        <w:tc>
          <w:tcPr>
            <w:tcW w:w="878" w:type="dxa"/>
            <w:tcBorders>
              <w:left w:val="single" w:color="auto" w:sz="4" w:space="0"/>
              <w:right w:val="single" w:color="auto" w:sz="4" w:space="0"/>
            </w:tcBorders>
            <w:noWrap w:val="0"/>
            <w:vAlign w:val="center"/>
          </w:tcPr>
          <w:p w14:paraId="697FDF72">
            <w:pPr>
              <w:jc w:val="left"/>
              <w:rPr>
                <w:b/>
                <w:color w:val="auto"/>
                <w:sz w:val="24"/>
                <w:szCs w:val="24"/>
                <w:highlight w:val="none"/>
              </w:rPr>
            </w:pPr>
          </w:p>
        </w:tc>
      </w:tr>
      <w:bookmarkEnd w:id="27"/>
    </w:tbl>
    <w:p w14:paraId="7D068857">
      <w:pPr>
        <w:pStyle w:val="26"/>
        <w:ind w:firstLine="210"/>
        <w:rPr>
          <w:color w:val="auto"/>
          <w:highlight w:val="none"/>
        </w:rPr>
      </w:pPr>
    </w:p>
    <w:p w14:paraId="54459521">
      <w:pPr>
        <w:spacing w:line="360" w:lineRule="auto"/>
        <w:rPr>
          <w:rFonts w:ascii="宋体" w:hAnsi="宋体"/>
          <w:color w:val="auto"/>
          <w:sz w:val="24"/>
          <w:szCs w:val="24"/>
          <w:highlight w:val="none"/>
        </w:rPr>
      </w:pPr>
      <w:r>
        <w:rPr>
          <w:rFonts w:hint="eastAsia" w:ascii="宋体" w:hAnsi="宋体"/>
          <w:color w:val="auto"/>
          <w:sz w:val="24"/>
          <w:szCs w:val="24"/>
          <w:highlight w:val="none"/>
        </w:rPr>
        <w:t>2、价格部分</w:t>
      </w:r>
    </w:p>
    <w:tbl>
      <w:tblPr>
        <w:tblStyle w:val="27"/>
        <w:tblW w:w="9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80"/>
        <w:gridCol w:w="951"/>
        <w:gridCol w:w="5921"/>
      </w:tblGrid>
      <w:tr w14:paraId="1B18E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13A211E1">
            <w:pPr>
              <w:jc w:val="center"/>
              <w:rPr>
                <w:rFonts w:hint="eastAsia" w:ascii="宋体" w:hAnsi="宋体"/>
                <w:color w:val="auto"/>
                <w:sz w:val="24"/>
                <w:szCs w:val="24"/>
                <w:highlight w:val="none"/>
              </w:rPr>
            </w:pPr>
            <w:bookmarkStart w:id="28" w:name="_Toc64637567"/>
            <w:r>
              <w:rPr>
                <w:rFonts w:hint="eastAsia" w:ascii="宋体" w:hAnsi="宋体"/>
                <w:color w:val="auto"/>
                <w:sz w:val="24"/>
                <w:szCs w:val="24"/>
                <w:highlight w:val="none"/>
              </w:rPr>
              <w:t>序号</w:t>
            </w:r>
          </w:p>
        </w:tc>
        <w:tc>
          <w:tcPr>
            <w:tcW w:w="1480" w:type="dxa"/>
            <w:tcBorders>
              <w:top w:val="single" w:color="auto" w:sz="4" w:space="0"/>
              <w:left w:val="single" w:color="auto" w:sz="4" w:space="0"/>
              <w:right w:val="single" w:color="auto" w:sz="4" w:space="0"/>
            </w:tcBorders>
            <w:vAlign w:val="center"/>
          </w:tcPr>
          <w:p w14:paraId="637A30A4">
            <w:pPr>
              <w:jc w:val="center"/>
              <w:rPr>
                <w:rFonts w:hint="eastAsia" w:ascii="宋体" w:hAnsi="宋体"/>
                <w:color w:val="auto"/>
                <w:sz w:val="24"/>
                <w:szCs w:val="24"/>
                <w:highlight w:val="none"/>
              </w:rPr>
            </w:pPr>
            <w:r>
              <w:rPr>
                <w:rFonts w:hint="eastAsia" w:ascii="宋体" w:hAnsi="宋体"/>
                <w:color w:val="auto"/>
                <w:sz w:val="24"/>
                <w:szCs w:val="24"/>
                <w:highlight w:val="none"/>
              </w:rPr>
              <w:t>评审项目</w:t>
            </w:r>
          </w:p>
        </w:tc>
        <w:tc>
          <w:tcPr>
            <w:tcW w:w="951" w:type="dxa"/>
            <w:tcBorders>
              <w:top w:val="single" w:color="auto" w:sz="4" w:space="0"/>
              <w:left w:val="single" w:color="auto" w:sz="4" w:space="0"/>
              <w:right w:val="single" w:color="auto" w:sz="4" w:space="0"/>
            </w:tcBorders>
            <w:vAlign w:val="center"/>
          </w:tcPr>
          <w:p w14:paraId="50A58258">
            <w:pPr>
              <w:jc w:val="center"/>
              <w:rPr>
                <w:rFonts w:hint="eastAsia" w:ascii="宋体" w:hAnsi="宋体"/>
                <w:color w:val="auto"/>
                <w:sz w:val="24"/>
                <w:szCs w:val="24"/>
                <w:highlight w:val="none"/>
              </w:rPr>
            </w:pPr>
            <w:r>
              <w:rPr>
                <w:rFonts w:hint="eastAsia" w:ascii="宋体" w:hAnsi="宋体"/>
                <w:color w:val="auto"/>
                <w:sz w:val="24"/>
                <w:szCs w:val="24"/>
                <w:highlight w:val="none"/>
              </w:rPr>
              <w:t>分值</w:t>
            </w:r>
          </w:p>
        </w:tc>
        <w:tc>
          <w:tcPr>
            <w:tcW w:w="5921" w:type="dxa"/>
            <w:tcBorders>
              <w:top w:val="single" w:color="auto" w:sz="4" w:space="0"/>
              <w:left w:val="single" w:color="auto" w:sz="4" w:space="0"/>
              <w:bottom w:val="single" w:color="auto" w:sz="4" w:space="0"/>
              <w:right w:val="single" w:color="auto" w:sz="4" w:space="0"/>
            </w:tcBorders>
            <w:vAlign w:val="center"/>
          </w:tcPr>
          <w:p w14:paraId="4DA2698D">
            <w:pPr>
              <w:jc w:val="center"/>
              <w:rPr>
                <w:rFonts w:hint="eastAsia" w:ascii="宋体" w:hAnsi="宋体"/>
                <w:color w:val="auto"/>
                <w:sz w:val="24"/>
                <w:szCs w:val="24"/>
                <w:highlight w:val="none"/>
              </w:rPr>
            </w:pPr>
            <w:r>
              <w:rPr>
                <w:rFonts w:hint="eastAsia" w:ascii="宋体" w:hAnsi="宋体"/>
                <w:color w:val="auto"/>
                <w:sz w:val="24"/>
                <w:szCs w:val="24"/>
                <w:highlight w:val="none"/>
              </w:rPr>
              <w:t>评审细则</w:t>
            </w:r>
          </w:p>
        </w:tc>
      </w:tr>
      <w:tr w14:paraId="5FF49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23136740">
            <w:pPr>
              <w:jc w:val="center"/>
              <w:rPr>
                <w:rFonts w:hint="eastAsia" w:ascii="宋体" w:hAnsi="宋体"/>
                <w:color w:val="auto"/>
                <w:sz w:val="24"/>
                <w:szCs w:val="24"/>
                <w:highlight w:val="none"/>
              </w:rPr>
            </w:pPr>
            <w:r>
              <w:rPr>
                <w:rFonts w:hint="eastAsia" w:ascii="宋体" w:hAnsi="宋体"/>
                <w:color w:val="auto"/>
                <w:sz w:val="24"/>
                <w:szCs w:val="24"/>
                <w:highlight w:val="none"/>
              </w:rPr>
              <w:t>1</w:t>
            </w:r>
          </w:p>
        </w:tc>
        <w:tc>
          <w:tcPr>
            <w:tcW w:w="1480" w:type="dxa"/>
            <w:tcBorders>
              <w:top w:val="single" w:color="auto" w:sz="4" w:space="0"/>
              <w:left w:val="single" w:color="auto" w:sz="4" w:space="0"/>
              <w:right w:val="single" w:color="auto" w:sz="4" w:space="0"/>
            </w:tcBorders>
            <w:vAlign w:val="center"/>
          </w:tcPr>
          <w:p w14:paraId="62CD9DE5">
            <w:pPr>
              <w:jc w:val="center"/>
              <w:rPr>
                <w:rFonts w:hint="eastAsia" w:ascii="宋体" w:hAnsi="宋体"/>
                <w:color w:val="auto"/>
                <w:sz w:val="24"/>
                <w:szCs w:val="24"/>
                <w:highlight w:val="none"/>
              </w:rPr>
            </w:pPr>
            <w:r>
              <w:rPr>
                <w:rFonts w:hint="eastAsia" w:ascii="宋体" w:hAnsi="宋体"/>
                <w:color w:val="auto"/>
                <w:sz w:val="24"/>
                <w:szCs w:val="24"/>
                <w:highlight w:val="none"/>
              </w:rPr>
              <w:t>价格部分</w:t>
            </w:r>
          </w:p>
        </w:tc>
        <w:tc>
          <w:tcPr>
            <w:tcW w:w="951" w:type="dxa"/>
            <w:tcBorders>
              <w:top w:val="single" w:color="auto" w:sz="4" w:space="0"/>
              <w:left w:val="single" w:color="auto" w:sz="4" w:space="0"/>
              <w:right w:val="single" w:color="auto" w:sz="4" w:space="0"/>
            </w:tcBorders>
            <w:vAlign w:val="center"/>
          </w:tcPr>
          <w:p w14:paraId="228E2554">
            <w:pPr>
              <w:jc w:val="center"/>
              <w:rPr>
                <w:rFonts w:hint="default" w:ascii="宋体" w:hAnsi="宋体" w:eastAsiaTheme="minorEastAsia"/>
                <w:color w:val="auto"/>
                <w:sz w:val="24"/>
                <w:szCs w:val="24"/>
                <w:highlight w:val="none"/>
                <w:lang w:val="en-US" w:eastAsia="zh-CN"/>
              </w:rPr>
            </w:pPr>
            <w:r>
              <w:rPr>
                <w:rFonts w:hint="eastAsia" w:ascii="宋体" w:hAnsi="宋体"/>
                <w:color w:val="auto"/>
                <w:sz w:val="24"/>
                <w:szCs w:val="24"/>
                <w:highlight w:val="none"/>
                <w:lang w:val="en-US" w:eastAsia="zh-CN"/>
              </w:rPr>
              <w:t>50</w:t>
            </w:r>
          </w:p>
        </w:tc>
        <w:tc>
          <w:tcPr>
            <w:tcW w:w="5921" w:type="dxa"/>
            <w:tcBorders>
              <w:top w:val="single" w:color="auto" w:sz="4" w:space="0"/>
              <w:left w:val="single" w:color="auto" w:sz="4" w:space="0"/>
              <w:bottom w:val="single" w:color="auto" w:sz="4" w:space="0"/>
              <w:right w:val="single" w:color="auto" w:sz="4" w:space="0"/>
            </w:tcBorders>
            <w:vAlign w:val="center"/>
          </w:tcPr>
          <w:p w14:paraId="1866CF4E">
            <w:pPr>
              <w:jc w:val="center"/>
              <w:rPr>
                <w:rFonts w:hint="eastAsia" w:ascii="宋体" w:hAnsi="宋体"/>
                <w:color w:val="auto"/>
                <w:sz w:val="24"/>
                <w:szCs w:val="24"/>
                <w:highlight w:val="none"/>
              </w:rPr>
            </w:pPr>
            <w:r>
              <w:rPr>
                <w:rFonts w:hint="eastAsia" w:ascii="宋体" w:hAnsi="宋体"/>
                <w:color w:val="auto"/>
                <w:sz w:val="24"/>
                <w:szCs w:val="24"/>
                <w:highlight w:val="none"/>
              </w:rPr>
              <w:t>价格分采用低价优先法，即满足招标文件要求且投标价格最低的投标报价为评标基准价，其价格分为满分。其他投标人的价格分统一按照下列公式计算：</w:t>
            </w:r>
          </w:p>
          <w:p w14:paraId="54015B08">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rPr>
              <w:t>投标报价得分=（评标基准价/投标报价）×</w:t>
            </w:r>
            <w:r>
              <w:rPr>
                <w:rFonts w:hint="eastAsia" w:ascii="宋体" w:hAnsi="宋体"/>
                <w:color w:val="auto"/>
                <w:sz w:val="24"/>
                <w:szCs w:val="24"/>
                <w:highlight w:val="none"/>
                <w:lang w:val="en-US" w:eastAsia="zh-CN"/>
              </w:rPr>
              <w:t>50</w:t>
            </w:r>
          </w:p>
        </w:tc>
      </w:tr>
    </w:tbl>
    <w:p w14:paraId="0BD09FFF">
      <w:pPr>
        <w:pStyle w:val="26"/>
        <w:ind w:firstLine="210"/>
        <w:rPr>
          <w:color w:val="auto"/>
          <w:highlight w:val="none"/>
        </w:rPr>
      </w:pPr>
    </w:p>
    <w:p w14:paraId="1EBED96E">
      <w:pPr>
        <w:jc w:val="left"/>
        <w:rPr>
          <w:rFonts w:hint="eastAsia" w:ascii="宋体" w:hAnsi="宋体"/>
          <w:b/>
          <w:bCs/>
          <w:sz w:val="24"/>
          <w:szCs w:val="24"/>
          <w:highlight w:val="yellow"/>
        </w:rPr>
      </w:pPr>
      <w:r>
        <w:rPr>
          <w:rFonts w:hint="eastAsia" w:ascii="宋体" w:hAnsi="宋体"/>
          <w:b/>
          <w:bCs/>
          <w:sz w:val="24"/>
          <w:szCs w:val="24"/>
          <w:highlight w:val="yellow"/>
        </w:rPr>
        <w:t>备注：</w:t>
      </w:r>
    </w:p>
    <w:p w14:paraId="20BE03DF">
      <w:pPr>
        <w:numPr>
          <w:ilvl w:val="0"/>
          <w:numId w:val="16"/>
        </w:numPr>
        <w:spacing w:line="360" w:lineRule="auto"/>
        <w:ind w:firstLine="480" w:firstLineChars="200"/>
        <w:rPr>
          <w:rFonts w:hint="eastAsia" w:ascii="宋体" w:hAnsi="宋体"/>
          <w:sz w:val="24"/>
          <w:szCs w:val="24"/>
          <w:highlight w:val="yellow"/>
        </w:rPr>
      </w:pPr>
      <w:r>
        <w:rPr>
          <w:rFonts w:hint="eastAsia" w:ascii="宋体" w:hAnsi="宋体"/>
          <w:sz w:val="24"/>
          <w:szCs w:val="24"/>
          <w:highlight w:val="yellow"/>
        </w:rPr>
        <w:t>评分过程中如出现小数点后三位，采用四舍五入法，最终保留两位小数；</w:t>
      </w:r>
    </w:p>
    <w:p w14:paraId="2C1EC83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2、响应文件中必须根据以上要求提供以上相关证明材料复印件,否则不予得分。</w:t>
      </w:r>
    </w:p>
    <w:p w14:paraId="6D333C66">
      <w:pPr>
        <w:numPr>
          <w:ilvl w:val="0"/>
          <w:numId w:val="17"/>
        </w:numPr>
        <w:spacing w:line="360" w:lineRule="auto"/>
        <w:ind w:firstLine="482" w:firstLineChars="200"/>
        <w:rPr>
          <w:rFonts w:hint="eastAsia" w:ascii="宋体" w:hAnsi="宋体"/>
          <w:sz w:val="24"/>
          <w:szCs w:val="24"/>
          <w:highlight w:val="yellow"/>
        </w:rPr>
      </w:pPr>
      <w:r>
        <w:rPr>
          <w:rFonts w:hint="eastAsia" w:ascii="宋体" w:hAnsi="宋体"/>
          <w:b/>
          <w:bCs/>
          <w:color w:val="auto"/>
          <w:sz w:val="24"/>
          <w:szCs w:val="24"/>
          <w:highlight w:val="none"/>
        </w:rPr>
        <w:t>供应商务必将自评分表制作于响应文件中，同时可根据自身情况填好“响应文件对应页码”，以方便</w:t>
      </w:r>
      <w:r>
        <w:rPr>
          <w:rFonts w:hint="eastAsia" w:ascii="宋体" w:hAnsi="宋体"/>
          <w:b/>
          <w:bCs/>
          <w:color w:val="auto"/>
          <w:sz w:val="24"/>
          <w:szCs w:val="24"/>
          <w:highlight w:val="none"/>
          <w:lang w:eastAsia="zh-CN"/>
        </w:rPr>
        <w:t>评标委员会</w:t>
      </w:r>
      <w:r>
        <w:rPr>
          <w:rFonts w:hint="eastAsia" w:ascii="宋体" w:hAnsi="宋体"/>
          <w:b/>
          <w:bCs/>
          <w:color w:val="auto"/>
          <w:sz w:val="24"/>
          <w:szCs w:val="24"/>
          <w:highlight w:val="none"/>
        </w:rPr>
        <w:t>评审。</w:t>
      </w:r>
    </w:p>
    <w:p w14:paraId="2EED4DBA">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4、评审中出现下列情形之一的，评标委员会将启动异常低价响应审查程序：</w:t>
      </w:r>
    </w:p>
    <w:p w14:paraId="3A2523CF">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val="0"/>
          <w:color w:val="auto"/>
          <w:sz w:val="24"/>
          <w:szCs w:val="24"/>
          <w:highlight w:val="none"/>
          <w:lang w:val="en-US" w:eastAsia="zh-CN"/>
        </w:rPr>
      </w:pPr>
      <w:r>
        <w:rPr>
          <w:rFonts w:hint="default" w:ascii="宋体" w:hAnsi="宋体" w:eastAsia="宋体" w:cs="宋体"/>
          <w:b/>
          <w:bCs w:val="0"/>
          <w:color w:val="auto"/>
          <w:sz w:val="24"/>
          <w:szCs w:val="24"/>
          <w:highlight w:val="none"/>
          <w:lang w:val="en-US" w:eastAsia="zh-CN"/>
        </w:rPr>
        <w:t>1</w:t>
      </w:r>
      <w:r>
        <w:rPr>
          <w:rFonts w:hint="eastAsia" w:ascii="宋体" w:hAnsi="宋体" w:cs="宋体"/>
          <w:b/>
          <w:bCs w:val="0"/>
          <w:color w:val="auto"/>
          <w:sz w:val="24"/>
          <w:szCs w:val="24"/>
          <w:highlight w:val="none"/>
          <w:lang w:val="en-US" w:eastAsia="zh-CN"/>
        </w:rPr>
        <w:t>）</w:t>
      </w:r>
      <w:r>
        <w:rPr>
          <w:rFonts w:hint="eastAsia" w:ascii="宋体" w:hAnsi="宋体" w:eastAsia="宋体" w:cs="宋体"/>
          <w:b/>
          <w:bCs w:val="0"/>
          <w:color w:val="auto"/>
          <w:sz w:val="24"/>
          <w:szCs w:val="24"/>
          <w:highlight w:val="none"/>
          <w:lang w:val="en-US" w:eastAsia="zh-CN"/>
        </w:rPr>
        <w:t xml:space="preserve">．投标（响应）报价低于采购项目预算 </w:t>
      </w:r>
      <w:r>
        <w:rPr>
          <w:rFonts w:hint="default" w:ascii="宋体" w:hAnsi="宋体" w:eastAsia="宋体" w:cs="宋体"/>
          <w:b/>
          <w:bCs w:val="0"/>
          <w:color w:val="auto"/>
          <w:sz w:val="24"/>
          <w:szCs w:val="24"/>
          <w:highlight w:val="none"/>
          <w:lang w:val="en-US" w:eastAsia="zh-CN"/>
        </w:rPr>
        <w:t>50%的，即</w:t>
      </w:r>
      <w:r>
        <w:rPr>
          <w:rFonts w:hint="eastAsia" w:ascii="宋体" w:hAnsi="宋体" w:eastAsia="宋体" w:cs="宋体"/>
          <w:b/>
          <w:bCs w:val="0"/>
          <w:color w:val="auto"/>
          <w:sz w:val="24"/>
          <w:szCs w:val="24"/>
          <w:highlight w:val="none"/>
          <w:lang w:val="en-US" w:eastAsia="zh-CN"/>
        </w:rPr>
        <w:t>投标（响应）报价</w:t>
      </w:r>
      <w:r>
        <w:rPr>
          <w:rFonts w:hint="default" w:ascii="宋体" w:hAnsi="宋体" w:eastAsia="宋体" w:cs="宋体"/>
          <w:b/>
          <w:bCs w:val="0"/>
          <w:color w:val="auto"/>
          <w:sz w:val="24"/>
          <w:szCs w:val="24"/>
          <w:highlight w:val="none"/>
          <w:lang w:val="en-US" w:eastAsia="zh-CN"/>
        </w:rPr>
        <w:t xml:space="preserve">&lt;采购项目预算×50%； </w:t>
      </w:r>
    </w:p>
    <w:p w14:paraId="3C3BC237">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val="0"/>
          <w:color w:val="auto"/>
          <w:sz w:val="24"/>
          <w:szCs w:val="24"/>
          <w:highlight w:val="none"/>
          <w:lang w:val="en-US" w:eastAsia="zh-CN"/>
        </w:rPr>
      </w:pPr>
      <w:r>
        <w:rPr>
          <w:rFonts w:hint="default" w:ascii="宋体" w:hAnsi="宋体" w:eastAsia="宋体" w:cs="宋体"/>
          <w:b/>
          <w:bCs w:val="0"/>
          <w:color w:val="auto"/>
          <w:sz w:val="24"/>
          <w:szCs w:val="24"/>
          <w:highlight w:val="none"/>
          <w:lang w:val="en-US" w:eastAsia="zh-CN"/>
        </w:rPr>
        <w:t>2</w:t>
      </w:r>
      <w:r>
        <w:rPr>
          <w:rFonts w:hint="eastAsia" w:ascii="宋体" w:hAnsi="宋体" w:cs="宋体"/>
          <w:b/>
          <w:bCs w:val="0"/>
          <w:color w:val="auto"/>
          <w:sz w:val="24"/>
          <w:szCs w:val="24"/>
          <w:highlight w:val="none"/>
          <w:lang w:val="en-US" w:eastAsia="zh-CN"/>
        </w:rPr>
        <w:t>）</w:t>
      </w:r>
      <w:r>
        <w:rPr>
          <w:rFonts w:hint="default" w:ascii="宋体" w:hAnsi="宋体" w:eastAsia="宋体" w:cs="宋体"/>
          <w:b/>
          <w:bCs w:val="0"/>
          <w:color w:val="auto"/>
          <w:sz w:val="24"/>
          <w:szCs w:val="24"/>
          <w:highlight w:val="none"/>
          <w:lang w:val="en-US" w:eastAsia="zh-CN"/>
        </w:rPr>
        <w:t>．</w:t>
      </w:r>
      <w:r>
        <w:rPr>
          <w:rFonts w:hint="eastAsia" w:ascii="宋体" w:hAnsi="宋体" w:eastAsia="宋体" w:cs="宋体"/>
          <w:b/>
          <w:bCs w:val="0"/>
          <w:color w:val="auto"/>
          <w:sz w:val="24"/>
          <w:szCs w:val="24"/>
          <w:highlight w:val="none"/>
          <w:lang w:val="en-US" w:eastAsia="zh-CN"/>
        </w:rPr>
        <w:t>投标（响应）报价</w:t>
      </w:r>
      <w:r>
        <w:rPr>
          <w:rFonts w:hint="default" w:ascii="宋体" w:hAnsi="宋体" w:eastAsia="宋体" w:cs="宋体"/>
          <w:b/>
          <w:bCs w:val="0"/>
          <w:color w:val="auto"/>
          <w:sz w:val="24"/>
          <w:szCs w:val="24"/>
          <w:highlight w:val="none"/>
          <w:lang w:val="en-US" w:eastAsia="zh-CN"/>
        </w:rPr>
        <w:t>低于采购项目最高限价 45%的，即</w:t>
      </w:r>
      <w:r>
        <w:rPr>
          <w:rFonts w:hint="eastAsia" w:ascii="宋体" w:hAnsi="宋体" w:eastAsia="宋体" w:cs="宋体"/>
          <w:b/>
          <w:bCs w:val="0"/>
          <w:color w:val="auto"/>
          <w:sz w:val="24"/>
          <w:szCs w:val="24"/>
          <w:highlight w:val="none"/>
          <w:lang w:val="en-US" w:eastAsia="zh-CN"/>
        </w:rPr>
        <w:t>投标（响应）报价</w:t>
      </w:r>
      <w:r>
        <w:rPr>
          <w:rFonts w:hint="default" w:ascii="宋体" w:hAnsi="宋体" w:eastAsia="宋体" w:cs="宋体"/>
          <w:b/>
          <w:bCs w:val="0"/>
          <w:color w:val="auto"/>
          <w:sz w:val="24"/>
          <w:szCs w:val="24"/>
          <w:highlight w:val="none"/>
          <w:lang w:val="en-US" w:eastAsia="zh-CN"/>
        </w:rPr>
        <w:t xml:space="preserve">&lt;采购项目最高限价×45%； </w:t>
      </w:r>
    </w:p>
    <w:p w14:paraId="445B9175">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val="0"/>
          <w:color w:val="auto"/>
          <w:sz w:val="24"/>
          <w:szCs w:val="24"/>
          <w:highlight w:val="none"/>
          <w:lang w:val="en-US" w:eastAsia="zh-CN"/>
        </w:rPr>
      </w:pPr>
      <w:r>
        <w:rPr>
          <w:rFonts w:hint="default" w:ascii="宋体" w:hAnsi="宋体" w:eastAsia="宋体" w:cs="宋体"/>
          <w:b/>
          <w:bCs w:val="0"/>
          <w:color w:val="auto"/>
          <w:sz w:val="24"/>
          <w:szCs w:val="24"/>
          <w:highlight w:val="none"/>
          <w:lang w:val="en-US" w:eastAsia="zh-CN"/>
        </w:rPr>
        <w:t>3</w:t>
      </w:r>
      <w:r>
        <w:rPr>
          <w:rFonts w:hint="eastAsia" w:ascii="宋体" w:hAnsi="宋体" w:cs="宋体"/>
          <w:b/>
          <w:bCs w:val="0"/>
          <w:color w:val="auto"/>
          <w:sz w:val="24"/>
          <w:szCs w:val="24"/>
          <w:highlight w:val="none"/>
          <w:lang w:val="en-US" w:eastAsia="zh-CN"/>
        </w:rPr>
        <w:t>）</w:t>
      </w:r>
      <w:r>
        <w:rPr>
          <w:rFonts w:hint="default" w:ascii="宋体" w:hAnsi="宋体" w:eastAsia="宋体" w:cs="宋体"/>
          <w:b/>
          <w:bCs w:val="0"/>
          <w:color w:val="auto"/>
          <w:sz w:val="24"/>
          <w:szCs w:val="24"/>
          <w:highlight w:val="none"/>
          <w:lang w:val="en-US" w:eastAsia="zh-CN"/>
        </w:rPr>
        <w:t>．</w:t>
      </w:r>
      <w:r>
        <w:rPr>
          <w:rFonts w:hint="eastAsia" w:ascii="宋体" w:hAnsi="宋体" w:eastAsia="宋体" w:cs="宋体"/>
          <w:b/>
          <w:bCs w:val="0"/>
          <w:color w:val="auto"/>
          <w:sz w:val="24"/>
          <w:szCs w:val="24"/>
          <w:highlight w:val="none"/>
          <w:lang w:val="en-US" w:eastAsia="zh-CN"/>
        </w:rPr>
        <w:t>评标委员会</w:t>
      </w:r>
      <w:r>
        <w:rPr>
          <w:rFonts w:hint="default" w:ascii="宋体" w:hAnsi="宋体" w:eastAsia="宋体" w:cs="宋体"/>
          <w:b/>
          <w:bCs w:val="0"/>
          <w:color w:val="auto"/>
          <w:sz w:val="24"/>
          <w:szCs w:val="24"/>
          <w:highlight w:val="none"/>
          <w:lang w:val="en-US" w:eastAsia="zh-CN"/>
        </w:rPr>
        <w:t>认定的供应商报价过低、有可能影响产品质量或者不能诚信履约的其他情形。</w:t>
      </w:r>
    </w:p>
    <w:p w14:paraId="6D652624">
      <w:pPr>
        <w:spacing w:line="360" w:lineRule="auto"/>
        <w:ind w:firstLine="482" w:firstLineChars="200"/>
        <w:rPr>
          <w:rFonts w:ascii="黑体" w:hAnsi="黑体" w:eastAsia="黑体"/>
          <w:color w:val="auto"/>
          <w:sz w:val="28"/>
          <w:highlight w:val="none"/>
        </w:rPr>
      </w:pPr>
      <w:r>
        <w:rPr>
          <w:rFonts w:hint="eastAsia" w:ascii="宋体" w:hAnsi="宋体" w:eastAsia="宋体" w:cs="宋体"/>
          <w:b/>
          <w:bCs w:val="0"/>
          <w:color w:val="auto"/>
          <w:sz w:val="24"/>
          <w:szCs w:val="24"/>
          <w:highlight w:val="none"/>
          <w:lang w:val="en-US" w:eastAsia="zh-CN"/>
        </w:rPr>
        <w:t>评标委员会启动异常低价响应审查后，评标委员会</w:t>
      </w:r>
      <w:r>
        <w:rPr>
          <w:rFonts w:hint="default" w:ascii="宋体" w:hAnsi="宋体" w:eastAsia="宋体" w:cs="宋体"/>
          <w:b/>
          <w:bCs w:val="0"/>
          <w:color w:val="auto"/>
          <w:sz w:val="24"/>
          <w:szCs w:val="24"/>
          <w:highlight w:val="none"/>
          <w:lang w:val="en-US" w:eastAsia="zh-CN"/>
        </w:rPr>
        <w:t>要求相关供应商在评</w:t>
      </w:r>
      <w:r>
        <w:rPr>
          <w:rFonts w:hint="eastAsia" w:ascii="宋体" w:hAnsi="宋体" w:eastAsia="宋体" w:cs="宋体"/>
          <w:b/>
          <w:bCs w:val="0"/>
          <w:color w:val="auto"/>
          <w:sz w:val="24"/>
          <w:szCs w:val="24"/>
          <w:highlight w:val="none"/>
          <w:lang w:val="en-US" w:eastAsia="zh-CN"/>
        </w:rPr>
        <w:t>审</w:t>
      </w:r>
      <w:r>
        <w:rPr>
          <w:rFonts w:hint="default" w:ascii="宋体" w:hAnsi="宋体" w:eastAsia="宋体" w:cs="宋体"/>
          <w:b/>
          <w:bCs w:val="0"/>
          <w:color w:val="auto"/>
          <w:sz w:val="24"/>
          <w:szCs w:val="24"/>
          <w:highlight w:val="none"/>
          <w:lang w:val="en-US" w:eastAsia="zh-CN"/>
        </w:rPr>
        <w:t>现场合理的时间内，提供项目具体成本测算等与报价合理性相关的书面说明及相关证明材料，对响应价格作出解释，由</w:t>
      </w:r>
      <w:r>
        <w:rPr>
          <w:rFonts w:hint="eastAsia" w:ascii="宋体" w:hAnsi="宋体" w:eastAsia="宋体" w:cs="宋体"/>
          <w:b/>
          <w:bCs w:val="0"/>
          <w:color w:val="auto"/>
          <w:sz w:val="24"/>
          <w:szCs w:val="24"/>
          <w:highlight w:val="none"/>
          <w:lang w:val="en-US" w:eastAsia="zh-CN"/>
        </w:rPr>
        <w:t>评标委员会</w:t>
      </w:r>
      <w:r>
        <w:rPr>
          <w:rFonts w:hint="default" w:ascii="宋体" w:hAnsi="宋体" w:eastAsia="宋体" w:cs="宋体"/>
          <w:b/>
          <w:bCs w:val="0"/>
          <w:color w:val="auto"/>
          <w:sz w:val="24"/>
          <w:szCs w:val="24"/>
          <w:highlight w:val="none"/>
          <w:lang w:val="en-US" w:eastAsia="zh-CN"/>
        </w:rPr>
        <w:t>结合同类产品在主要电商平台的价格、该行业当地薪资水平等情况，依据专业经验对供应商报价合理性进行判断。</w:t>
      </w:r>
      <w:r>
        <w:rPr>
          <w:rFonts w:hint="eastAsia" w:ascii="宋体" w:hAnsi="宋体" w:eastAsia="宋体" w:cs="宋体"/>
          <w:b/>
          <w:bCs w:val="0"/>
          <w:color w:val="auto"/>
          <w:sz w:val="24"/>
          <w:szCs w:val="24"/>
          <w:highlight w:val="none"/>
          <w:lang w:val="en-US" w:eastAsia="zh-CN"/>
        </w:rPr>
        <w:t>响应供应商不提供书面说明、证明</w:t>
      </w:r>
      <w:r>
        <w:rPr>
          <w:rFonts w:hint="default" w:ascii="宋体" w:hAnsi="宋体" w:eastAsia="宋体" w:cs="宋体"/>
          <w:b/>
          <w:bCs w:val="0"/>
          <w:color w:val="auto"/>
          <w:sz w:val="24"/>
          <w:szCs w:val="24"/>
          <w:highlight w:val="none"/>
          <w:lang w:val="en-US" w:eastAsia="zh-CN"/>
        </w:rPr>
        <w:t xml:space="preserve">材料，或者提供的书面说明、证明材料不能证明其报价合理性的， </w:t>
      </w:r>
      <w:r>
        <w:rPr>
          <w:rFonts w:hint="eastAsia" w:ascii="宋体" w:hAnsi="宋体" w:eastAsia="宋体" w:cs="宋体"/>
          <w:b/>
          <w:bCs w:val="0"/>
          <w:color w:val="auto"/>
          <w:sz w:val="24"/>
          <w:szCs w:val="24"/>
          <w:highlight w:val="none"/>
          <w:lang w:val="en-US" w:eastAsia="zh-CN"/>
        </w:rPr>
        <w:t>评标委员会</w:t>
      </w:r>
      <w:r>
        <w:rPr>
          <w:rFonts w:hint="default" w:ascii="宋体" w:hAnsi="宋体" w:eastAsia="宋体" w:cs="宋体"/>
          <w:b/>
          <w:bCs w:val="0"/>
          <w:color w:val="auto"/>
          <w:sz w:val="24"/>
          <w:szCs w:val="24"/>
          <w:highlight w:val="none"/>
          <w:lang w:val="en-US" w:eastAsia="zh-CN"/>
        </w:rPr>
        <w:t>应当将其作为无效响应处理。</w:t>
      </w:r>
      <w:r>
        <w:rPr>
          <w:rFonts w:hint="eastAsia" w:ascii="宋体" w:hAnsi="宋体" w:eastAsia="宋体" w:cs="宋体"/>
          <w:b/>
          <w:bCs w:val="0"/>
          <w:color w:val="auto"/>
          <w:sz w:val="24"/>
          <w:szCs w:val="24"/>
          <w:highlight w:val="none"/>
          <w:lang w:val="en-US" w:eastAsia="zh-CN"/>
        </w:rPr>
        <w:t>审查相关情况在评审报告中予以记录。</w:t>
      </w:r>
    </w:p>
    <w:p w14:paraId="7AB65D41">
      <w:pPr>
        <w:pStyle w:val="2"/>
        <w:numPr>
          <w:ilvl w:val="0"/>
          <w:numId w:val="0"/>
        </w:numPr>
        <w:rPr>
          <w:rFonts w:hint="eastAsia"/>
        </w:rPr>
      </w:pPr>
    </w:p>
    <w:p w14:paraId="5B0141BD">
      <w:pPr>
        <w:pStyle w:val="26"/>
        <w:ind w:firstLine="210"/>
        <w:rPr>
          <w:color w:val="auto"/>
          <w:highlight w:val="none"/>
        </w:rPr>
      </w:pPr>
    </w:p>
    <w:p w14:paraId="7711D2C0">
      <w:pPr>
        <w:pStyle w:val="26"/>
        <w:ind w:left="0" w:leftChars="0" w:firstLine="0" w:firstLineChars="0"/>
        <w:rPr>
          <w:color w:val="auto"/>
          <w:highlight w:val="none"/>
        </w:rPr>
      </w:pPr>
    </w:p>
    <w:p w14:paraId="508BEFD7">
      <w:pPr>
        <w:jc w:val="center"/>
        <w:rPr>
          <w:rFonts w:ascii="黑体" w:hAnsi="黑体" w:eastAsia="黑体"/>
          <w:color w:val="auto"/>
          <w:sz w:val="28"/>
          <w:highlight w:val="none"/>
        </w:rPr>
      </w:pPr>
      <w:r>
        <w:rPr>
          <w:rFonts w:hint="eastAsia" w:ascii="黑体" w:hAnsi="黑体" w:eastAsia="黑体"/>
          <w:color w:val="auto"/>
          <w:sz w:val="28"/>
          <w:highlight w:val="none"/>
        </w:rPr>
        <w:t>第四章 项目技术要求和有关说明</w:t>
      </w:r>
      <w:bookmarkEnd w:id="24"/>
      <w:bookmarkEnd w:id="28"/>
    </w:p>
    <w:p w14:paraId="3F1683B8">
      <w:pPr>
        <w:keepNext w:val="0"/>
        <w:keepLines w:val="0"/>
        <w:pageBreakBefore w:val="0"/>
        <w:widowControl w:val="0"/>
        <w:tabs>
          <w:tab w:val="left" w:pos="945"/>
        </w:tabs>
        <w:kinsoku/>
        <w:wordWrap/>
        <w:overflowPunct/>
        <w:topLinePunct w:val="0"/>
        <w:autoSpaceDE/>
        <w:autoSpaceDN/>
        <w:bidi w:val="0"/>
        <w:adjustRightInd/>
        <w:snapToGrid/>
        <w:spacing w:line="360" w:lineRule="auto"/>
        <w:ind w:left="0" w:firstLine="480" w:firstLineChars="200"/>
        <w:textAlignment w:val="auto"/>
        <w:rPr>
          <w:rFonts w:ascii="仿宋_GB2312" w:hAnsi="宋体" w:eastAsia="仿宋_GB2312" w:cs="宋体"/>
          <w:color w:val="auto"/>
          <w:kern w:val="0"/>
          <w:sz w:val="24"/>
        </w:rPr>
      </w:pPr>
      <w:bookmarkStart w:id="29" w:name="_Toc487900374"/>
      <w:r>
        <w:rPr>
          <w:rFonts w:hint="eastAsia" w:ascii="宋体" w:hAnsi="宋体"/>
          <w:sz w:val="24"/>
          <w:szCs w:val="24"/>
        </w:rPr>
        <w:t>本次招标是由宜兴市公用环保集团有限公司供应的自行组织招标的</w:t>
      </w:r>
      <w:r>
        <w:rPr>
          <w:rFonts w:hint="eastAsia" w:ascii="宋体" w:hAnsi="宋体"/>
          <w:color w:val="auto"/>
          <w:sz w:val="24"/>
          <w:szCs w:val="24"/>
          <w:lang w:val="en-US" w:eastAsia="zh-CN"/>
        </w:rPr>
        <w:t>西渚工业污水处理厂改建</w:t>
      </w:r>
      <w:r>
        <w:rPr>
          <w:rFonts w:hint="eastAsia" w:ascii="宋体" w:hAnsi="宋体"/>
          <w:color w:val="auto"/>
          <w:sz w:val="24"/>
          <w:szCs w:val="24"/>
        </w:rPr>
        <w:t>工程等所用的</w:t>
      </w:r>
      <w:r>
        <w:rPr>
          <w:rFonts w:hint="eastAsia" w:ascii="宋体" w:hAnsi="宋体"/>
          <w:color w:val="auto"/>
          <w:sz w:val="24"/>
          <w:szCs w:val="24"/>
          <w:lang w:val="en-US" w:eastAsia="zh-CN"/>
        </w:rPr>
        <w:t>细格栅及精准除砂系统、</w:t>
      </w:r>
      <w:r>
        <w:rPr>
          <w:rFonts w:hint="eastAsia" w:ascii="宋体" w:hAnsi="宋体"/>
          <w:color w:val="auto"/>
          <w:sz w:val="24"/>
          <w:szCs w:val="24"/>
          <w:lang w:eastAsia="zh-CN"/>
        </w:rPr>
        <w:t>除臭</w:t>
      </w:r>
      <w:r>
        <w:rPr>
          <w:rFonts w:hint="eastAsia" w:ascii="宋体" w:hAnsi="宋体"/>
          <w:color w:val="auto"/>
          <w:sz w:val="24"/>
          <w:szCs w:val="24"/>
          <w:lang w:val="en-US" w:eastAsia="zh-CN"/>
        </w:rPr>
        <w:t>系统、活性炭吸附罐设备</w:t>
      </w:r>
      <w:r>
        <w:rPr>
          <w:rFonts w:hint="eastAsia" w:ascii="宋体" w:hAnsi="宋体"/>
          <w:sz w:val="24"/>
          <w:szCs w:val="24"/>
        </w:rPr>
        <w:t>及相关配件等。投标人须提供满足以下要求，不得有负偏离：</w:t>
      </w:r>
      <w:r>
        <w:rPr>
          <w:rFonts w:hint="eastAsia" w:ascii="宋体" w:hAnsi="宋体"/>
          <w:color w:val="auto"/>
          <w:sz w:val="24"/>
          <w:szCs w:val="24"/>
        </w:rPr>
        <w:t xml:space="preserve"> </w:t>
      </w:r>
    </w:p>
    <w:p w14:paraId="13A45546">
      <w:pPr>
        <w:numPr>
          <w:ilvl w:val="0"/>
          <w:numId w:val="0"/>
        </w:numPr>
        <w:spacing w:line="360" w:lineRule="auto"/>
        <w:rPr>
          <w:rFonts w:hint="eastAsia" w:ascii="宋体" w:hAnsi="宋体"/>
          <w:color w:val="auto"/>
          <w:sz w:val="24"/>
          <w:szCs w:val="24"/>
        </w:rPr>
      </w:pPr>
      <w:r>
        <w:rPr>
          <w:rFonts w:hint="eastAsia" w:ascii="宋体" w:hAnsi="宋体"/>
          <w:color w:val="auto"/>
          <w:sz w:val="24"/>
          <w:szCs w:val="24"/>
          <w:lang w:val="en-US" w:eastAsia="zh-CN"/>
        </w:rPr>
        <w:t>一、项目</w:t>
      </w:r>
      <w:r>
        <w:rPr>
          <w:rFonts w:hint="eastAsia" w:ascii="宋体" w:hAnsi="宋体"/>
          <w:color w:val="auto"/>
          <w:sz w:val="24"/>
          <w:szCs w:val="24"/>
        </w:rPr>
        <w:t>技术要求：</w:t>
      </w:r>
    </w:p>
    <w:p w14:paraId="168CBB69">
      <w:pPr>
        <w:pStyle w:val="26"/>
        <w:numPr>
          <w:ilvl w:val="0"/>
          <w:numId w:val="0"/>
        </w:numPr>
        <w:rPr>
          <w:rFonts w:hint="eastAsia" w:ascii="宋体" w:hAnsi="宋体" w:eastAsia="宋体" w:cs="Times New Roman"/>
          <w:b/>
          <w:bCs/>
          <w:color w:val="auto"/>
          <w:kern w:val="2"/>
          <w:sz w:val="24"/>
          <w:szCs w:val="24"/>
          <w:lang w:val="en-US" w:eastAsia="zh-CN" w:bidi="ar-SA"/>
        </w:rPr>
      </w:pPr>
      <w:r>
        <w:rPr>
          <w:rFonts w:hint="eastAsia" w:ascii="宋体" w:hAnsi="宋体" w:cs="Times New Roman"/>
          <w:b/>
          <w:bCs/>
          <w:color w:val="auto"/>
          <w:kern w:val="2"/>
          <w:sz w:val="24"/>
          <w:szCs w:val="24"/>
          <w:lang w:val="en-US" w:eastAsia="zh-CN" w:bidi="ar-SA"/>
        </w:rPr>
        <w:t>（一）</w:t>
      </w:r>
      <w:r>
        <w:rPr>
          <w:rFonts w:hint="eastAsia" w:ascii="宋体" w:hAnsi="宋体" w:eastAsia="宋体" w:cs="Times New Roman"/>
          <w:b/>
          <w:bCs/>
          <w:color w:val="auto"/>
          <w:kern w:val="2"/>
          <w:sz w:val="24"/>
          <w:szCs w:val="24"/>
          <w:lang w:val="en-US" w:eastAsia="zh-CN" w:bidi="ar-SA"/>
        </w:rPr>
        <w:t>本次招标项目</w:t>
      </w:r>
      <w:r>
        <w:rPr>
          <w:rFonts w:hint="eastAsia" w:ascii="宋体" w:hAnsi="宋体" w:cs="Times New Roman"/>
          <w:b/>
          <w:bCs/>
          <w:color w:val="auto"/>
          <w:kern w:val="2"/>
          <w:sz w:val="24"/>
          <w:szCs w:val="24"/>
          <w:lang w:val="en-US" w:eastAsia="zh-CN" w:bidi="ar-SA"/>
        </w:rPr>
        <w:t>设备</w:t>
      </w:r>
      <w:r>
        <w:rPr>
          <w:rFonts w:hint="eastAsia" w:ascii="宋体" w:hAnsi="宋体" w:eastAsia="宋体" w:cs="Times New Roman"/>
          <w:b/>
          <w:bCs/>
          <w:color w:val="auto"/>
          <w:kern w:val="2"/>
          <w:sz w:val="24"/>
          <w:szCs w:val="24"/>
          <w:lang w:val="en-US" w:eastAsia="zh-CN" w:bidi="ar-SA"/>
        </w:rPr>
        <w:t>的要求及数量详见下表。</w:t>
      </w:r>
    </w:p>
    <w:tbl>
      <w:tblPr>
        <w:tblStyle w:val="2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9"/>
        <w:gridCol w:w="1646"/>
        <w:gridCol w:w="3432"/>
        <w:gridCol w:w="761"/>
        <w:gridCol w:w="761"/>
        <w:gridCol w:w="2746"/>
      </w:tblGrid>
      <w:tr w14:paraId="7A9F5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B9AD7">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一、细格栅及精准除砂系统</w:t>
            </w:r>
          </w:p>
        </w:tc>
      </w:tr>
      <w:tr w14:paraId="326C9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B6D2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E335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产品名称</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7C69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highlight w:val="none"/>
                <w:u w:val="none"/>
                <w:lang w:val="en-US" w:eastAsia="zh-CN" w:bidi="ar"/>
              </w:rPr>
              <w:t>设备型号</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7FB4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3C1E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数量</w:t>
            </w:r>
          </w:p>
        </w:tc>
        <w:tc>
          <w:tcPr>
            <w:tcW w:w="1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FB0D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备注</w:t>
            </w:r>
          </w:p>
        </w:tc>
      </w:tr>
      <w:tr w14:paraId="1FA99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6D3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B7D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阶梯网板格栅</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DE4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B=800mm，b=3mm,N=2.2kW</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518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036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61A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配套溜槽</w:t>
            </w:r>
          </w:p>
        </w:tc>
      </w:tr>
      <w:tr w14:paraId="1BE14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D2D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2BDA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高排水压榨机</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272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螺旋外径300mm，出渣高度1500mm，N=2.2kW</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60E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504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8FE87">
            <w:pPr>
              <w:jc w:val="center"/>
              <w:rPr>
                <w:rFonts w:hint="eastAsia" w:ascii="宋体" w:hAnsi="宋体" w:eastAsia="宋体" w:cs="宋体"/>
                <w:i w:val="0"/>
                <w:iCs w:val="0"/>
                <w:color w:val="auto"/>
                <w:sz w:val="22"/>
                <w:szCs w:val="22"/>
                <w:u w:val="none"/>
              </w:rPr>
            </w:pPr>
          </w:p>
        </w:tc>
      </w:tr>
      <w:tr w14:paraId="00CD5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03A8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ECD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格栅槽</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E4F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5000x900x1200mm</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1BF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F49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39B6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碳钢防腐</w:t>
            </w:r>
          </w:p>
        </w:tc>
      </w:tr>
      <w:tr w14:paraId="4D872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4E9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A88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洗砂分砂一体机</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883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Q=42m³/h N=0.37kW</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141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235F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487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含管配件</w:t>
            </w:r>
          </w:p>
        </w:tc>
      </w:tr>
      <w:tr w14:paraId="7312F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B91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1D5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精准除砂装置</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5F2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Q=5000m³/d，除砂精度106微米,去除率85%</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343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0AF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E33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含管配件</w:t>
            </w:r>
          </w:p>
        </w:tc>
      </w:tr>
      <w:tr w14:paraId="08B96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643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D90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抽砂泵</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B65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Q=40m³/h，H=6m，N=2.2kW</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D32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525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0D0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1用1备</w:t>
            </w:r>
          </w:p>
        </w:tc>
      </w:tr>
      <w:tr w14:paraId="69D75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A5F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C26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全自动给水设备</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A1B3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恒压变频控制,含2台立式冲洗泵Q=16m³/h,H=50m，N=4.0kW(1用1备)ø600气压罐1套，8m³不锈钢水箱一只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B2D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474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40368">
            <w:pPr>
              <w:jc w:val="center"/>
              <w:rPr>
                <w:rFonts w:hint="eastAsia" w:ascii="宋体" w:hAnsi="宋体" w:eastAsia="宋体" w:cs="宋体"/>
                <w:i w:val="0"/>
                <w:iCs w:val="0"/>
                <w:color w:val="auto"/>
                <w:sz w:val="22"/>
                <w:szCs w:val="22"/>
                <w:u w:val="none"/>
              </w:rPr>
            </w:pPr>
          </w:p>
        </w:tc>
      </w:tr>
      <w:tr w14:paraId="7FC45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456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6D9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栅渣小车</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2E2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V=0.5m³</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E12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辆</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46B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D5B3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碳钢防腐</w:t>
            </w:r>
          </w:p>
        </w:tc>
      </w:tr>
      <w:tr w14:paraId="7C869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6EE0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594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附属材料</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092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系统内管道、配套阀门、仪表等</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2C4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A6C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35ACB">
            <w:pPr>
              <w:jc w:val="center"/>
              <w:rPr>
                <w:rFonts w:hint="eastAsia" w:ascii="宋体" w:hAnsi="宋体" w:eastAsia="宋体" w:cs="宋体"/>
                <w:i w:val="0"/>
                <w:iCs w:val="0"/>
                <w:color w:val="auto"/>
                <w:sz w:val="22"/>
                <w:szCs w:val="22"/>
                <w:u w:val="none"/>
              </w:rPr>
            </w:pPr>
          </w:p>
        </w:tc>
      </w:tr>
      <w:tr w14:paraId="4C654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0A6AC">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二、除臭系统</w:t>
            </w:r>
          </w:p>
        </w:tc>
      </w:tr>
      <w:tr w14:paraId="373A9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0C1C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7FBF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项目名称</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DCB4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规格</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4F53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1455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数量</w:t>
            </w:r>
          </w:p>
        </w:tc>
        <w:tc>
          <w:tcPr>
            <w:tcW w:w="1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CEEA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备注</w:t>
            </w:r>
          </w:p>
        </w:tc>
      </w:tr>
      <w:tr w14:paraId="5C2F5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30B07F">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（一）除臭设备主体</w:t>
            </w:r>
          </w:p>
        </w:tc>
      </w:tr>
      <w:tr w14:paraId="747C8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EDA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3F3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风机</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35E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Q=4000m³/h，P=2500Pa，N=5.5Kw</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216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B9B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88C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含隔音罩，变频控制</w:t>
            </w:r>
          </w:p>
        </w:tc>
      </w:tr>
      <w:tr w14:paraId="27560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BD1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14CE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生物滤池</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033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处理量：Q=4000m³/h</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345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座</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515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6F2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含填料、支架、检修口、检修爬梯等附件</w:t>
            </w:r>
          </w:p>
        </w:tc>
      </w:tr>
      <w:tr w14:paraId="3AD2B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2515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A67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预洗段循环水泵</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E21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Q=8m³/h，H=24.2m，N=4kw</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85E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358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280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轮流切换使用</w:t>
            </w:r>
          </w:p>
        </w:tc>
      </w:tr>
      <w:tr w14:paraId="5D82A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AA0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999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生物段水泵</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7F3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Q=4m³/h，H=24.2m，N=4kw</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19B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6EF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EF370">
            <w:pPr>
              <w:jc w:val="center"/>
              <w:rPr>
                <w:rFonts w:hint="eastAsia" w:ascii="宋体" w:hAnsi="宋体" w:eastAsia="宋体" w:cs="宋体"/>
                <w:i w:val="0"/>
                <w:iCs w:val="0"/>
                <w:color w:val="auto"/>
                <w:sz w:val="22"/>
                <w:szCs w:val="22"/>
                <w:u w:val="none"/>
              </w:rPr>
            </w:pPr>
          </w:p>
        </w:tc>
      </w:tr>
      <w:tr w14:paraId="01617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73F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89E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预洗段循环水箱</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2635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1*1*1m(L*W*H)</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E0F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632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86B7B">
            <w:pPr>
              <w:jc w:val="center"/>
              <w:rPr>
                <w:rFonts w:hint="eastAsia" w:ascii="宋体" w:hAnsi="宋体" w:eastAsia="宋体" w:cs="宋体"/>
                <w:i w:val="0"/>
                <w:iCs w:val="0"/>
                <w:color w:val="auto"/>
                <w:sz w:val="22"/>
                <w:szCs w:val="22"/>
                <w:u w:val="none"/>
              </w:rPr>
            </w:pPr>
          </w:p>
        </w:tc>
      </w:tr>
      <w:tr w14:paraId="42DFB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467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776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生物段加湿水箱</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28EB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1*1*1m(L*W*H)</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5F5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285E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4E724">
            <w:pPr>
              <w:jc w:val="center"/>
              <w:rPr>
                <w:rFonts w:hint="eastAsia" w:ascii="宋体" w:hAnsi="宋体" w:eastAsia="宋体" w:cs="宋体"/>
                <w:i w:val="0"/>
                <w:iCs w:val="0"/>
                <w:color w:val="auto"/>
                <w:sz w:val="22"/>
                <w:szCs w:val="22"/>
                <w:u w:val="none"/>
              </w:rPr>
            </w:pPr>
          </w:p>
        </w:tc>
      </w:tr>
      <w:tr w14:paraId="5A731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BE2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DBD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电控柜</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6A8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0.8*0.6*1.8m(L*W*H)</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室外防雨型</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3BF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872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2EB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设备配套提供</w:t>
            </w:r>
          </w:p>
        </w:tc>
      </w:tr>
      <w:tr w14:paraId="15534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57BE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4BE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烟囱</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1BA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DN400*15m(H)</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694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5F0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22E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带避雷针、取样平台、Z型爬梯</w:t>
            </w:r>
          </w:p>
        </w:tc>
      </w:tr>
      <w:tr w14:paraId="6456B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003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D17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碱洗循环水泵</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462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Q=8m³/h，H=24.2m，N=4kw</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C61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D25F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831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轮流切换使用</w:t>
            </w:r>
          </w:p>
        </w:tc>
      </w:tr>
      <w:tr w14:paraId="4F9BA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090A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09C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碱洗塔</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0F1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φ1.6m*4.3m（H)</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FD9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403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F58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含填料、支架、检修口、检修爬梯等附件</w:t>
            </w:r>
          </w:p>
        </w:tc>
      </w:tr>
      <w:tr w14:paraId="34ACD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CAA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80F3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一体化加药装置</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9C5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加药桶V=1000L，加药泵100L/h，0.25kw</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D74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223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962C9">
            <w:pPr>
              <w:jc w:val="center"/>
              <w:rPr>
                <w:rFonts w:hint="eastAsia" w:ascii="宋体" w:hAnsi="宋体" w:eastAsia="宋体" w:cs="宋体"/>
                <w:i w:val="0"/>
                <w:iCs w:val="0"/>
                <w:color w:val="auto"/>
                <w:sz w:val="22"/>
                <w:szCs w:val="22"/>
                <w:u w:val="none"/>
              </w:rPr>
            </w:pPr>
          </w:p>
        </w:tc>
      </w:tr>
      <w:tr w14:paraId="3BCEE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2EB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30A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附属材料</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3E3C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系统内水管、配套阀门、仪表、风管、弯头、止回阀、法兰等</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720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162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6A2D3">
            <w:pPr>
              <w:jc w:val="center"/>
              <w:rPr>
                <w:rFonts w:hint="eastAsia" w:ascii="宋体" w:hAnsi="宋体" w:eastAsia="宋体" w:cs="宋体"/>
                <w:i w:val="0"/>
                <w:iCs w:val="0"/>
                <w:color w:val="auto"/>
                <w:sz w:val="22"/>
                <w:szCs w:val="22"/>
                <w:u w:val="none"/>
              </w:rPr>
            </w:pPr>
          </w:p>
        </w:tc>
      </w:tr>
      <w:tr w14:paraId="21804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B727B1">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（二）安装材料</w:t>
            </w:r>
          </w:p>
        </w:tc>
      </w:tr>
      <w:tr w14:paraId="1021E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7C13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046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风管</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185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DN100、DN200、DN400等</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FE6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批</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694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CFB1A">
            <w:pPr>
              <w:jc w:val="center"/>
              <w:rPr>
                <w:rFonts w:hint="eastAsia" w:ascii="宋体" w:hAnsi="宋体" w:eastAsia="宋体" w:cs="宋体"/>
                <w:i w:val="0"/>
                <w:iCs w:val="0"/>
                <w:color w:val="auto"/>
                <w:sz w:val="22"/>
                <w:szCs w:val="22"/>
                <w:u w:val="none"/>
              </w:rPr>
            </w:pPr>
          </w:p>
        </w:tc>
      </w:tr>
      <w:tr w14:paraId="4517F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BE6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8010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90°弯头</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B55F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DN100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59D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批</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7E0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B0A82">
            <w:pPr>
              <w:jc w:val="center"/>
              <w:rPr>
                <w:rFonts w:hint="eastAsia" w:ascii="宋体" w:hAnsi="宋体" w:eastAsia="宋体" w:cs="宋体"/>
                <w:i w:val="0"/>
                <w:iCs w:val="0"/>
                <w:color w:val="auto"/>
                <w:sz w:val="22"/>
                <w:szCs w:val="22"/>
                <w:u w:val="none"/>
              </w:rPr>
            </w:pPr>
          </w:p>
        </w:tc>
      </w:tr>
      <w:tr w14:paraId="3751B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EC7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591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三通</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917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DN200/DN100/DN200、DN100、DN200、DN400、DN200/100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5C0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批</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26A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54947">
            <w:pPr>
              <w:jc w:val="center"/>
              <w:rPr>
                <w:rFonts w:hint="eastAsia" w:ascii="宋体" w:hAnsi="宋体" w:eastAsia="宋体" w:cs="宋体"/>
                <w:i w:val="0"/>
                <w:iCs w:val="0"/>
                <w:color w:val="auto"/>
                <w:sz w:val="22"/>
                <w:szCs w:val="22"/>
                <w:u w:val="none"/>
              </w:rPr>
            </w:pPr>
          </w:p>
        </w:tc>
      </w:tr>
      <w:tr w14:paraId="19DD1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F02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0E85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变径</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11BB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DN200/DN100、DN400/DN100、DN400/DN200等</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D80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批</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C4C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4A658">
            <w:pPr>
              <w:jc w:val="center"/>
              <w:rPr>
                <w:rFonts w:hint="eastAsia" w:ascii="宋体" w:hAnsi="宋体" w:eastAsia="宋体" w:cs="宋体"/>
                <w:i w:val="0"/>
                <w:iCs w:val="0"/>
                <w:color w:val="auto"/>
                <w:sz w:val="22"/>
                <w:szCs w:val="22"/>
                <w:u w:val="none"/>
              </w:rPr>
            </w:pPr>
          </w:p>
        </w:tc>
      </w:tr>
      <w:tr w14:paraId="138D5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AEF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602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风阀</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99F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DN100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709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批</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353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3C2D0">
            <w:pPr>
              <w:jc w:val="center"/>
              <w:rPr>
                <w:rFonts w:hint="eastAsia" w:ascii="宋体" w:hAnsi="宋体" w:eastAsia="宋体" w:cs="宋体"/>
                <w:i w:val="0"/>
                <w:iCs w:val="0"/>
                <w:color w:val="auto"/>
                <w:sz w:val="22"/>
                <w:szCs w:val="22"/>
                <w:u w:val="none"/>
              </w:rPr>
            </w:pPr>
          </w:p>
        </w:tc>
      </w:tr>
      <w:tr w14:paraId="7F0FA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D8B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151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支架</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FFE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风管配套</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272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批</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2F8A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2316C">
            <w:pPr>
              <w:jc w:val="center"/>
              <w:rPr>
                <w:rFonts w:hint="eastAsia" w:ascii="宋体" w:hAnsi="宋体" w:eastAsia="宋体" w:cs="宋体"/>
                <w:i w:val="0"/>
                <w:iCs w:val="0"/>
                <w:color w:val="auto"/>
                <w:sz w:val="22"/>
                <w:szCs w:val="22"/>
                <w:u w:val="none"/>
              </w:rPr>
            </w:pPr>
          </w:p>
        </w:tc>
      </w:tr>
      <w:tr w14:paraId="0C99C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9EF6F">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三、活性炭吸附罐</w:t>
            </w:r>
          </w:p>
        </w:tc>
      </w:tr>
      <w:tr w14:paraId="43FE0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738C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7BA3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名称</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CA86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规格型号</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FB55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6409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数量</w:t>
            </w:r>
          </w:p>
        </w:tc>
        <w:tc>
          <w:tcPr>
            <w:tcW w:w="1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10DD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备注</w:t>
            </w:r>
          </w:p>
        </w:tc>
      </w:tr>
      <w:tr w14:paraId="2596A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222086">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（一）活性炭吸附罐主体</w:t>
            </w:r>
          </w:p>
        </w:tc>
      </w:tr>
      <w:tr w14:paraId="52C5B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3EA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FD3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活性炭吸附罐</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097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40m³，直径3200，总高约9.0m（含厂家配套阀门及管道等）装填颗粒活性炭，颗粒炭密度0.5，装填系数0.8，每柱装颗粒炭约16吨</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EFA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5ED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F46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配套阀门、仪表及管配件</w:t>
            </w:r>
          </w:p>
        </w:tc>
      </w:tr>
      <w:tr w14:paraId="048F2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C592369">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（二）安装材料</w:t>
            </w:r>
          </w:p>
        </w:tc>
      </w:tr>
      <w:tr w14:paraId="5FABB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B9A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53D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钢管</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F9BB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D325x6、D219x6等</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0BF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批</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867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37D0F">
            <w:pPr>
              <w:jc w:val="center"/>
              <w:rPr>
                <w:rFonts w:hint="eastAsia" w:ascii="宋体" w:hAnsi="宋体" w:eastAsia="宋体" w:cs="宋体"/>
                <w:i w:val="0"/>
                <w:iCs w:val="0"/>
                <w:color w:val="auto"/>
                <w:sz w:val="22"/>
                <w:szCs w:val="22"/>
                <w:u w:val="none"/>
              </w:rPr>
            </w:pPr>
          </w:p>
        </w:tc>
      </w:tr>
      <w:tr w14:paraId="61F73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492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045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90°弯头</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D900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DN300、DN200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219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批</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388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6EBEA">
            <w:pPr>
              <w:jc w:val="center"/>
              <w:rPr>
                <w:rFonts w:hint="eastAsia" w:ascii="宋体" w:hAnsi="宋体" w:eastAsia="宋体" w:cs="宋体"/>
                <w:i w:val="0"/>
                <w:iCs w:val="0"/>
                <w:color w:val="auto"/>
                <w:sz w:val="22"/>
                <w:szCs w:val="22"/>
                <w:u w:val="none"/>
              </w:rPr>
            </w:pPr>
          </w:p>
        </w:tc>
      </w:tr>
      <w:tr w14:paraId="32276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458F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43D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法兰</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1BF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DN300，PN=1.0MPa；</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DN200，PN=1.0MPa</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6D4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批</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577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CE55A">
            <w:pPr>
              <w:jc w:val="center"/>
              <w:rPr>
                <w:rFonts w:hint="eastAsia" w:ascii="宋体" w:hAnsi="宋体" w:eastAsia="宋体" w:cs="宋体"/>
                <w:i w:val="0"/>
                <w:iCs w:val="0"/>
                <w:color w:val="auto"/>
                <w:sz w:val="22"/>
                <w:szCs w:val="22"/>
                <w:u w:val="none"/>
              </w:rPr>
            </w:pPr>
          </w:p>
        </w:tc>
      </w:tr>
    </w:tbl>
    <w:p w14:paraId="0B232600">
      <w:pPr>
        <w:pStyle w:val="26"/>
        <w:numPr>
          <w:ilvl w:val="0"/>
          <w:numId w:val="0"/>
        </w:numPr>
        <w:rPr>
          <w:rFonts w:hint="eastAsia" w:ascii="宋体" w:hAnsi="宋体" w:eastAsia="宋体" w:cs="Times New Roman"/>
          <w:b/>
          <w:bCs/>
          <w:color w:val="auto"/>
          <w:kern w:val="2"/>
          <w:sz w:val="24"/>
          <w:szCs w:val="24"/>
          <w:lang w:val="en-US" w:eastAsia="zh-CN" w:bidi="ar-SA"/>
        </w:rPr>
      </w:pPr>
    </w:p>
    <w:p w14:paraId="1D46FDEF">
      <w:pPr>
        <w:pStyle w:val="3"/>
        <w:numPr>
          <w:ilvl w:val="0"/>
          <w:numId w:val="18"/>
        </w:numPr>
        <w:spacing w:before="120" w:after="120"/>
        <w:jc w:val="left"/>
        <w:rPr>
          <w:rFonts w:hint="eastAsia" w:ascii="宋体" w:hAnsi="宋体" w:cs="宋体"/>
          <w:color w:val="auto"/>
          <w:kern w:val="2"/>
          <w:sz w:val="24"/>
          <w:szCs w:val="24"/>
          <w:lang w:val="en-US" w:eastAsia="zh-CN"/>
        </w:rPr>
      </w:pPr>
      <w:r>
        <w:rPr>
          <w:rFonts w:hint="eastAsia" w:ascii="宋体" w:hAnsi="宋体" w:cs="宋体"/>
          <w:color w:val="auto"/>
          <w:kern w:val="2"/>
          <w:sz w:val="24"/>
          <w:szCs w:val="24"/>
          <w:lang w:val="en-US" w:eastAsia="zh-CN"/>
        </w:rPr>
        <w:t>技术要求</w:t>
      </w:r>
    </w:p>
    <w:p w14:paraId="436469ED">
      <w:pPr>
        <w:numPr>
          <w:ilvl w:val="0"/>
          <w:numId w:val="19"/>
        </w:numPr>
        <w:rPr>
          <w:rFonts w:hint="eastAsia" w:ascii="宋体" w:hAnsi="宋体" w:cs="宋体"/>
          <w:b/>
          <w:bCs/>
          <w:color w:val="auto"/>
          <w:kern w:val="2"/>
          <w:sz w:val="24"/>
          <w:szCs w:val="24"/>
          <w:lang w:val="en-US" w:eastAsia="zh-CN"/>
        </w:rPr>
      </w:pPr>
      <w:r>
        <w:rPr>
          <w:rFonts w:hint="eastAsia" w:ascii="宋体" w:hAnsi="宋体" w:cs="宋体"/>
          <w:b/>
          <w:bCs/>
          <w:color w:val="auto"/>
          <w:kern w:val="2"/>
          <w:sz w:val="24"/>
          <w:szCs w:val="24"/>
          <w:lang w:val="en-US" w:eastAsia="zh-CN"/>
        </w:rPr>
        <w:t>细格栅及精准除砂系统</w:t>
      </w:r>
    </w:p>
    <w:p w14:paraId="0A019686">
      <w:pPr>
        <w:pStyle w:val="47"/>
        <w:spacing w:line="360" w:lineRule="auto"/>
        <w:ind w:firstLine="420" w:firstLineChars="0"/>
        <w:contextualSpacing/>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本项为细格栅及精准除砂系统设备采购与安装，中标单位需根据现场环境及土建条件，合理布置设备、配套管道、管件、阀门等全套管配件。污水通过细格栅及沉砂池能高</w:t>
      </w:r>
      <w:r>
        <w:rPr>
          <w:rFonts w:hint="eastAsia" w:ascii="宋体" w:hAnsi="宋体" w:eastAsia="宋体" w:cs="宋体"/>
          <w:b w:val="0"/>
          <w:bCs w:val="0"/>
          <w:color w:val="auto"/>
          <w:sz w:val="24"/>
          <w:highlight w:val="none"/>
        </w:rPr>
        <w:t>效去除污水进水中的砂粒、砾石、纤维等无机固体颗粒，</w:t>
      </w:r>
      <w:r>
        <w:rPr>
          <w:rFonts w:hint="eastAsia" w:ascii="宋体" w:hAnsi="宋体" w:eastAsia="宋体" w:cs="宋体"/>
          <w:b w:val="0"/>
          <w:bCs w:val="0"/>
          <w:color w:val="auto"/>
          <w:sz w:val="24"/>
          <w:highlight w:val="none"/>
          <w:lang w:val="en-US" w:eastAsia="zh-CN"/>
        </w:rPr>
        <w:t>除砂精度106微米,去除率85%，能</w:t>
      </w:r>
      <w:r>
        <w:rPr>
          <w:rFonts w:hint="eastAsia" w:ascii="宋体" w:hAnsi="宋体" w:eastAsia="宋体" w:cs="宋体"/>
          <w:b w:val="0"/>
          <w:bCs w:val="0"/>
          <w:color w:val="auto"/>
          <w:sz w:val="24"/>
          <w:highlight w:val="none"/>
        </w:rPr>
        <w:t>保护后续水泵、管道及处理设施免受磨损与堵塞，大大减轻后续处理单元的泥砂沉积、曝气头的堵塞，延长清池周期，减轻污泥处理的负担，除砂精度及除砂效率大幅提高，保证整个污水处理系统的稳定、高效运行，从而降低污水厂整体运营成本。</w:t>
      </w:r>
    </w:p>
    <w:p w14:paraId="719669FC">
      <w:pPr>
        <w:pStyle w:val="47"/>
        <w:spacing w:line="360" w:lineRule="auto"/>
        <w:ind w:firstLine="420" w:firstLineChars="0"/>
        <w:contextualSpacing/>
        <w:rPr>
          <w:rFonts w:hint="default" w:ascii="宋体" w:hAnsi="宋体" w:eastAsia="宋体" w:cs="宋体"/>
          <w:b/>
          <w:bCs/>
          <w:color w:val="auto"/>
          <w:sz w:val="24"/>
          <w:szCs w:val="24"/>
          <w:highlight w:val="yellow"/>
          <w:lang w:val="en-US" w:eastAsia="zh-CN"/>
        </w:rPr>
      </w:pPr>
      <w:r>
        <w:rPr>
          <w:rFonts w:hint="eastAsia" w:ascii="宋体" w:hAnsi="宋体" w:cs="宋体"/>
          <w:b/>
          <w:bCs/>
          <w:color w:val="auto"/>
          <w:sz w:val="24"/>
          <w:szCs w:val="24"/>
          <w:highlight w:val="yellow"/>
          <w:lang w:val="en-US" w:eastAsia="zh-CN"/>
        </w:rPr>
        <w:t>品牌要求：</w:t>
      </w:r>
      <w:r>
        <w:rPr>
          <w:b/>
          <w:bCs/>
          <w:color w:val="auto"/>
          <w:spacing w:val="-2"/>
          <w:sz w:val="24"/>
          <w:szCs w:val="24"/>
          <w:highlight w:val="yellow"/>
        </w:rPr>
        <w:t>无锡中川环保、江苏阿兰贝尔、南京蓝赛环保、江苏明轩</w:t>
      </w:r>
      <w:r>
        <w:rPr>
          <w:rFonts w:hint="eastAsia"/>
          <w:b/>
          <w:bCs/>
          <w:color w:val="auto"/>
          <w:spacing w:val="-2"/>
          <w:sz w:val="24"/>
          <w:szCs w:val="24"/>
          <w:highlight w:val="yellow"/>
          <w:lang w:eastAsia="zh-CN"/>
        </w:rPr>
        <w:t>、江苏环球、鹏鹞环保、金山环保、通用环保、江苏一环</w:t>
      </w:r>
    </w:p>
    <w:p w14:paraId="21AC3AFC">
      <w:pPr>
        <w:pStyle w:val="47"/>
        <w:spacing w:line="360" w:lineRule="auto"/>
        <w:ind w:firstLine="420" w:firstLineChars="0"/>
        <w:contextualSpacing/>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供货范围：</w:t>
      </w:r>
    </w:p>
    <w:p w14:paraId="0865AE9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0"/>
        <w:textAlignment w:val="auto"/>
        <w:rPr>
          <w:rFonts w:hint="eastAsia" w:ascii="宋体" w:hAnsi="宋体" w:cs="宋体"/>
          <w:color w:val="auto"/>
          <w:sz w:val="24"/>
          <w:szCs w:val="24"/>
          <w:lang w:val="en-US" w:eastAsia="zh-CN"/>
        </w:rPr>
      </w:pPr>
      <w:bookmarkStart w:id="30" w:name="_Hlk192087262"/>
      <w:r>
        <w:rPr>
          <w:rFonts w:hint="eastAsia" w:ascii="Times New Roman" w:hAnsi="Times New Roman"/>
          <w:snapToGrid w:val="0"/>
          <w:color w:val="auto"/>
          <w:kern w:val="0"/>
          <w:sz w:val="24"/>
          <w:highlight w:val="none"/>
          <w:lang w:val="en-US" w:eastAsia="zh-CN"/>
        </w:rPr>
        <w:t>中标单位应按照设计要求，负责</w:t>
      </w:r>
      <w:r>
        <w:rPr>
          <w:rFonts w:hint="eastAsia" w:ascii="Times New Roman" w:hAnsi="Times New Roman"/>
          <w:snapToGrid w:val="0"/>
          <w:color w:val="auto"/>
          <w:kern w:val="0"/>
          <w:sz w:val="24"/>
          <w:highlight w:val="none"/>
        </w:rPr>
        <w:t>细格栅及精准除砂装置系统</w:t>
      </w:r>
      <w:r>
        <w:rPr>
          <w:rFonts w:hint="eastAsia" w:ascii="Times New Roman" w:hAnsi="Times New Roman"/>
          <w:snapToGrid w:val="0"/>
          <w:color w:val="auto"/>
          <w:kern w:val="0"/>
          <w:sz w:val="24"/>
          <w:highlight w:val="none"/>
          <w:lang w:eastAsia="zh-CN"/>
        </w:rPr>
        <w:t>的</w:t>
      </w:r>
      <w:r>
        <w:rPr>
          <w:rFonts w:hint="eastAsia" w:ascii="Times New Roman" w:hAnsi="Times New Roman"/>
          <w:snapToGrid w:val="0"/>
          <w:color w:val="auto"/>
          <w:kern w:val="0"/>
          <w:sz w:val="24"/>
          <w:highlight w:val="none"/>
          <w:lang w:val="en-US" w:eastAsia="zh-CN"/>
        </w:rPr>
        <w:t>运输、装卸、开箱验收、检测、</w:t>
      </w:r>
      <w:r>
        <w:rPr>
          <w:rFonts w:hint="eastAsia" w:ascii="宋体" w:hAnsi="宋体" w:cs="宋体"/>
          <w:color w:val="auto"/>
          <w:sz w:val="24"/>
          <w:szCs w:val="24"/>
          <w:lang w:val="en-US" w:eastAsia="zh-CN"/>
        </w:rPr>
        <w:t>安装施工、调试运行、售后服务、配合验收、提交验收材料等工作。设备正常运行后，</w:t>
      </w:r>
      <w:r>
        <w:rPr>
          <w:rFonts w:hint="eastAsia" w:ascii="宋体" w:hAnsi="宋体" w:eastAsia="宋体" w:cs="宋体"/>
          <w:color w:val="auto"/>
          <w:sz w:val="24"/>
          <w:szCs w:val="24"/>
          <w:lang w:val="en-US" w:eastAsia="zh-CN"/>
        </w:rPr>
        <w:t>中标单位</w:t>
      </w:r>
      <w:r>
        <w:rPr>
          <w:rFonts w:hint="eastAsia" w:ascii="宋体" w:hAnsi="宋体" w:cs="宋体"/>
          <w:color w:val="auto"/>
          <w:sz w:val="24"/>
          <w:szCs w:val="24"/>
          <w:lang w:val="en-US" w:eastAsia="zh-CN"/>
        </w:rPr>
        <w:t>须委托具备</w:t>
      </w:r>
      <w:r>
        <w:rPr>
          <w:rFonts w:hint="eastAsia" w:ascii="宋体" w:hAnsi="宋体" w:eastAsia="宋体" w:cs="宋体"/>
          <w:color w:val="auto"/>
          <w:sz w:val="24"/>
          <w:szCs w:val="24"/>
          <w:lang w:val="en-US" w:eastAsia="zh-CN"/>
        </w:rPr>
        <w:t>资质的第三方检测机构</w:t>
      </w:r>
      <w:r>
        <w:rPr>
          <w:rFonts w:hint="eastAsia" w:ascii="宋体" w:hAnsi="宋体" w:cs="宋体"/>
          <w:color w:val="auto"/>
          <w:sz w:val="24"/>
          <w:szCs w:val="24"/>
          <w:lang w:val="en-US" w:eastAsia="zh-CN"/>
        </w:rPr>
        <w:t>到现场检测，验收时须提供</w:t>
      </w:r>
      <w:r>
        <w:rPr>
          <w:rFonts w:hint="eastAsia" w:ascii="宋体" w:hAnsi="宋体" w:eastAsia="宋体" w:cs="宋体"/>
          <w:color w:val="auto"/>
          <w:sz w:val="24"/>
          <w:szCs w:val="24"/>
          <w:lang w:val="en-US" w:eastAsia="zh-CN"/>
        </w:rPr>
        <w:t>检测报告</w:t>
      </w:r>
      <w:r>
        <w:rPr>
          <w:rFonts w:hint="eastAsia" w:ascii="宋体" w:hAnsi="宋体" w:cs="宋体"/>
          <w:color w:val="auto"/>
          <w:sz w:val="24"/>
          <w:szCs w:val="24"/>
          <w:lang w:val="en-US" w:eastAsia="zh-CN"/>
        </w:rPr>
        <w:t>，并承担全部检测费用。</w:t>
      </w:r>
    </w:p>
    <w:p w14:paraId="3ACBFF2B">
      <w:pPr>
        <w:snapToGrid w:val="0"/>
        <w:spacing w:line="360" w:lineRule="auto"/>
        <w:ind w:firstLine="480"/>
        <w:contextualSpacing/>
        <w:rPr>
          <w:rFonts w:ascii="Times New Roman" w:hAnsi="Times New Roman"/>
          <w:snapToGrid w:val="0"/>
          <w:color w:val="auto"/>
          <w:kern w:val="0"/>
          <w:sz w:val="24"/>
          <w:highlight w:val="none"/>
        </w:rPr>
      </w:pPr>
      <w:r>
        <w:rPr>
          <w:rFonts w:hint="eastAsia" w:ascii="Times New Roman" w:hAnsi="Times New Roman"/>
          <w:snapToGrid w:val="0"/>
          <w:color w:val="auto"/>
          <w:kern w:val="0"/>
          <w:sz w:val="24"/>
          <w:highlight w:val="none"/>
          <w:lang w:val="en-US" w:eastAsia="zh-CN"/>
        </w:rPr>
        <w:t>本系统</w:t>
      </w:r>
      <w:r>
        <w:rPr>
          <w:rFonts w:hint="eastAsia" w:ascii="Times New Roman" w:hAnsi="Times New Roman"/>
          <w:snapToGrid w:val="0"/>
          <w:color w:val="auto"/>
          <w:kern w:val="0"/>
          <w:sz w:val="24"/>
          <w:highlight w:val="none"/>
        </w:rPr>
        <w:t>包括细格栅系统及精准除砂装置系统，细格栅系统含网板式阶梯格栅清污机、压榨机、相应控制阀门、管路系统及配套电控系统，精准</w:t>
      </w:r>
      <w:bookmarkEnd w:id="30"/>
      <w:r>
        <w:rPr>
          <w:rFonts w:hint="eastAsia" w:ascii="Times New Roman" w:hAnsi="Times New Roman"/>
          <w:snapToGrid w:val="0"/>
          <w:color w:val="auto"/>
          <w:kern w:val="0"/>
          <w:sz w:val="24"/>
          <w:highlight w:val="none"/>
        </w:rPr>
        <w:t>除砂系统</w:t>
      </w:r>
      <w:bookmarkStart w:id="31" w:name="_Hlk192087470"/>
      <w:r>
        <w:rPr>
          <w:rFonts w:hint="eastAsia" w:ascii="Times New Roman" w:hAnsi="Times New Roman"/>
          <w:snapToGrid w:val="0"/>
          <w:color w:val="auto"/>
          <w:kern w:val="0"/>
          <w:sz w:val="24"/>
          <w:highlight w:val="none"/>
        </w:rPr>
        <w:t>含精准除砂装置主体</w:t>
      </w:r>
      <w:bookmarkEnd w:id="31"/>
      <w:r>
        <w:rPr>
          <w:rFonts w:hint="eastAsia" w:ascii="Times New Roman" w:hAnsi="Times New Roman"/>
          <w:snapToGrid w:val="0"/>
          <w:color w:val="auto"/>
          <w:kern w:val="0"/>
          <w:sz w:val="24"/>
          <w:highlight w:val="none"/>
        </w:rPr>
        <w:t>、抽砂泵、流化冲洗系统、洗砂、砂水分离一体机、全自动给水设备、相应的阀门及管路系统及电控系统。</w:t>
      </w:r>
    </w:p>
    <w:p w14:paraId="5C9D8A00">
      <w:pPr>
        <w:snapToGrid w:val="0"/>
        <w:spacing w:line="360" w:lineRule="auto"/>
        <w:ind w:firstLine="480"/>
        <w:contextualSpacing/>
        <w:rPr>
          <w:rFonts w:hint="eastAsia" w:ascii="Times New Roman" w:hAnsi="Times New Roman"/>
          <w:snapToGrid w:val="0"/>
          <w:color w:val="auto"/>
          <w:kern w:val="0"/>
          <w:sz w:val="24"/>
          <w:highlight w:val="none"/>
        </w:rPr>
      </w:pPr>
      <w:r>
        <w:rPr>
          <w:rFonts w:hint="eastAsia" w:ascii="Times New Roman" w:hAnsi="Times New Roman"/>
          <w:snapToGrid w:val="0"/>
          <w:color w:val="auto"/>
          <w:kern w:val="0"/>
          <w:sz w:val="24"/>
          <w:highlight w:val="none"/>
        </w:rPr>
        <w:t>主体设备需在工厂内预先装配好，并提供运输、安装及调试、售后服务。</w:t>
      </w:r>
    </w:p>
    <w:p w14:paraId="5FCBBD2B">
      <w:pPr>
        <w:snapToGrid w:val="0"/>
        <w:spacing w:line="360" w:lineRule="auto"/>
        <w:ind w:firstLine="480"/>
        <w:contextualSpacing/>
        <w:rPr>
          <w:rFonts w:hint="eastAsia" w:ascii="Times New Roman" w:hAnsi="Times New Roman"/>
          <w:b/>
          <w:bCs/>
          <w:snapToGrid w:val="0"/>
          <w:color w:val="auto"/>
          <w:kern w:val="0"/>
          <w:sz w:val="24"/>
          <w:highlight w:val="none"/>
          <w:lang w:val="en-US" w:eastAsia="zh-CN"/>
        </w:rPr>
      </w:pPr>
      <w:r>
        <w:rPr>
          <w:rFonts w:hint="eastAsia" w:ascii="Times New Roman" w:hAnsi="Times New Roman"/>
          <w:b/>
          <w:bCs/>
          <w:snapToGrid w:val="0"/>
          <w:color w:val="auto"/>
          <w:kern w:val="0"/>
          <w:sz w:val="24"/>
          <w:highlight w:val="none"/>
          <w:lang w:val="en-US" w:eastAsia="zh-CN"/>
        </w:rPr>
        <w:t>供货界限：</w:t>
      </w:r>
    </w:p>
    <w:p w14:paraId="3C7F60B5">
      <w:pPr>
        <w:keepNext w:val="0"/>
        <w:keepLines w:val="0"/>
        <w:pageBreakBefore w:val="0"/>
        <w:widowControl w:val="0"/>
        <w:kinsoku/>
        <w:wordWrap/>
        <w:overflowPunct/>
        <w:topLinePunct w:val="0"/>
        <w:autoSpaceDE/>
        <w:autoSpaceDN/>
        <w:bidi w:val="0"/>
        <w:adjustRightInd/>
        <w:snapToGrid w:val="0"/>
        <w:spacing w:line="360" w:lineRule="auto"/>
        <w:ind w:firstLine="420" w:firstLineChars="0"/>
        <w:textAlignment w:val="auto"/>
        <w:rPr>
          <w:rFonts w:hint="eastAsia" w:ascii="Times New Roman" w:hAnsi="Times New Roman"/>
          <w:b/>
          <w:bCs/>
          <w:snapToGrid w:val="0"/>
          <w:color w:val="auto"/>
          <w:kern w:val="0"/>
          <w:sz w:val="24"/>
          <w:highlight w:val="none"/>
          <w:lang w:val="en-US" w:eastAsia="zh-CN"/>
        </w:rPr>
      </w:pPr>
      <w:r>
        <w:rPr>
          <w:rFonts w:hint="eastAsia" w:ascii="宋体" w:hAnsi="宋体" w:cs="宋体"/>
          <w:color w:val="auto"/>
          <w:sz w:val="24"/>
          <w:szCs w:val="24"/>
          <w:lang w:val="en-US" w:eastAsia="zh-CN"/>
        </w:rPr>
        <w:t>甲方提供给排水管道至中标单位设备1米处，提供线缆至中标单位控制柜内，管道连接、线缆连接由中标单位自行连接。</w:t>
      </w:r>
    </w:p>
    <w:p w14:paraId="0AB7B8AE">
      <w:pPr>
        <w:snapToGrid w:val="0"/>
        <w:spacing w:line="360" w:lineRule="auto"/>
        <w:ind w:firstLine="480"/>
        <w:contextualSpacing/>
        <w:rPr>
          <w:rFonts w:hint="eastAsia" w:ascii="宋体" w:hAnsi="宋体" w:eastAsia="宋体" w:cs="宋体"/>
          <w:b/>
          <w:bCs/>
          <w:color w:val="auto"/>
          <w:sz w:val="24"/>
          <w:szCs w:val="28"/>
          <w:lang w:val="en-US" w:eastAsia="zh-CN"/>
        </w:rPr>
      </w:pPr>
      <w:r>
        <w:rPr>
          <w:rFonts w:hint="eastAsia" w:ascii="宋体" w:hAnsi="宋体" w:eastAsia="宋体" w:cs="宋体"/>
          <w:b/>
          <w:bCs/>
          <w:color w:val="auto"/>
          <w:sz w:val="24"/>
          <w:szCs w:val="28"/>
          <w:lang w:val="en-US" w:eastAsia="zh-CN"/>
        </w:rPr>
        <w:t>设计制造标准：</w:t>
      </w:r>
    </w:p>
    <w:p w14:paraId="4260D61A">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《城镇污水处理厂污染物排放标准》      GB 18918-2002</w:t>
      </w:r>
    </w:p>
    <w:p w14:paraId="66505D00">
      <w:pPr>
        <w:spacing w:line="360" w:lineRule="auto"/>
        <w:ind w:firstLine="480" w:firstLineChars="200"/>
        <w:rPr>
          <w:color w:val="auto"/>
          <w:sz w:val="24"/>
          <w:highlight w:val="none"/>
        </w:rPr>
      </w:pPr>
      <w:r>
        <w:rPr>
          <w:rFonts w:hint="eastAsia" w:ascii="宋体" w:hAnsi="宋体"/>
          <w:color w:val="auto"/>
          <w:sz w:val="24"/>
          <w:highlight w:val="none"/>
        </w:rPr>
        <w:t>《城镇污水处理厂污染物排放标准》      DB 32/4440-2022</w:t>
      </w:r>
    </w:p>
    <w:p w14:paraId="03DCC6E6">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《室外排水设计标准》                  GB 50014-2021</w:t>
      </w:r>
    </w:p>
    <w:p w14:paraId="73A82707">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《水处理设备制造技术条件》            </w:t>
      </w:r>
      <w:r>
        <w:rPr>
          <w:rFonts w:ascii="宋体" w:hAnsi="宋体"/>
          <w:color w:val="auto"/>
          <w:sz w:val="24"/>
          <w:highlight w:val="none"/>
        </w:rPr>
        <w:t>JB2932-86</w:t>
      </w:r>
    </w:p>
    <w:p w14:paraId="0E2994E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给水排水机械设计规范</w:t>
      </w:r>
      <w:r>
        <w:rPr>
          <w:rFonts w:hint="eastAsia" w:ascii="宋体" w:hAnsi="宋体"/>
          <w:color w:val="auto"/>
          <w:sz w:val="24"/>
          <w:highlight w:val="none"/>
        </w:rPr>
        <w:t xml:space="preserve">》              </w:t>
      </w:r>
      <w:r>
        <w:rPr>
          <w:rFonts w:ascii="宋体" w:hAnsi="宋体"/>
          <w:color w:val="auto"/>
          <w:sz w:val="24"/>
          <w:highlight w:val="none"/>
        </w:rPr>
        <w:t>GB/T 50009-2025</w:t>
      </w:r>
    </w:p>
    <w:p w14:paraId="7CB3C3A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《平面格栅除污机》                    </w:t>
      </w:r>
      <w:r>
        <w:rPr>
          <w:rFonts w:ascii="宋体" w:hAnsi="宋体"/>
          <w:color w:val="auto"/>
          <w:sz w:val="24"/>
          <w:highlight w:val="none"/>
        </w:rPr>
        <w:t>CJ/T3048-1995</w:t>
      </w:r>
    </w:p>
    <w:p w14:paraId="5B7CE02A">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《格栅除污机》                        JB/T9046-1999</w:t>
      </w:r>
    </w:p>
    <w:p w14:paraId="67E519D2">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疏浚装备标准</w:t>
      </w:r>
      <w:r>
        <w:rPr>
          <w:rFonts w:hint="eastAsia" w:ascii="宋体" w:hAnsi="宋体"/>
          <w:color w:val="auto"/>
          <w:sz w:val="24"/>
          <w:highlight w:val="none"/>
        </w:rPr>
        <w:t xml:space="preserve">》                      </w:t>
      </w:r>
      <w:r>
        <w:rPr>
          <w:rFonts w:ascii="宋体" w:hAnsi="宋体"/>
          <w:color w:val="auto"/>
          <w:sz w:val="24"/>
          <w:highlight w:val="none"/>
        </w:rPr>
        <w:t>TC530/SC1</w:t>
      </w:r>
    </w:p>
    <w:p w14:paraId="3BEB2885">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《环境保护产品技术要求 旋流沉砂器》   HJ/T 283-2021</w:t>
      </w:r>
    </w:p>
    <w:p w14:paraId="1BB4A472">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《水处理用旋流沉砂池技术条件》        HJ 2029-2013</w:t>
      </w:r>
    </w:p>
    <w:p w14:paraId="5A50FA03">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《水处理用沉砂池》                    CJ/T 43</w:t>
      </w:r>
    </w:p>
    <w:p w14:paraId="31199FC7">
      <w:pPr>
        <w:pStyle w:val="86"/>
        <w:spacing w:line="360" w:lineRule="auto"/>
        <w:ind w:firstLine="482" w:firstLineChars="200"/>
        <w:contextualSpacing/>
        <w:jc w:val="both"/>
        <w:rPr>
          <w:rFonts w:hint="eastAsia" w:ascii="Times New Roman" w:hAnsi="Times New Roman" w:eastAsia="宋体"/>
          <w:b/>
          <w:bCs/>
          <w:color w:val="auto"/>
          <w:kern w:val="0"/>
          <w:sz w:val="24"/>
          <w:highlight w:val="none"/>
          <w:lang w:val="en-US" w:eastAsia="zh-CN"/>
        </w:rPr>
      </w:pPr>
      <w:r>
        <w:rPr>
          <w:rFonts w:hint="eastAsia" w:ascii="Times New Roman" w:hAnsi="Times New Roman" w:eastAsia="宋体"/>
          <w:b/>
          <w:bCs/>
          <w:color w:val="auto"/>
          <w:kern w:val="0"/>
          <w:sz w:val="24"/>
          <w:highlight w:val="none"/>
          <w:lang w:val="en-US" w:eastAsia="zh-CN"/>
        </w:rPr>
        <w:t>设计原理及描述</w:t>
      </w:r>
    </w:p>
    <w:p w14:paraId="163B21D0">
      <w:pPr>
        <w:spacing w:line="360" w:lineRule="auto"/>
        <w:ind w:firstLine="480" w:firstLineChars="200"/>
        <w:rPr>
          <w:rFonts w:hint="eastAsia" w:ascii="Times New Roman" w:hAnsi="Times New Roman"/>
          <w:snapToGrid w:val="0"/>
          <w:color w:val="auto"/>
          <w:szCs w:val="24"/>
          <w:highlight w:val="none"/>
        </w:rPr>
      </w:pPr>
      <w:r>
        <w:rPr>
          <w:rFonts w:hint="eastAsia" w:ascii="宋体" w:hAnsi="宋体"/>
          <w:color w:val="auto"/>
          <w:sz w:val="24"/>
          <w:highlight w:val="none"/>
        </w:rPr>
        <w:t>精准除砂技术集成了“旋流扫捕”和“浅层沉淀”的双重作用。“旋流扫捕”作用：在旋流离心的作用下，砂砾被甩到污水与叠盘界面层内，同时沉降到叠盘的表面而被捕获。浅层沉砂机制：利用浅层沉淀理论，减少沉淀池的沉降高度，缩短颗粒沉降距离，同提高沉淀效率，适用于处理含砂量较高或颗粒较细的污水水质。</w:t>
      </w:r>
    </w:p>
    <w:p w14:paraId="00EEE421">
      <w:pPr>
        <w:pStyle w:val="87"/>
        <w:spacing w:line="360" w:lineRule="auto"/>
        <w:ind w:firstLine="520" w:firstLineChars="200"/>
        <w:rPr>
          <w:rFonts w:ascii="Times New Roman" w:hAnsi="Times New Roman"/>
          <w:snapToGrid w:val="0"/>
          <w:color w:val="auto"/>
          <w:szCs w:val="24"/>
          <w:highlight w:val="none"/>
        </w:rPr>
      </w:pPr>
      <w:r>
        <w:rPr>
          <w:rFonts w:hint="eastAsia" w:ascii="Times New Roman" w:hAnsi="Times New Roman"/>
          <w:snapToGrid w:val="0"/>
          <w:color w:val="auto"/>
          <w:szCs w:val="24"/>
          <w:highlight w:val="none"/>
        </w:rPr>
        <w:t>精准除砂装置适</w:t>
      </w:r>
      <w:r>
        <w:rPr>
          <w:rFonts w:ascii="Times New Roman" w:hAnsi="Times New Roman"/>
          <w:snapToGrid w:val="0"/>
          <w:color w:val="auto"/>
          <w:szCs w:val="24"/>
          <w:highlight w:val="none"/>
        </w:rPr>
        <w:t>用于去除污水中比重2.65、粒径大于</w:t>
      </w:r>
      <w:r>
        <w:rPr>
          <w:rFonts w:hint="eastAsia" w:ascii="Times New Roman" w:hAnsi="Times New Roman"/>
          <w:snapToGrid w:val="0"/>
          <w:color w:val="auto"/>
          <w:szCs w:val="24"/>
          <w:highlight w:val="none"/>
        </w:rPr>
        <w:t>106μm</w:t>
      </w:r>
      <w:r>
        <w:rPr>
          <w:rFonts w:ascii="Times New Roman" w:hAnsi="Times New Roman"/>
          <w:snapToGrid w:val="0"/>
          <w:color w:val="auto"/>
          <w:szCs w:val="24"/>
          <w:highlight w:val="none"/>
        </w:rPr>
        <w:t>的砂粒。</w:t>
      </w:r>
      <w:r>
        <w:rPr>
          <w:rFonts w:hint="eastAsia" w:ascii="Times New Roman" w:hAnsi="Times New Roman"/>
          <w:snapToGrid w:val="0"/>
          <w:color w:val="auto"/>
          <w:szCs w:val="24"/>
          <w:highlight w:val="none"/>
        </w:rPr>
        <w:t>本套精准除砂装置</w:t>
      </w:r>
      <w:r>
        <w:rPr>
          <w:rFonts w:ascii="Times New Roman" w:hAnsi="Times New Roman"/>
          <w:snapToGrid w:val="0"/>
          <w:color w:val="auto"/>
          <w:szCs w:val="24"/>
          <w:highlight w:val="none"/>
        </w:rPr>
        <w:t>设计</w:t>
      </w:r>
      <w:r>
        <w:rPr>
          <w:rFonts w:hint="eastAsia" w:ascii="Times New Roman" w:hAnsi="Times New Roman"/>
          <w:snapToGrid w:val="0"/>
          <w:color w:val="auto"/>
          <w:szCs w:val="24"/>
          <w:highlight w:val="none"/>
        </w:rPr>
        <w:t>能力</w:t>
      </w:r>
      <w:r>
        <w:rPr>
          <w:rFonts w:ascii="Times New Roman" w:hAnsi="Times New Roman"/>
          <w:snapToGrid w:val="0"/>
          <w:color w:val="auto"/>
          <w:szCs w:val="24"/>
          <w:highlight w:val="none"/>
        </w:rPr>
        <w:t>为</w:t>
      </w:r>
      <w:r>
        <w:rPr>
          <w:rFonts w:hint="eastAsia" w:ascii="Times New Roman" w:hAnsi="Times New Roman"/>
          <w:snapToGrid w:val="0"/>
          <w:color w:val="auto"/>
          <w:szCs w:val="24"/>
          <w:highlight w:val="none"/>
        </w:rPr>
        <w:t>5000</w:t>
      </w:r>
      <w:r>
        <w:rPr>
          <w:rFonts w:ascii="Times New Roman" w:hAnsi="Times New Roman"/>
          <w:snapToGrid w:val="0"/>
          <w:color w:val="auto"/>
          <w:szCs w:val="24"/>
          <w:highlight w:val="none"/>
        </w:rPr>
        <w:t>m³/d，共设</w:t>
      </w:r>
      <w:r>
        <w:rPr>
          <w:rFonts w:hint="eastAsia" w:ascii="Times New Roman" w:hAnsi="Times New Roman"/>
          <w:snapToGrid w:val="0"/>
          <w:color w:val="auto"/>
          <w:szCs w:val="24"/>
          <w:highlight w:val="none"/>
        </w:rPr>
        <w:t>有1套精准除砂装置。</w:t>
      </w:r>
      <w:r>
        <w:rPr>
          <w:rFonts w:ascii="Times New Roman" w:hAnsi="Times New Roman"/>
          <w:snapToGrid w:val="0"/>
          <w:color w:val="auto"/>
          <w:szCs w:val="24"/>
          <w:highlight w:val="none"/>
        </w:rPr>
        <w:t>由</w:t>
      </w:r>
      <w:r>
        <w:rPr>
          <w:rFonts w:hint="eastAsia" w:ascii="Times New Roman" w:hAnsi="Times New Roman"/>
          <w:snapToGrid w:val="0"/>
          <w:color w:val="auto"/>
          <w:szCs w:val="24"/>
          <w:highlight w:val="none"/>
        </w:rPr>
        <w:t>间隙3</w:t>
      </w:r>
      <w:r>
        <w:rPr>
          <w:rFonts w:ascii="Times New Roman" w:hAnsi="Times New Roman"/>
          <w:snapToGrid w:val="0"/>
          <w:color w:val="auto"/>
          <w:szCs w:val="24"/>
          <w:highlight w:val="none"/>
        </w:rPr>
        <w:t xml:space="preserve"> mm</w:t>
      </w:r>
      <w:r>
        <w:rPr>
          <w:rFonts w:hint="eastAsia" w:ascii="Times New Roman" w:hAnsi="Times New Roman"/>
          <w:snapToGrid w:val="0"/>
          <w:color w:val="auto"/>
          <w:szCs w:val="24"/>
          <w:highlight w:val="none"/>
        </w:rPr>
        <w:t>阶梯网板格栅清污机</w:t>
      </w:r>
      <w:r>
        <w:rPr>
          <w:rFonts w:ascii="Times New Roman" w:hAnsi="Times New Roman"/>
          <w:snapToGrid w:val="0"/>
          <w:color w:val="auto"/>
          <w:szCs w:val="24"/>
          <w:highlight w:val="none"/>
        </w:rPr>
        <w:t>来的污水</w:t>
      </w:r>
      <w:r>
        <w:rPr>
          <w:rFonts w:hint="eastAsia" w:ascii="Times New Roman" w:hAnsi="Times New Roman"/>
          <w:snapToGrid w:val="0"/>
          <w:color w:val="auto"/>
          <w:szCs w:val="24"/>
          <w:highlight w:val="none"/>
        </w:rPr>
        <w:t>通</w:t>
      </w:r>
      <w:r>
        <w:rPr>
          <w:rFonts w:ascii="Times New Roman" w:hAnsi="Times New Roman"/>
          <w:snapToGrid w:val="0"/>
          <w:color w:val="auto"/>
          <w:szCs w:val="24"/>
          <w:highlight w:val="none"/>
        </w:rPr>
        <w:t>过渠道进入</w:t>
      </w:r>
      <w:r>
        <w:rPr>
          <w:rFonts w:hint="eastAsia" w:ascii="Times New Roman" w:hAnsi="Times New Roman"/>
          <w:snapToGrid w:val="0"/>
          <w:color w:val="auto"/>
          <w:szCs w:val="24"/>
          <w:highlight w:val="none"/>
        </w:rPr>
        <w:t>精准除砂装置</w:t>
      </w:r>
      <w:r>
        <w:rPr>
          <w:rFonts w:ascii="Times New Roman" w:hAnsi="Times New Roman"/>
          <w:snapToGrid w:val="0"/>
          <w:color w:val="auto"/>
          <w:szCs w:val="24"/>
          <w:highlight w:val="none"/>
        </w:rPr>
        <w:t>，通过布水器均匀地</w:t>
      </w:r>
      <w:r>
        <w:rPr>
          <w:rFonts w:hint="eastAsia" w:ascii="Times New Roman" w:hAnsi="Times New Roman"/>
          <w:snapToGrid w:val="0"/>
          <w:color w:val="auto"/>
          <w:szCs w:val="24"/>
          <w:highlight w:val="none"/>
        </w:rPr>
        <w:t>沿</w:t>
      </w:r>
      <w:r>
        <w:rPr>
          <w:rFonts w:ascii="Times New Roman" w:hAnsi="Times New Roman"/>
          <w:snapToGrid w:val="0"/>
          <w:color w:val="auto"/>
          <w:szCs w:val="24"/>
          <w:highlight w:val="none"/>
        </w:rPr>
        <w:t>切</w:t>
      </w:r>
      <w:r>
        <w:rPr>
          <w:rFonts w:hint="eastAsia" w:ascii="Times New Roman" w:hAnsi="Times New Roman"/>
          <w:snapToGrid w:val="0"/>
          <w:color w:val="auto"/>
          <w:szCs w:val="24"/>
          <w:highlight w:val="none"/>
        </w:rPr>
        <w:t>线方</w:t>
      </w:r>
      <w:r>
        <w:rPr>
          <w:rFonts w:ascii="Times New Roman" w:hAnsi="Times New Roman"/>
          <w:snapToGrid w:val="0"/>
          <w:color w:val="auto"/>
          <w:szCs w:val="24"/>
          <w:highlight w:val="none"/>
        </w:rPr>
        <w:t>向分配到</w:t>
      </w:r>
      <w:r>
        <w:rPr>
          <w:rFonts w:hint="eastAsia" w:ascii="Times New Roman" w:hAnsi="Times New Roman"/>
          <w:snapToGrid w:val="0"/>
          <w:color w:val="auto"/>
          <w:szCs w:val="24"/>
          <w:highlight w:val="none"/>
        </w:rPr>
        <w:t>各层叠</w:t>
      </w:r>
      <w:r>
        <w:rPr>
          <w:rFonts w:ascii="Times New Roman" w:hAnsi="Times New Roman"/>
          <w:snapToGrid w:val="0"/>
          <w:color w:val="auto"/>
          <w:szCs w:val="24"/>
          <w:highlight w:val="none"/>
        </w:rPr>
        <w:t>盘，砂粒通过</w:t>
      </w:r>
      <w:r>
        <w:rPr>
          <w:rFonts w:hint="eastAsia"/>
          <w:color w:val="auto"/>
          <w:szCs w:val="24"/>
          <w:highlight w:val="none"/>
        </w:rPr>
        <w:t>“旋流扫捕”和“浅层沉淀”的双重作用</w:t>
      </w:r>
      <w:r>
        <w:rPr>
          <w:rFonts w:ascii="Times New Roman" w:hAnsi="Times New Roman"/>
          <w:snapToGrid w:val="0"/>
          <w:color w:val="auto"/>
          <w:szCs w:val="24"/>
          <w:highlight w:val="none"/>
        </w:rPr>
        <w:t>沉降至各层</w:t>
      </w:r>
      <w:r>
        <w:rPr>
          <w:rFonts w:hint="eastAsia" w:ascii="Times New Roman" w:hAnsi="Times New Roman"/>
          <w:snapToGrid w:val="0"/>
          <w:color w:val="auto"/>
          <w:szCs w:val="24"/>
          <w:highlight w:val="none"/>
        </w:rPr>
        <w:t>叠</w:t>
      </w:r>
      <w:r>
        <w:rPr>
          <w:rFonts w:ascii="Times New Roman" w:hAnsi="Times New Roman"/>
          <w:snapToGrid w:val="0"/>
          <w:color w:val="auto"/>
          <w:szCs w:val="24"/>
          <w:highlight w:val="none"/>
        </w:rPr>
        <w:t xml:space="preserve">盘表面, </w:t>
      </w:r>
      <w:r>
        <w:rPr>
          <w:rFonts w:hint="eastAsia" w:ascii="Times New Roman" w:hAnsi="Times New Roman"/>
          <w:snapToGrid w:val="0"/>
          <w:color w:val="auto"/>
          <w:szCs w:val="24"/>
          <w:highlight w:val="none"/>
        </w:rPr>
        <w:t>并</w:t>
      </w:r>
      <w:r>
        <w:rPr>
          <w:rFonts w:ascii="Times New Roman" w:hAnsi="Times New Roman"/>
          <w:snapToGrid w:val="0"/>
          <w:color w:val="auto"/>
          <w:szCs w:val="24"/>
          <w:highlight w:val="none"/>
        </w:rPr>
        <w:t>迅速地汇集到</w:t>
      </w:r>
      <w:r>
        <w:rPr>
          <w:rFonts w:hint="eastAsia" w:ascii="Times New Roman" w:hAnsi="Times New Roman"/>
          <w:snapToGrid w:val="0"/>
          <w:color w:val="auto"/>
          <w:szCs w:val="24"/>
          <w:highlight w:val="none"/>
        </w:rPr>
        <w:t>叠</w:t>
      </w:r>
      <w:r>
        <w:rPr>
          <w:rFonts w:ascii="Times New Roman" w:hAnsi="Times New Roman"/>
          <w:snapToGrid w:val="0"/>
          <w:color w:val="auto"/>
          <w:szCs w:val="24"/>
          <w:highlight w:val="none"/>
        </w:rPr>
        <w:t>盘中心的</w:t>
      </w:r>
      <w:r>
        <w:rPr>
          <w:rFonts w:hint="eastAsia" w:ascii="Times New Roman" w:hAnsi="Times New Roman"/>
          <w:snapToGrid w:val="0"/>
          <w:color w:val="auto"/>
          <w:szCs w:val="24"/>
          <w:highlight w:val="none"/>
        </w:rPr>
        <w:t>开孔</w:t>
      </w:r>
      <w:r>
        <w:rPr>
          <w:rFonts w:ascii="Times New Roman" w:hAnsi="Times New Roman"/>
          <w:snapToGrid w:val="0"/>
          <w:color w:val="auto"/>
          <w:szCs w:val="24"/>
          <w:highlight w:val="none"/>
        </w:rPr>
        <w:t>处, 最终沉降在</w:t>
      </w:r>
      <w:r>
        <w:rPr>
          <w:rFonts w:hint="eastAsia" w:ascii="Times New Roman" w:hAnsi="Times New Roman"/>
          <w:snapToGrid w:val="0"/>
          <w:color w:val="auto"/>
          <w:szCs w:val="24"/>
          <w:highlight w:val="none"/>
        </w:rPr>
        <w:t>精准除砂装置</w:t>
      </w:r>
      <w:r>
        <w:rPr>
          <w:rFonts w:ascii="Times New Roman" w:hAnsi="Times New Roman"/>
          <w:snapToGrid w:val="0"/>
          <w:color w:val="auto"/>
          <w:szCs w:val="24"/>
          <w:highlight w:val="none"/>
        </w:rPr>
        <w:t>底部的储砂</w:t>
      </w:r>
      <w:r>
        <w:rPr>
          <w:rFonts w:hint="eastAsia" w:ascii="Times New Roman" w:hAnsi="Times New Roman"/>
          <w:snapToGrid w:val="0"/>
          <w:color w:val="auto"/>
          <w:szCs w:val="24"/>
          <w:highlight w:val="none"/>
        </w:rPr>
        <w:t>斗</w:t>
      </w:r>
      <w:r>
        <w:rPr>
          <w:rFonts w:ascii="Times New Roman" w:hAnsi="Times New Roman"/>
          <w:snapToGrid w:val="0"/>
          <w:color w:val="auto"/>
          <w:szCs w:val="24"/>
          <w:highlight w:val="none"/>
        </w:rPr>
        <w:t>内。经过</w:t>
      </w:r>
      <w:r>
        <w:rPr>
          <w:rFonts w:hint="eastAsia" w:ascii="Times New Roman" w:hAnsi="Times New Roman"/>
          <w:snapToGrid w:val="0"/>
          <w:color w:val="auto"/>
          <w:szCs w:val="24"/>
          <w:highlight w:val="none"/>
        </w:rPr>
        <w:t>精准除砂装置</w:t>
      </w:r>
      <w:r>
        <w:rPr>
          <w:rFonts w:ascii="Times New Roman" w:hAnsi="Times New Roman"/>
          <w:snapToGrid w:val="0"/>
          <w:color w:val="auto"/>
          <w:szCs w:val="24"/>
          <w:highlight w:val="none"/>
        </w:rPr>
        <w:t>处理后不含砂粒</w:t>
      </w:r>
      <w:r>
        <w:rPr>
          <w:rFonts w:hint="eastAsia" w:ascii="Times New Roman" w:hAnsi="Times New Roman"/>
          <w:snapToGrid w:val="0"/>
          <w:color w:val="auto"/>
          <w:szCs w:val="24"/>
          <w:highlight w:val="none"/>
        </w:rPr>
        <w:t>的污水</w:t>
      </w:r>
      <w:r>
        <w:rPr>
          <w:rFonts w:ascii="Times New Roman" w:hAnsi="Times New Roman"/>
          <w:snapToGrid w:val="0"/>
          <w:color w:val="auto"/>
          <w:szCs w:val="24"/>
          <w:highlight w:val="none"/>
        </w:rPr>
        <w:t>，通过</w:t>
      </w:r>
      <w:r>
        <w:rPr>
          <w:rFonts w:hint="eastAsia" w:ascii="Times New Roman" w:hAnsi="Times New Roman"/>
          <w:snapToGrid w:val="0"/>
          <w:color w:val="auto"/>
          <w:szCs w:val="24"/>
          <w:highlight w:val="none"/>
        </w:rPr>
        <w:t>叠盘水池</w:t>
      </w:r>
      <w:r>
        <w:rPr>
          <w:rFonts w:ascii="Times New Roman" w:hAnsi="Times New Roman"/>
          <w:snapToGrid w:val="0"/>
          <w:color w:val="auto"/>
          <w:szCs w:val="24"/>
          <w:highlight w:val="none"/>
        </w:rPr>
        <w:t>顶部溢流堰</w:t>
      </w:r>
      <w:r>
        <w:rPr>
          <w:rFonts w:hint="eastAsia" w:ascii="Times New Roman" w:hAnsi="Times New Roman"/>
          <w:snapToGrid w:val="0"/>
          <w:color w:val="auto"/>
          <w:szCs w:val="24"/>
          <w:highlight w:val="none"/>
        </w:rPr>
        <w:t>，进</w:t>
      </w:r>
      <w:r>
        <w:rPr>
          <w:rFonts w:ascii="Times New Roman" w:hAnsi="Times New Roman"/>
          <w:snapToGrid w:val="0"/>
          <w:color w:val="auto"/>
          <w:szCs w:val="24"/>
          <w:highlight w:val="none"/>
        </w:rPr>
        <w:t>入后续</w:t>
      </w:r>
      <w:r>
        <w:rPr>
          <w:rFonts w:hint="eastAsia" w:ascii="Times New Roman" w:hAnsi="Times New Roman"/>
          <w:snapToGrid w:val="0"/>
          <w:color w:val="auto"/>
          <w:szCs w:val="24"/>
          <w:highlight w:val="none"/>
        </w:rPr>
        <w:t>水处理单元</w:t>
      </w:r>
      <w:r>
        <w:rPr>
          <w:rFonts w:ascii="Times New Roman" w:hAnsi="Times New Roman"/>
          <w:snapToGrid w:val="0"/>
          <w:color w:val="auto"/>
          <w:szCs w:val="24"/>
          <w:highlight w:val="none"/>
        </w:rPr>
        <w:t>。</w:t>
      </w:r>
    </w:p>
    <w:p w14:paraId="0310740E">
      <w:pPr>
        <w:pStyle w:val="87"/>
        <w:spacing w:line="360" w:lineRule="auto"/>
        <w:ind w:firstLine="520" w:firstLineChars="200"/>
        <w:rPr>
          <w:rFonts w:ascii="Times New Roman" w:hAnsi="Times New Roman"/>
          <w:snapToGrid w:val="0"/>
          <w:color w:val="auto"/>
          <w:szCs w:val="24"/>
          <w:highlight w:val="none"/>
        </w:rPr>
      </w:pPr>
      <w:r>
        <w:rPr>
          <w:rFonts w:hint="eastAsia" w:ascii="Times New Roman" w:hAnsi="Times New Roman"/>
          <w:snapToGrid w:val="0"/>
          <w:color w:val="auto"/>
          <w:szCs w:val="24"/>
          <w:highlight w:val="none"/>
        </w:rPr>
        <w:t>精准除砂装置储砂斗内</w:t>
      </w:r>
      <w:r>
        <w:rPr>
          <w:rFonts w:ascii="Times New Roman" w:hAnsi="Times New Roman"/>
          <w:snapToGrid w:val="0"/>
          <w:color w:val="auto"/>
          <w:szCs w:val="24"/>
          <w:highlight w:val="none"/>
        </w:rPr>
        <w:t>配套1套流化冲洗系统，以防止砂粒在储砂</w:t>
      </w:r>
      <w:r>
        <w:rPr>
          <w:rFonts w:hint="eastAsia" w:ascii="Times New Roman" w:hAnsi="Times New Roman"/>
          <w:snapToGrid w:val="0"/>
          <w:color w:val="auto"/>
          <w:szCs w:val="24"/>
          <w:highlight w:val="none"/>
        </w:rPr>
        <w:t>斗</w:t>
      </w:r>
      <w:r>
        <w:rPr>
          <w:rFonts w:ascii="Times New Roman" w:hAnsi="Times New Roman"/>
          <w:snapToGrid w:val="0"/>
          <w:color w:val="auto"/>
          <w:szCs w:val="24"/>
          <w:highlight w:val="none"/>
        </w:rPr>
        <w:t>内板结。该系统</w:t>
      </w:r>
      <w:r>
        <w:rPr>
          <w:rFonts w:hint="eastAsia" w:ascii="Times New Roman" w:hAnsi="Times New Roman"/>
          <w:snapToGrid w:val="0"/>
          <w:color w:val="auto"/>
          <w:szCs w:val="24"/>
          <w:highlight w:val="none"/>
        </w:rPr>
        <w:t>可采用污水厂区</w:t>
      </w:r>
      <w:r>
        <w:rPr>
          <w:rFonts w:ascii="Times New Roman" w:hAnsi="Times New Roman"/>
          <w:snapToGrid w:val="0"/>
          <w:color w:val="auto"/>
          <w:szCs w:val="24"/>
          <w:highlight w:val="none"/>
        </w:rPr>
        <w:t>中水</w:t>
      </w:r>
      <w:r>
        <w:rPr>
          <w:rFonts w:hint="eastAsia" w:ascii="Times New Roman" w:hAnsi="Times New Roman"/>
          <w:snapToGrid w:val="0"/>
          <w:color w:val="auto"/>
          <w:szCs w:val="24"/>
          <w:highlight w:val="none"/>
        </w:rPr>
        <w:t>或自来水</w:t>
      </w:r>
      <w:r>
        <w:rPr>
          <w:rFonts w:ascii="Times New Roman" w:hAnsi="Times New Roman"/>
          <w:snapToGrid w:val="0"/>
          <w:color w:val="auto"/>
          <w:szCs w:val="24"/>
          <w:highlight w:val="none"/>
        </w:rPr>
        <w:t>作为水源，通过</w:t>
      </w:r>
      <w:r>
        <w:rPr>
          <w:rFonts w:hint="eastAsia" w:ascii="Times New Roman" w:hAnsi="Times New Roman"/>
          <w:snapToGrid w:val="0"/>
          <w:color w:val="auto"/>
          <w:szCs w:val="24"/>
          <w:highlight w:val="none"/>
        </w:rPr>
        <w:t>一套恒压变频控制的全自动给水设备二次增压后，来满足精准除砂装置储砂斗及洗砂、砂水分离一体机底部冲洗所需</w:t>
      </w:r>
      <w:r>
        <w:rPr>
          <w:rFonts w:ascii="Times New Roman" w:hAnsi="Times New Roman"/>
          <w:snapToGrid w:val="0"/>
          <w:color w:val="auto"/>
          <w:szCs w:val="24"/>
          <w:highlight w:val="none"/>
        </w:rPr>
        <w:t>流量</w:t>
      </w:r>
      <w:r>
        <w:rPr>
          <w:rFonts w:hint="eastAsia" w:ascii="Times New Roman" w:hAnsi="Times New Roman"/>
          <w:snapToGrid w:val="0"/>
          <w:color w:val="auto"/>
          <w:szCs w:val="24"/>
          <w:highlight w:val="none"/>
        </w:rPr>
        <w:t>和</w:t>
      </w:r>
      <w:r>
        <w:rPr>
          <w:rFonts w:ascii="Times New Roman" w:hAnsi="Times New Roman"/>
          <w:snapToGrid w:val="0"/>
          <w:color w:val="auto"/>
          <w:szCs w:val="24"/>
          <w:highlight w:val="none"/>
        </w:rPr>
        <w:t>压力</w:t>
      </w:r>
      <w:r>
        <w:rPr>
          <w:rFonts w:hint="eastAsia" w:ascii="Times New Roman" w:hAnsi="Times New Roman"/>
          <w:snapToGrid w:val="0"/>
          <w:color w:val="auto"/>
          <w:szCs w:val="24"/>
          <w:highlight w:val="none"/>
        </w:rPr>
        <w:t>的</w:t>
      </w:r>
      <w:r>
        <w:rPr>
          <w:rFonts w:ascii="Times New Roman" w:hAnsi="Times New Roman"/>
          <w:snapToGrid w:val="0"/>
          <w:color w:val="auto"/>
          <w:szCs w:val="24"/>
          <w:highlight w:val="none"/>
        </w:rPr>
        <w:t>要求</w:t>
      </w:r>
      <w:r>
        <w:rPr>
          <w:rFonts w:hint="eastAsia" w:ascii="Times New Roman" w:hAnsi="Times New Roman"/>
          <w:snapToGrid w:val="0"/>
          <w:color w:val="auto"/>
          <w:szCs w:val="24"/>
          <w:highlight w:val="none"/>
        </w:rPr>
        <w:t xml:space="preserve">。  </w:t>
      </w:r>
    </w:p>
    <w:p w14:paraId="2CF06ABB">
      <w:pPr>
        <w:pStyle w:val="88"/>
        <w:snapToGrid w:val="0"/>
        <w:spacing w:line="360" w:lineRule="auto"/>
        <w:ind w:firstLine="480"/>
        <w:contextualSpacing/>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精准除砂装置储砂斗内的沉砂定时由抽砂泵抽至洗砂</w:t>
      </w:r>
      <w:r>
        <w:rPr>
          <w:rFonts w:hint="eastAsia" w:ascii="Times New Roman" w:hAnsi="Times New Roman"/>
          <w:snapToGrid w:val="0"/>
          <w:color w:val="auto"/>
          <w:kern w:val="0"/>
          <w:highlight w:val="none"/>
          <w:lang w:val="en-US" w:eastAsia="zh-CN"/>
        </w:rPr>
        <w:t>分砂</w:t>
      </w:r>
      <w:r>
        <w:rPr>
          <w:rFonts w:hint="eastAsia" w:ascii="Times New Roman" w:hAnsi="Times New Roman"/>
          <w:snapToGrid w:val="0"/>
          <w:color w:val="auto"/>
          <w:kern w:val="0"/>
          <w:highlight w:val="none"/>
        </w:rPr>
        <w:t>一体机进行砂砾的洗涤及砂水分离，抽砂泵出水沿切线方向进入洗砂、砂水分离一体机，通过水力旋流、搅拌及压力水的冲洗进行砂粒的洗涤，最终落入砂水分离器底部的砂粒由螺旋输送机分离出来，落入</w:t>
      </w:r>
      <w:r>
        <w:rPr>
          <w:rFonts w:hint="eastAsia" w:ascii="Times New Roman" w:hAnsi="Times New Roman"/>
          <w:snapToGrid w:val="0"/>
          <w:color w:val="auto"/>
          <w:kern w:val="0"/>
          <w:highlight w:val="none"/>
          <w:lang w:val="en-US" w:eastAsia="zh-CN"/>
        </w:rPr>
        <w:t>栅渣</w:t>
      </w:r>
      <w:r>
        <w:rPr>
          <w:rFonts w:hint="eastAsia" w:ascii="Times New Roman" w:hAnsi="Times New Roman"/>
          <w:snapToGrid w:val="0"/>
          <w:color w:val="auto"/>
          <w:kern w:val="0"/>
          <w:highlight w:val="none"/>
        </w:rPr>
        <w:t>小车</w:t>
      </w:r>
      <w:r>
        <w:rPr>
          <w:rFonts w:hint="eastAsia" w:ascii="Times New Roman" w:hAnsi="Times New Roman"/>
          <w:snapToGrid w:val="0"/>
          <w:color w:val="auto"/>
          <w:kern w:val="0"/>
          <w:highlight w:val="none"/>
          <w:lang w:eastAsia="zh-CN"/>
        </w:rPr>
        <w:t>（</w:t>
      </w:r>
      <w:r>
        <w:rPr>
          <w:rFonts w:hint="eastAsia" w:ascii="Times New Roman" w:hAnsi="Times New Roman"/>
          <w:snapToGrid w:val="0"/>
          <w:color w:val="auto"/>
          <w:kern w:val="0"/>
          <w:highlight w:val="none"/>
          <w:lang w:val="en-US" w:eastAsia="zh-CN"/>
        </w:rPr>
        <w:t>V=0.5m³</w:t>
      </w:r>
      <w:r>
        <w:rPr>
          <w:rFonts w:hint="eastAsia" w:ascii="Times New Roman" w:hAnsi="Times New Roman"/>
          <w:snapToGrid w:val="0"/>
          <w:color w:val="auto"/>
          <w:kern w:val="0"/>
          <w:highlight w:val="none"/>
          <w:lang w:eastAsia="zh-CN"/>
        </w:rPr>
        <w:t>）</w:t>
      </w:r>
      <w:r>
        <w:rPr>
          <w:rFonts w:hint="eastAsia" w:ascii="Times New Roman" w:hAnsi="Times New Roman"/>
          <w:snapToGrid w:val="0"/>
          <w:color w:val="auto"/>
          <w:kern w:val="0"/>
          <w:highlight w:val="none"/>
        </w:rPr>
        <w:t>，定期外运</w:t>
      </w:r>
      <w:r>
        <w:rPr>
          <w:rFonts w:ascii="Times New Roman" w:hAnsi="Times New Roman"/>
          <w:snapToGrid w:val="0"/>
          <w:color w:val="auto"/>
          <w:kern w:val="0"/>
          <w:highlight w:val="none"/>
        </w:rPr>
        <w:t>。</w:t>
      </w:r>
      <w:r>
        <w:rPr>
          <w:rFonts w:hint="eastAsia" w:ascii="Times New Roman" w:hAnsi="Times New Roman"/>
          <w:snapToGrid w:val="0"/>
          <w:color w:val="auto"/>
          <w:kern w:val="0"/>
          <w:highlight w:val="none"/>
        </w:rPr>
        <w:t>洗砂</w:t>
      </w:r>
      <w:r>
        <w:rPr>
          <w:rFonts w:hint="eastAsia" w:ascii="Times New Roman" w:hAnsi="Times New Roman"/>
          <w:snapToGrid w:val="0"/>
          <w:color w:val="auto"/>
          <w:kern w:val="0"/>
          <w:highlight w:val="none"/>
          <w:lang w:val="en-US" w:eastAsia="zh-CN"/>
        </w:rPr>
        <w:t>分砂</w:t>
      </w:r>
      <w:r>
        <w:rPr>
          <w:rFonts w:hint="eastAsia" w:ascii="Times New Roman" w:hAnsi="Times New Roman"/>
          <w:snapToGrid w:val="0"/>
          <w:color w:val="auto"/>
          <w:kern w:val="0"/>
          <w:highlight w:val="none"/>
        </w:rPr>
        <w:t>一体机上部污水通过排水管道</w:t>
      </w:r>
      <w:r>
        <w:rPr>
          <w:rFonts w:ascii="Times New Roman" w:hAnsi="Times New Roman"/>
          <w:snapToGrid w:val="0"/>
          <w:color w:val="auto"/>
          <w:kern w:val="0"/>
          <w:highlight w:val="none"/>
        </w:rPr>
        <w:t>引</w:t>
      </w:r>
      <w:r>
        <w:rPr>
          <w:rFonts w:hint="eastAsia" w:ascii="Times New Roman" w:hAnsi="Times New Roman"/>
          <w:snapToGrid w:val="0"/>
          <w:color w:val="auto"/>
          <w:kern w:val="0"/>
          <w:highlight w:val="none"/>
        </w:rPr>
        <w:t>入</w:t>
      </w:r>
      <w:r>
        <w:rPr>
          <w:rFonts w:ascii="Times New Roman" w:hAnsi="Times New Roman"/>
          <w:snapToGrid w:val="0"/>
          <w:color w:val="auto"/>
          <w:kern w:val="0"/>
          <w:highlight w:val="none"/>
        </w:rPr>
        <w:t>厂区污水管道。</w:t>
      </w:r>
    </w:p>
    <w:p w14:paraId="46B0224B">
      <w:pPr>
        <w:pStyle w:val="88"/>
        <w:snapToGrid w:val="0"/>
        <w:spacing w:line="360" w:lineRule="auto"/>
        <w:ind w:firstLine="480"/>
        <w:contextualSpacing/>
        <w:rPr>
          <w:rFonts w:hint="eastAsia" w:ascii="Times New Roman" w:hAnsi="Times New Roman"/>
          <w:snapToGrid w:val="0"/>
          <w:color w:val="auto"/>
          <w:kern w:val="0"/>
          <w:highlight w:val="none"/>
        </w:rPr>
      </w:pPr>
      <w:r>
        <w:rPr>
          <w:rFonts w:hint="eastAsia" w:ascii="Times New Roman" w:hAnsi="Times New Roman" w:eastAsiaTheme="minorEastAsia" w:cstheme="minorBidi"/>
          <w:snapToGrid w:val="0"/>
          <w:color w:val="auto"/>
          <w:kern w:val="0"/>
          <w:sz w:val="24"/>
          <w:szCs w:val="22"/>
          <w:highlight w:val="none"/>
          <w:lang w:val="en-US" w:eastAsia="zh-CN" w:bidi="ar-SA"/>
        </w:rPr>
        <w:t>投标人提供的成套一体化高精度沉砂池设备及其附属设备应适合用于招标附图所示的沉砂池形式及尺寸，并应保证设备稳定、安全和使用寿命，以及沉砂池的去除效果及沉砂的有效排除。</w:t>
      </w:r>
    </w:p>
    <w:p w14:paraId="60A2388E">
      <w:pPr>
        <w:pStyle w:val="86"/>
        <w:spacing w:line="360" w:lineRule="auto"/>
        <w:ind w:firstLine="482" w:firstLineChars="200"/>
        <w:contextualSpacing/>
        <w:jc w:val="both"/>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网板式阶梯格栅除污机</w:t>
      </w:r>
    </w:p>
    <w:p w14:paraId="21F6DA2D">
      <w:pPr>
        <w:pStyle w:val="86"/>
        <w:spacing w:line="360" w:lineRule="auto"/>
        <w:ind w:firstLine="420"/>
        <w:contextualSpacing/>
        <w:jc w:val="both"/>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1）网板式阶梯格栅除污机为整体结构，在驱动装置作用下，网板由下向上作回转运动，栅渣随迎水面的网板提升至格栅除污机顶部，在清洗转刷及高压水作用下将栅渣卸至螺旋输送机内，栅渣经压榨输送至料斗，压榨水回流至进水渠。</w:t>
      </w:r>
    </w:p>
    <w:p w14:paraId="453F5DC0">
      <w:pPr>
        <w:pStyle w:val="86"/>
        <w:spacing w:line="360" w:lineRule="auto"/>
        <w:ind w:firstLine="420"/>
        <w:contextualSpacing/>
        <w:jc w:val="both"/>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2）网板式阶梯格栅除污机由架体总成、传动系统、网板总成、导轮组合、清洁刷、冲洗系统等部件组成。</w:t>
      </w:r>
    </w:p>
    <w:p w14:paraId="76708EFF">
      <w:pPr>
        <w:pStyle w:val="86"/>
        <w:spacing w:line="360" w:lineRule="auto"/>
        <w:ind w:firstLine="420"/>
        <w:contextualSpacing/>
        <w:jc w:val="both"/>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网板式阶梯格栅除污机安装于进水渠道中起拦截水中悬浮物作用。网板在减速机的带动下循环旋转，阶梯式网板将拦截的悬浮物捞出水面，通过清洁刷及高压水冲洗，将悬浮物清理落于输送机内输送压榨脱水后外运。</w:t>
      </w:r>
    </w:p>
    <w:p w14:paraId="6459EF96">
      <w:pPr>
        <w:pStyle w:val="86"/>
        <w:spacing w:line="360" w:lineRule="auto"/>
        <w:ind w:firstLine="420"/>
        <w:contextualSpacing/>
        <w:jc w:val="both"/>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该格栅除污机属细格栅主要用于拦截污水中较小的杂物（如棉丝、塑料制品、树叶和纸张等城市、生活污水中常见污物），防止泵和管道等被磨损或堵塞，以利于后续流程顺利进行。</w:t>
      </w:r>
    </w:p>
    <w:p w14:paraId="598C3A67">
      <w:pPr>
        <w:pStyle w:val="86"/>
        <w:spacing w:line="360" w:lineRule="auto"/>
        <w:ind w:firstLine="420"/>
        <w:contextualSpacing/>
        <w:jc w:val="both"/>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3）网板式阶梯格栅除污机技术性能要求：</w:t>
      </w:r>
    </w:p>
    <w:p w14:paraId="55986312">
      <w:pPr>
        <w:pStyle w:val="86"/>
        <w:spacing w:line="360" w:lineRule="auto"/>
        <w:ind w:firstLine="420"/>
        <w:contextualSpacing/>
        <w:jc w:val="both"/>
        <w:rPr>
          <w:rFonts w:hint="default" w:ascii="Times New Roman" w:hAnsi="Times New Roman" w:eastAsia="宋体"/>
          <w:color w:val="auto"/>
          <w:kern w:val="0"/>
          <w:sz w:val="24"/>
          <w:highlight w:val="none"/>
          <w:lang w:val="en-US" w:eastAsia="zh-CN"/>
        </w:rPr>
      </w:pPr>
      <w:r>
        <w:rPr>
          <w:rFonts w:hint="eastAsia" w:ascii="Times New Roman" w:hAnsi="Times New Roman" w:eastAsia="宋体"/>
          <w:color w:val="auto"/>
          <w:kern w:val="0"/>
          <w:sz w:val="24"/>
          <w:highlight w:val="none"/>
          <w:lang w:val="en-US" w:eastAsia="zh-CN"/>
        </w:rPr>
        <w:t>B=800mm，b=3mm，N=2.2kW，配套溜槽</w:t>
      </w:r>
    </w:p>
    <w:p w14:paraId="204266D1">
      <w:pPr>
        <w:pStyle w:val="86"/>
        <w:spacing w:line="360" w:lineRule="auto"/>
        <w:ind w:firstLine="420"/>
        <w:contextualSpacing/>
        <w:jc w:val="both"/>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4）网板、机架、传动链及链轮、强力刷转轴、紧固件采用不锈钢SUS304材质，传动轴采用不锈钢2Cr13材质。</w:t>
      </w:r>
    </w:p>
    <w:p w14:paraId="0C6F5AA4">
      <w:pPr>
        <w:pStyle w:val="86"/>
        <w:spacing w:line="360" w:lineRule="auto"/>
        <w:ind w:firstLine="420"/>
        <w:contextualSpacing/>
        <w:jc w:val="both"/>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5）电气控制</w:t>
      </w:r>
    </w:p>
    <w:p w14:paraId="01608CE6">
      <w:pPr>
        <w:pStyle w:val="86"/>
        <w:spacing w:line="360" w:lineRule="auto"/>
        <w:ind w:firstLine="420"/>
        <w:contextualSpacing/>
        <w:jc w:val="both"/>
        <w:rPr>
          <w:rFonts w:hint="eastAsia"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格栅除污机的电气控制柜内应包括对后续螺旋压榨机的控制，并可对其进行单独或联动控制。联动控制时，格栅除污机与螺旋压榨机可同时启停；格栅除污机的电气控制具有手动、自动、手动自动切换、急停、切断、报警等功能。手动用于除污机的现场短时间控制运行，除污机在自动状态下运行时，可以通过远程输送来的栅前后水位差来控制除污机的开或停，也可以通过时间继电器在0～24小时内调节除污机的‘开—停’工作周期。格栅除污机的电气控制柜留有供远方集中（PLC）控制的接口。格栅除污机的电气控制具有过载保护功能，一旦出现电机过载现象即切断供电电源，并应能向控制中心发出报警信号。格栅除污机在无人看管的情况下，将操作旋钮旋至自动位，格栅除污机将在指定的工作方式下自动运行。控制方式符合格栅除污机运行的要求，具有过载保护功能。</w:t>
      </w:r>
      <w:bookmarkStart w:id="32" w:name="_Hlk211357498"/>
      <w:r>
        <w:rPr>
          <w:rFonts w:hint="eastAsia" w:ascii="Times New Roman" w:hAnsi="Times New Roman" w:eastAsia="宋体"/>
          <w:color w:val="auto"/>
          <w:kern w:val="0"/>
          <w:sz w:val="24"/>
          <w:highlight w:val="none"/>
        </w:rPr>
        <w:t>控制柜主要元器件采用ABB、施耐德、西门子品牌，控制柜壳体采用不锈钢外喷塑材质。</w:t>
      </w:r>
      <w:bookmarkEnd w:id="32"/>
    </w:p>
    <w:p w14:paraId="44F28485">
      <w:pPr>
        <w:pStyle w:val="12"/>
        <w:spacing w:line="360" w:lineRule="auto"/>
        <w:rPr>
          <w:color w:val="auto"/>
          <w:sz w:val="24"/>
          <w:highlight w:val="none"/>
        </w:rPr>
      </w:pPr>
      <w:r>
        <w:rPr>
          <w:rFonts w:hint="eastAsia" w:ascii="Times New Roman" w:hAnsi="Times New Roman"/>
          <w:b/>
          <w:bCs/>
          <w:snapToGrid w:val="0"/>
          <w:color w:val="auto"/>
          <w:kern w:val="0"/>
          <w:sz w:val="24"/>
          <w:highlight w:val="none"/>
        </w:rPr>
        <w:t>高排水压榨机</w:t>
      </w:r>
    </w:p>
    <w:p w14:paraId="1EC7E78F">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1）高排水压榨机将格栅清污机捞出的水中漂浮物，由螺杆带动进入压榨机主体，在传送过程中被压榨、脱水。最后压渣被卸入收集容器中，使废料更易于运输、填埋及焚烧。</w:t>
      </w:r>
    </w:p>
    <w:p w14:paraId="5167344D">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2）高排水压榨机主要由驱动装置、箱体、螺旋、倾斜变径管组成。</w:t>
      </w:r>
    </w:p>
    <w:p w14:paraId="17F4E491">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驱动装置通过传动轴带动螺旋旋转，从落渣口进来的垃圾和污水混合物在螺旋不断向前挤压作用下，逐渐的脱水。其中污水从冲孔管中流到箱体下部，在经由排水口流出。垃圾在倾斜压榨管处压力会越来越大，最终将含水率控制在40%-45%左右。</w:t>
      </w:r>
    </w:p>
    <w:p w14:paraId="1BFFE28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螺旋在挤压过程中，要保证螺旋不发生形变。压榨管和减速机轴承座与箱体连接处不发生泄漏。</w:t>
      </w:r>
    </w:p>
    <w:p w14:paraId="0EB5ED73">
      <w:pPr>
        <w:pStyle w:val="86"/>
        <w:spacing w:line="360" w:lineRule="auto"/>
        <w:ind w:firstLine="420"/>
        <w:contextualSpacing/>
        <w:jc w:val="both"/>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3）高排水压榨机技术性能要求：</w:t>
      </w:r>
    </w:p>
    <w:p w14:paraId="30F93BE5">
      <w:pPr>
        <w:spacing w:line="360" w:lineRule="auto"/>
        <w:ind w:firstLine="480" w:firstLineChars="200"/>
        <w:rPr>
          <w:rFonts w:hint="default" w:ascii="Times New Roman" w:hAnsi="Times New Roman" w:eastAsiaTheme="minorEastAsia"/>
          <w:color w:val="auto"/>
          <w:kern w:val="0"/>
          <w:sz w:val="24"/>
          <w:highlight w:val="none"/>
          <w:lang w:val="en-US" w:eastAsia="zh-CN"/>
        </w:rPr>
      </w:pPr>
      <w:r>
        <w:rPr>
          <w:rFonts w:hint="eastAsia" w:ascii="Times New Roman" w:hAnsi="Times New Roman"/>
          <w:color w:val="auto"/>
          <w:kern w:val="0"/>
          <w:sz w:val="24"/>
          <w:highlight w:val="none"/>
          <w:lang w:val="en-US" w:eastAsia="zh-CN"/>
        </w:rPr>
        <w:t>螺旋外径300mm，出渣高度1500mm，N=2.2kW</w:t>
      </w:r>
    </w:p>
    <w:p w14:paraId="2BED7EE2">
      <w:pPr>
        <w:spacing w:line="360" w:lineRule="auto"/>
        <w:ind w:firstLine="480" w:firstLineChars="200"/>
        <w:rPr>
          <w:rFonts w:ascii="Times New Roman" w:hAnsi="Times New Roman"/>
          <w:color w:val="auto"/>
          <w:kern w:val="0"/>
          <w:sz w:val="24"/>
          <w:highlight w:val="none"/>
        </w:rPr>
      </w:pPr>
      <w:r>
        <w:rPr>
          <w:rFonts w:hint="eastAsia" w:ascii="Times New Roman" w:hAnsi="Times New Roman"/>
          <w:color w:val="auto"/>
          <w:kern w:val="0"/>
          <w:sz w:val="24"/>
          <w:highlight w:val="none"/>
        </w:rPr>
        <w:t>4）</w:t>
      </w:r>
      <w:r>
        <w:rPr>
          <w:rFonts w:hint="eastAsia" w:ascii="宋体" w:hAnsi="宋体"/>
          <w:color w:val="auto"/>
          <w:sz w:val="24"/>
          <w:highlight w:val="none"/>
        </w:rPr>
        <w:t>箱体、冲孔卷管、传动轴、压榨管、螺旋、刷条</w:t>
      </w:r>
      <w:r>
        <w:rPr>
          <w:rFonts w:hint="eastAsia" w:ascii="Times New Roman" w:hAnsi="Times New Roman"/>
          <w:color w:val="auto"/>
          <w:kern w:val="0"/>
          <w:sz w:val="24"/>
          <w:highlight w:val="none"/>
        </w:rPr>
        <w:t>采用不锈钢SUS304材质，</w:t>
      </w:r>
      <w:r>
        <w:rPr>
          <w:rFonts w:hint="eastAsia" w:ascii="宋体" w:hAnsi="宋体"/>
          <w:color w:val="auto"/>
          <w:sz w:val="24"/>
          <w:highlight w:val="none"/>
        </w:rPr>
        <w:t>轴承座</w:t>
      </w:r>
      <w:r>
        <w:rPr>
          <w:rFonts w:hint="eastAsia" w:ascii="Times New Roman" w:hAnsi="Times New Roman"/>
          <w:color w:val="auto"/>
          <w:kern w:val="0"/>
          <w:sz w:val="24"/>
          <w:highlight w:val="none"/>
        </w:rPr>
        <w:t>采用碳钢Q235材质，</w:t>
      </w:r>
      <w:r>
        <w:rPr>
          <w:rFonts w:hint="eastAsia" w:ascii="宋体" w:hAnsi="宋体"/>
          <w:color w:val="auto"/>
          <w:sz w:val="24"/>
          <w:highlight w:val="none"/>
        </w:rPr>
        <w:t>电机、减速机采用国产优质品牌</w:t>
      </w:r>
      <w:r>
        <w:rPr>
          <w:rFonts w:hint="eastAsia" w:ascii="Times New Roman" w:hAnsi="Times New Roman"/>
          <w:color w:val="auto"/>
          <w:kern w:val="0"/>
          <w:sz w:val="24"/>
          <w:highlight w:val="none"/>
        </w:rPr>
        <w:t>。</w:t>
      </w:r>
    </w:p>
    <w:p w14:paraId="43560FFC">
      <w:pPr>
        <w:spacing w:line="360" w:lineRule="auto"/>
        <w:ind w:firstLine="480" w:firstLineChars="200"/>
        <w:rPr>
          <w:rFonts w:ascii="Times New Roman" w:hAnsi="Times New Roman"/>
          <w:color w:val="auto"/>
          <w:kern w:val="0"/>
          <w:sz w:val="24"/>
          <w:highlight w:val="none"/>
        </w:rPr>
      </w:pPr>
      <w:r>
        <w:rPr>
          <w:rFonts w:hint="eastAsia" w:ascii="Times New Roman" w:hAnsi="Times New Roman"/>
          <w:color w:val="auto"/>
          <w:kern w:val="0"/>
          <w:sz w:val="24"/>
          <w:highlight w:val="none"/>
        </w:rPr>
        <w:t>5）电气控制</w:t>
      </w:r>
    </w:p>
    <w:p w14:paraId="60F3DD11">
      <w:pPr>
        <w:spacing w:line="360" w:lineRule="auto"/>
        <w:ind w:firstLine="480" w:firstLineChars="200"/>
        <w:rPr>
          <w:rFonts w:ascii="Times New Roman" w:hAnsi="Times New Roman"/>
          <w:color w:val="auto"/>
          <w:kern w:val="0"/>
          <w:sz w:val="24"/>
          <w:highlight w:val="none"/>
        </w:rPr>
      </w:pPr>
      <w:r>
        <w:rPr>
          <w:rFonts w:hint="eastAsia" w:ascii="宋体" w:hAnsi="宋体"/>
          <w:color w:val="auto"/>
          <w:sz w:val="24"/>
          <w:highlight w:val="none"/>
        </w:rPr>
        <w:t>高排水压榨机电气控制可对其进行单独或联动控制。联动控制时，格栅除污机与螺旋压榨机可同时启停，具有过载保护功能。</w:t>
      </w:r>
      <w:r>
        <w:rPr>
          <w:rFonts w:hint="eastAsia" w:ascii="Times New Roman" w:hAnsi="Times New Roman"/>
          <w:color w:val="auto"/>
          <w:kern w:val="0"/>
          <w:sz w:val="24"/>
          <w:highlight w:val="none"/>
        </w:rPr>
        <w:t>控制柜主要元器件采用ABB、施耐德、西门子品牌，控制柜壳体采用不锈钢外喷塑材质。</w:t>
      </w:r>
    </w:p>
    <w:p w14:paraId="1026564B">
      <w:pPr>
        <w:snapToGrid w:val="0"/>
        <w:spacing w:line="360" w:lineRule="auto"/>
        <w:ind w:firstLine="480"/>
        <w:contextualSpacing/>
        <w:rPr>
          <w:rFonts w:ascii="Times New Roman" w:hAnsi="Times New Roman"/>
          <w:snapToGrid w:val="0"/>
          <w:color w:val="auto"/>
          <w:kern w:val="0"/>
          <w:sz w:val="24"/>
          <w:highlight w:val="none"/>
        </w:rPr>
      </w:pPr>
      <w:r>
        <w:rPr>
          <w:rFonts w:hint="eastAsia" w:ascii="Times New Roman" w:hAnsi="Times New Roman"/>
          <w:b/>
          <w:bCs/>
          <w:snapToGrid w:val="0"/>
          <w:color w:val="auto"/>
          <w:kern w:val="0"/>
          <w:sz w:val="24"/>
          <w:highlight w:val="none"/>
        </w:rPr>
        <w:t>精准除砂装置</w:t>
      </w:r>
    </w:p>
    <w:p w14:paraId="0DA1BBB4">
      <w:pPr>
        <w:pStyle w:val="86"/>
        <w:spacing w:line="360" w:lineRule="auto"/>
        <w:ind w:firstLine="420"/>
        <w:contextualSpacing/>
        <w:jc w:val="both"/>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1）</w:t>
      </w:r>
      <w:r>
        <w:rPr>
          <w:rFonts w:hint="eastAsia" w:ascii="Times New Roman" w:hAnsi="Times New Roman" w:eastAsia="宋体"/>
          <w:color w:val="auto"/>
          <w:kern w:val="0"/>
          <w:sz w:val="24"/>
          <w:highlight w:val="none"/>
        </w:rPr>
        <w:t>精准除砂装置</w:t>
      </w:r>
      <w:r>
        <w:rPr>
          <w:rFonts w:ascii="Times New Roman" w:hAnsi="Times New Roman" w:eastAsia="宋体"/>
          <w:color w:val="auto"/>
          <w:kern w:val="0"/>
          <w:sz w:val="24"/>
          <w:highlight w:val="none"/>
        </w:rPr>
        <w:t>应采用</w:t>
      </w:r>
      <w:r>
        <w:rPr>
          <w:rFonts w:hint="eastAsia" w:ascii="Times New Roman" w:hAnsi="Times New Roman" w:eastAsia="宋体"/>
          <w:color w:val="auto"/>
          <w:kern w:val="0"/>
          <w:sz w:val="24"/>
          <w:highlight w:val="none"/>
        </w:rPr>
        <w:t>全水力学结构设计，无搅拌器、无活动部件、无曝气设施</w:t>
      </w:r>
      <w:r>
        <w:rPr>
          <w:rFonts w:ascii="Times New Roman" w:hAnsi="Times New Roman" w:eastAsia="宋体"/>
          <w:color w:val="auto"/>
          <w:kern w:val="0"/>
          <w:sz w:val="24"/>
          <w:highlight w:val="none"/>
        </w:rPr>
        <w:t>的形式，</w:t>
      </w:r>
      <w:r>
        <w:rPr>
          <w:rFonts w:hint="eastAsia" w:ascii="Times New Roman" w:hAnsi="Times New Roman" w:eastAsia="宋体"/>
          <w:color w:val="auto"/>
          <w:kern w:val="0"/>
          <w:sz w:val="24"/>
          <w:highlight w:val="none"/>
        </w:rPr>
        <w:t>实现高效沉砂要求</w:t>
      </w:r>
      <w:r>
        <w:rPr>
          <w:rFonts w:ascii="Times New Roman" w:hAnsi="Times New Roman" w:eastAsia="宋体"/>
          <w:color w:val="auto"/>
          <w:kern w:val="0"/>
          <w:sz w:val="24"/>
          <w:highlight w:val="none"/>
        </w:rPr>
        <w:t>。</w:t>
      </w:r>
    </w:p>
    <w:p w14:paraId="24D993F3">
      <w:pPr>
        <w:pStyle w:val="86"/>
        <w:spacing w:line="360" w:lineRule="auto"/>
        <w:ind w:firstLine="420"/>
        <w:contextualSpacing/>
        <w:jc w:val="both"/>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2）</w:t>
      </w:r>
      <w:r>
        <w:rPr>
          <w:rFonts w:hint="eastAsia" w:ascii="Times New Roman" w:hAnsi="Times New Roman" w:eastAsia="宋体"/>
          <w:color w:val="auto"/>
          <w:kern w:val="0"/>
          <w:sz w:val="24"/>
          <w:highlight w:val="none"/>
        </w:rPr>
        <w:t>精准除砂装置的</w:t>
      </w:r>
      <w:r>
        <w:rPr>
          <w:rFonts w:ascii="Times New Roman" w:hAnsi="Times New Roman" w:eastAsia="宋体"/>
          <w:color w:val="auto"/>
          <w:kern w:val="0"/>
          <w:sz w:val="24"/>
          <w:highlight w:val="none"/>
        </w:rPr>
        <w:t>布置应根据招标图的基本尺寸要求，满足</w:t>
      </w:r>
      <w:r>
        <w:rPr>
          <w:rFonts w:hint="eastAsia" w:ascii="Times New Roman" w:hAnsi="Times New Roman" w:eastAsia="宋体"/>
          <w:color w:val="auto"/>
          <w:kern w:val="0"/>
          <w:sz w:val="24"/>
          <w:highlight w:val="none"/>
        </w:rPr>
        <w:t>下述运行原理：</w:t>
      </w:r>
      <w:r>
        <w:rPr>
          <w:rFonts w:ascii="Times New Roman" w:hAnsi="Times New Roman" w:eastAsia="宋体"/>
          <w:color w:val="auto"/>
          <w:kern w:val="0"/>
          <w:sz w:val="24"/>
          <w:highlight w:val="none"/>
        </w:rPr>
        <w:t>通过布水器</w:t>
      </w:r>
      <w:r>
        <w:rPr>
          <w:rFonts w:hint="eastAsia" w:ascii="Times New Roman" w:hAnsi="Times New Roman" w:eastAsia="宋体"/>
          <w:color w:val="auto"/>
          <w:kern w:val="0"/>
          <w:sz w:val="24"/>
          <w:highlight w:val="none"/>
        </w:rPr>
        <w:t>使水流沿</w:t>
      </w:r>
      <w:r>
        <w:rPr>
          <w:rFonts w:ascii="Times New Roman" w:hAnsi="Times New Roman" w:eastAsia="宋体"/>
          <w:color w:val="auto"/>
          <w:kern w:val="0"/>
          <w:sz w:val="24"/>
          <w:highlight w:val="none"/>
        </w:rPr>
        <w:t>切向</w:t>
      </w:r>
      <w:r>
        <w:rPr>
          <w:rFonts w:hint="eastAsia" w:ascii="Times New Roman" w:hAnsi="Times New Roman" w:eastAsia="宋体"/>
          <w:color w:val="auto"/>
          <w:kern w:val="0"/>
          <w:sz w:val="24"/>
          <w:highlight w:val="none"/>
        </w:rPr>
        <w:t>方向</w:t>
      </w:r>
      <w:r>
        <w:rPr>
          <w:rFonts w:ascii="Times New Roman" w:hAnsi="Times New Roman" w:eastAsia="宋体"/>
          <w:color w:val="auto"/>
          <w:kern w:val="0"/>
          <w:sz w:val="24"/>
          <w:highlight w:val="none"/>
        </w:rPr>
        <w:t>均匀地分配到</w:t>
      </w:r>
      <w:r>
        <w:rPr>
          <w:rFonts w:hint="eastAsia" w:ascii="Times New Roman" w:hAnsi="Times New Roman" w:eastAsia="宋体"/>
          <w:color w:val="auto"/>
          <w:kern w:val="0"/>
          <w:sz w:val="24"/>
          <w:highlight w:val="none"/>
        </w:rPr>
        <w:t>各层叠</w:t>
      </w:r>
      <w:r>
        <w:rPr>
          <w:rFonts w:ascii="Times New Roman" w:hAnsi="Times New Roman" w:eastAsia="宋体"/>
          <w:color w:val="auto"/>
          <w:kern w:val="0"/>
          <w:sz w:val="24"/>
          <w:highlight w:val="none"/>
        </w:rPr>
        <w:t>盘，砂粒通过</w:t>
      </w:r>
      <w:r>
        <w:rPr>
          <w:rFonts w:hint="eastAsia" w:ascii="Times New Roman" w:hAnsi="Times New Roman" w:eastAsia="宋体"/>
          <w:color w:val="auto"/>
          <w:kern w:val="0"/>
          <w:sz w:val="24"/>
          <w:highlight w:val="none"/>
        </w:rPr>
        <w:t>“旋流扫捕”和“浅层沉淀”的双重作用</w:t>
      </w:r>
      <w:r>
        <w:rPr>
          <w:rFonts w:ascii="Times New Roman" w:hAnsi="Times New Roman" w:eastAsia="宋体"/>
          <w:color w:val="auto"/>
          <w:kern w:val="0"/>
          <w:sz w:val="24"/>
          <w:highlight w:val="none"/>
        </w:rPr>
        <w:t>沉降至各层</w:t>
      </w:r>
      <w:r>
        <w:rPr>
          <w:rFonts w:hint="eastAsia" w:ascii="Times New Roman" w:hAnsi="Times New Roman" w:eastAsia="宋体"/>
          <w:color w:val="auto"/>
          <w:kern w:val="0"/>
          <w:sz w:val="24"/>
          <w:highlight w:val="none"/>
        </w:rPr>
        <w:t>叠</w:t>
      </w:r>
      <w:r>
        <w:rPr>
          <w:rFonts w:ascii="Times New Roman" w:hAnsi="Times New Roman" w:eastAsia="宋体"/>
          <w:color w:val="auto"/>
          <w:kern w:val="0"/>
          <w:sz w:val="24"/>
          <w:highlight w:val="none"/>
        </w:rPr>
        <w:t xml:space="preserve">盘表面, </w:t>
      </w:r>
      <w:r>
        <w:rPr>
          <w:rFonts w:hint="eastAsia" w:ascii="Times New Roman" w:hAnsi="Times New Roman" w:eastAsia="宋体"/>
          <w:color w:val="auto"/>
          <w:kern w:val="0"/>
          <w:sz w:val="24"/>
          <w:highlight w:val="none"/>
        </w:rPr>
        <w:t>并</w:t>
      </w:r>
      <w:r>
        <w:rPr>
          <w:rFonts w:ascii="Times New Roman" w:hAnsi="Times New Roman" w:eastAsia="宋体"/>
          <w:color w:val="auto"/>
          <w:kern w:val="0"/>
          <w:sz w:val="24"/>
          <w:highlight w:val="none"/>
        </w:rPr>
        <w:t>迅速地汇集到</w:t>
      </w:r>
      <w:r>
        <w:rPr>
          <w:rFonts w:hint="eastAsia" w:ascii="Times New Roman" w:hAnsi="Times New Roman" w:eastAsia="宋体"/>
          <w:color w:val="auto"/>
          <w:kern w:val="0"/>
          <w:sz w:val="24"/>
          <w:highlight w:val="none"/>
        </w:rPr>
        <w:t>叠</w:t>
      </w:r>
      <w:r>
        <w:rPr>
          <w:rFonts w:ascii="Times New Roman" w:hAnsi="Times New Roman" w:eastAsia="宋体"/>
          <w:color w:val="auto"/>
          <w:kern w:val="0"/>
          <w:sz w:val="24"/>
          <w:highlight w:val="none"/>
        </w:rPr>
        <w:t>盘中心的</w:t>
      </w:r>
      <w:r>
        <w:rPr>
          <w:rFonts w:hint="eastAsia" w:ascii="Times New Roman" w:hAnsi="Times New Roman" w:eastAsia="宋体"/>
          <w:color w:val="auto"/>
          <w:kern w:val="0"/>
          <w:sz w:val="24"/>
          <w:highlight w:val="none"/>
        </w:rPr>
        <w:t>开孔</w:t>
      </w:r>
      <w:r>
        <w:rPr>
          <w:rFonts w:ascii="Times New Roman" w:hAnsi="Times New Roman" w:eastAsia="宋体"/>
          <w:color w:val="auto"/>
          <w:kern w:val="0"/>
          <w:sz w:val="24"/>
          <w:highlight w:val="none"/>
        </w:rPr>
        <w:t>处, 最终沉降在</w:t>
      </w:r>
      <w:r>
        <w:rPr>
          <w:rFonts w:hint="eastAsia" w:ascii="Times New Roman" w:hAnsi="Times New Roman" w:eastAsia="宋体"/>
          <w:color w:val="auto"/>
          <w:kern w:val="0"/>
          <w:sz w:val="24"/>
          <w:highlight w:val="none"/>
        </w:rPr>
        <w:t>精准除砂装置</w:t>
      </w:r>
      <w:r>
        <w:rPr>
          <w:rFonts w:ascii="Times New Roman" w:hAnsi="Times New Roman" w:eastAsia="宋体"/>
          <w:color w:val="auto"/>
          <w:kern w:val="0"/>
          <w:sz w:val="24"/>
          <w:highlight w:val="none"/>
        </w:rPr>
        <w:t>底部的储砂</w:t>
      </w:r>
      <w:r>
        <w:rPr>
          <w:rFonts w:hint="eastAsia" w:ascii="Times New Roman" w:hAnsi="Times New Roman" w:eastAsia="宋体"/>
          <w:color w:val="auto"/>
          <w:kern w:val="0"/>
          <w:sz w:val="24"/>
          <w:highlight w:val="none"/>
        </w:rPr>
        <w:t>斗</w:t>
      </w:r>
      <w:r>
        <w:rPr>
          <w:rFonts w:ascii="Times New Roman" w:hAnsi="Times New Roman" w:eastAsia="宋体"/>
          <w:color w:val="auto"/>
          <w:kern w:val="0"/>
          <w:sz w:val="24"/>
          <w:highlight w:val="none"/>
        </w:rPr>
        <w:t>内。经过</w:t>
      </w:r>
      <w:r>
        <w:rPr>
          <w:rFonts w:hint="eastAsia" w:ascii="Times New Roman" w:hAnsi="Times New Roman" w:eastAsia="宋体"/>
          <w:color w:val="auto"/>
          <w:kern w:val="0"/>
          <w:sz w:val="24"/>
          <w:highlight w:val="none"/>
        </w:rPr>
        <w:t>精准除砂装置</w:t>
      </w:r>
      <w:r>
        <w:rPr>
          <w:rFonts w:ascii="Times New Roman" w:hAnsi="Times New Roman" w:eastAsia="宋体"/>
          <w:color w:val="auto"/>
          <w:kern w:val="0"/>
          <w:sz w:val="24"/>
          <w:highlight w:val="none"/>
        </w:rPr>
        <w:t>处理后不含砂粒</w:t>
      </w:r>
      <w:r>
        <w:rPr>
          <w:rFonts w:hint="eastAsia" w:ascii="Times New Roman" w:hAnsi="Times New Roman" w:eastAsia="宋体"/>
          <w:color w:val="auto"/>
          <w:kern w:val="0"/>
          <w:sz w:val="24"/>
          <w:highlight w:val="none"/>
        </w:rPr>
        <w:t>的污水</w:t>
      </w:r>
      <w:r>
        <w:rPr>
          <w:rFonts w:ascii="Times New Roman" w:hAnsi="Times New Roman" w:eastAsia="宋体"/>
          <w:color w:val="auto"/>
          <w:kern w:val="0"/>
          <w:sz w:val="24"/>
          <w:highlight w:val="none"/>
        </w:rPr>
        <w:t>，通过</w:t>
      </w:r>
      <w:r>
        <w:rPr>
          <w:rFonts w:hint="eastAsia" w:ascii="Times New Roman" w:hAnsi="Times New Roman" w:eastAsia="宋体"/>
          <w:color w:val="auto"/>
          <w:kern w:val="0"/>
          <w:sz w:val="24"/>
          <w:highlight w:val="none"/>
        </w:rPr>
        <w:t>叠盘水池</w:t>
      </w:r>
      <w:r>
        <w:rPr>
          <w:rFonts w:ascii="Times New Roman" w:hAnsi="Times New Roman" w:eastAsia="宋体"/>
          <w:color w:val="auto"/>
          <w:kern w:val="0"/>
          <w:sz w:val="24"/>
          <w:highlight w:val="none"/>
        </w:rPr>
        <w:t>顶部溢流堰</w:t>
      </w:r>
      <w:r>
        <w:rPr>
          <w:rFonts w:hint="eastAsia" w:ascii="Times New Roman" w:hAnsi="Times New Roman" w:eastAsia="宋体"/>
          <w:color w:val="auto"/>
          <w:kern w:val="0"/>
          <w:sz w:val="24"/>
          <w:highlight w:val="none"/>
        </w:rPr>
        <w:t>后进</w:t>
      </w:r>
      <w:r>
        <w:rPr>
          <w:rFonts w:ascii="Times New Roman" w:hAnsi="Times New Roman" w:eastAsia="宋体"/>
          <w:color w:val="auto"/>
          <w:kern w:val="0"/>
          <w:sz w:val="24"/>
          <w:highlight w:val="none"/>
        </w:rPr>
        <w:t>入后续</w:t>
      </w:r>
      <w:r>
        <w:rPr>
          <w:rFonts w:hint="eastAsia" w:ascii="Times New Roman" w:hAnsi="Times New Roman" w:eastAsia="宋体"/>
          <w:color w:val="auto"/>
          <w:kern w:val="0"/>
          <w:sz w:val="24"/>
          <w:highlight w:val="none"/>
        </w:rPr>
        <w:t>水处理单元</w:t>
      </w:r>
      <w:r>
        <w:rPr>
          <w:rFonts w:ascii="Times New Roman" w:hAnsi="Times New Roman" w:eastAsia="宋体"/>
          <w:color w:val="auto"/>
          <w:kern w:val="0"/>
          <w:sz w:val="24"/>
          <w:highlight w:val="none"/>
        </w:rPr>
        <w:t>。</w:t>
      </w:r>
    </w:p>
    <w:p w14:paraId="623E949C">
      <w:pPr>
        <w:pStyle w:val="86"/>
        <w:spacing w:line="360" w:lineRule="auto"/>
        <w:ind w:firstLine="420"/>
        <w:contextualSpacing/>
        <w:jc w:val="both"/>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3）</w:t>
      </w:r>
      <w:r>
        <w:rPr>
          <w:rFonts w:hint="eastAsia" w:ascii="Times New Roman" w:hAnsi="Times New Roman" w:eastAsia="宋体"/>
          <w:color w:val="auto"/>
          <w:kern w:val="0"/>
          <w:sz w:val="24"/>
          <w:highlight w:val="none"/>
        </w:rPr>
        <w:t>精准除砂装置技术性能要求：</w:t>
      </w:r>
    </w:p>
    <w:p w14:paraId="383A446E">
      <w:pPr>
        <w:pStyle w:val="86"/>
        <w:spacing w:line="360" w:lineRule="auto"/>
        <w:ind w:firstLine="480" w:firstLineChars="200"/>
        <w:contextualSpacing/>
        <w:jc w:val="both"/>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处理能力5000</w:t>
      </w:r>
      <w:r>
        <w:rPr>
          <w:rFonts w:ascii="Times New Roman" w:hAnsi="Times New Roman" w:eastAsia="宋体"/>
          <w:color w:val="auto"/>
          <w:kern w:val="0"/>
          <w:sz w:val="24"/>
          <w:highlight w:val="none"/>
        </w:rPr>
        <w:t xml:space="preserve"> m³/</w:t>
      </w:r>
      <w:r>
        <w:rPr>
          <w:rFonts w:hint="eastAsia" w:ascii="Times New Roman" w:hAnsi="Times New Roman" w:eastAsia="宋体"/>
          <w:color w:val="auto"/>
          <w:kern w:val="0"/>
          <w:sz w:val="24"/>
          <w:highlight w:val="none"/>
        </w:rPr>
        <w:t>d</w:t>
      </w:r>
      <w:r>
        <w:rPr>
          <w:rFonts w:ascii="Times New Roman" w:hAnsi="Times New Roman" w:eastAsia="宋体"/>
          <w:color w:val="auto"/>
          <w:kern w:val="0"/>
          <w:sz w:val="24"/>
          <w:highlight w:val="none"/>
        </w:rPr>
        <w:t>，</w:t>
      </w:r>
      <w:r>
        <w:rPr>
          <w:rFonts w:hint="eastAsia" w:ascii="Times New Roman" w:hAnsi="Times New Roman" w:eastAsia="宋体"/>
          <w:color w:val="auto"/>
          <w:kern w:val="0"/>
          <w:sz w:val="24"/>
          <w:highlight w:val="none"/>
        </w:rPr>
        <w:t>去除精度</w:t>
      </w:r>
      <w:r>
        <w:rPr>
          <w:rFonts w:ascii="Times New Roman" w:hAnsi="Times New Roman" w:eastAsia="宋体"/>
          <w:color w:val="auto"/>
          <w:kern w:val="0"/>
          <w:sz w:val="24"/>
          <w:highlight w:val="none"/>
        </w:rPr>
        <w:t>≥</w:t>
      </w:r>
      <w:r>
        <w:rPr>
          <w:rFonts w:hint="eastAsia" w:ascii="Times New Roman" w:hAnsi="Times New Roman" w:eastAsia="宋体"/>
          <w:color w:val="auto"/>
          <w:kern w:val="0"/>
          <w:sz w:val="24"/>
          <w:highlight w:val="none"/>
        </w:rPr>
        <w:t>106μm，</w:t>
      </w:r>
      <w:r>
        <w:rPr>
          <w:rFonts w:ascii="Times New Roman" w:hAnsi="Times New Roman" w:eastAsia="宋体"/>
          <w:color w:val="auto"/>
          <w:kern w:val="0"/>
          <w:sz w:val="24"/>
          <w:highlight w:val="none"/>
        </w:rPr>
        <w:t>去除率≥</w:t>
      </w:r>
      <w:r>
        <w:rPr>
          <w:rFonts w:hint="eastAsia" w:ascii="Times New Roman" w:hAnsi="Times New Roman" w:eastAsia="宋体"/>
          <w:color w:val="auto"/>
          <w:kern w:val="0"/>
          <w:sz w:val="24"/>
          <w:highlight w:val="none"/>
        </w:rPr>
        <w:t>85</w:t>
      </w:r>
      <w:r>
        <w:rPr>
          <w:rFonts w:ascii="Times New Roman" w:hAnsi="Times New Roman" w:eastAsia="宋体"/>
          <w:color w:val="auto"/>
          <w:kern w:val="0"/>
          <w:sz w:val="24"/>
          <w:highlight w:val="none"/>
        </w:rPr>
        <w:t>%；</w:t>
      </w:r>
    </w:p>
    <w:p w14:paraId="2C1205F8">
      <w:pPr>
        <w:pStyle w:val="86"/>
        <w:adjustRightInd/>
        <w:snapToGrid/>
        <w:spacing w:line="360" w:lineRule="auto"/>
        <w:ind w:firstLineChars="200"/>
        <w:jc w:val="both"/>
        <w:rPr>
          <w:rFonts w:hint="eastAsia" w:ascii="Times New Roman" w:hAnsi="Times New Roman" w:eastAsia="宋体" w:cs="Times New Roman"/>
          <w:snapToGrid/>
          <w:color w:val="auto"/>
          <w:sz w:val="24"/>
          <w:szCs w:val="28"/>
        </w:rPr>
      </w:pPr>
      <w:r>
        <w:rPr>
          <w:rFonts w:ascii="Times New Roman" w:hAnsi="Times New Roman" w:eastAsia="宋体"/>
          <w:color w:val="auto"/>
          <w:kern w:val="0"/>
          <w:sz w:val="24"/>
          <w:highlight w:val="none"/>
        </w:rPr>
        <w:t>4</w:t>
      </w:r>
      <w:r>
        <w:rPr>
          <w:rFonts w:hint="eastAsia" w:ascii="Times New Roman" w:hAnsi="Times New Roman" w:eastAsia="宋体"/>
          <w:color w:val="auto"/>
          <w:kern w:val="0"/>
          <w:sz w:val="24"/>
          <w:highlight w:val="none"/>
        </w:rPr>
        <w:t>）除砂装置的进水方式为上部布水器均匀分层配水，出水方式为叠盘水池池体顶部溢流堰溢流出水；</w:t>
      </w:r>
      <w:r>
        <w:rPr>
          <w:rFonts w:hint="eastAsia" w:ascii="Times New Roman" w:hAnsi="Times New Roman" w:eastAsia="宋体" w:cs="Times New Roman"/>
          <w:snapToGrid/>
          <w:color w:val="auto"/>
          <w:sz w:val="24"/>
          <w:szCs w:val="28"/>
        </w:rPr>
        <w:t>内部组件把池内水体分割成内外两部分，外部为清水区，内部为浊水区，清水区和浊水区在底部相连通，在外部靠近池壁的清水区，水流向上运动，在靠近池中心的浊水区，水流向下运动；</w:t>
      </w:r>
    </w:p>
    <w:p w14:paraId="27E28033">
      <w:pPr>
        <w:pStyle w:val="86"/>
        <w:adjustRightInd/>
        <w:snapToGrid/>
        <w:spacing w:line="360" w:lineRule="auto"/>
        <w:ind w:firstLineChars="200"/>
        <w:jc w:val="both"/>
        <w:rPr>
          <w:rFonts w:hint="eastAsia" w:ascii="Times New Roman" w:hAnsi="Times New Roman" w:eastAsia="宋体" w:cs="Times New Roman"/>
          <w:snapToGrid/>
          <w:color w:val="auto"/>
          <w:sz w:val="24"/>
          <w:szCs w:val="28"/>
        </w:rPr>
      </w:pPr>
      <w:r>
        <w:rPr>
          <w:rFonts w:hint="eastAsia" w:ascii="Times New Roman" w:hAnsi="Times New Roman" w:eastAsia="宋体" w:cs="Times New Roman"/>
          <w:snapToGrid/>
          <w:color w:val="auto"/>
          <w:sz w:val="24"/>
          <w:szCs w:val="28"/>
          <w:lang w:val="en-US" w:eastAsia="zh-CN"/>
        </w:rPr>
        <w:t>5</w:t>
      </w:r>
      <w:r>
        <w:rPr>
          <w:rFonts w:hint="eastAsia" w:ascii="Times New Roman" w:hAnsi="Times New Roman" w:eastAsia="宋体" w:cs="Times New Roman"/>
          <w:snapToGrid/>
          <w:color w:val="auto"/>
          <w:sz w:val="24"/>
          <w:szCs w:val="28"/>
        </w:rPr>
        <w:t>） 为了避免进水对出水产生扰动，需要使用布水器将进水均匀分配到各层碟盘， 且碟盘顶部设置防短流盖板， 防治进水短流直接进入清水区，从而使内部的浊水区与外部的清水区分隔；</w:t>
      </w:r>
    </w:p>
    <w:p w14:paraId="78DF4ED0">
      <w:pPr>
        <w:pStyle w:val="86"/>
        <w:adjustRightInd/>
        <w:snapToGrid/>
        <w:spacing w:line="360" w:lineRule="auto"/>
        <w:ind w:firstLineChars="200"/>
        <w:jc w:val="both"/>
        <w:rPr>
          <w:rFonts w:ascii="Times New Roman" w:hAnsi="Times New Roman" w:eastAsia="宋体"/>
          <w:color w:val="auto"/>
          <w:kern w:val="0"/>
          <w:sz w:val="24"/>
          <w:highlight w:val="none"/>
        </w:rPr>
      </w:pPr>
      <w:r>
        <w:rPr>
          <w:rFonts w:hint="eastAsia" w:ascii="Times New Roman" w:hAnsi="Times New Roman" w:eastAsia="宋体" w:cs="Times New Roman"/>
          <w:snapToGrid/>
          <w:color w:val="auto"/>
          <w:sz w:val="24"/>
          <w:szCs w:val="28"/>
          <w:lang w:val="en-US" w:eastAsia="zh-CN"/>
        </w:rPr>
        <w:t>6</w:t>
      </w:r>
      <w:r>
        <w:rPr>
          <w:rFonts w:hint="eastAsia" w:ascii="Times New Roman" w:hAnsi="Times New Roman" w:eastAsia="宋体" w:cs="Times New Roman"/>
          <w:snapToGrid/>
          <w:color w:val="auto"/>
          <w:sz w:val="24"/>
          <w:szCs w:val="28"/>
        </w:rPr>
        <w:t>）碟盘的倾斜角度与尺寸要与池底砂斗相配合，既能顺利折射水流向上流动，又能保护沉积的砂粒不被翻动卷起；</w:t>
      </w:r>
    </w:p>
    <w:p w14:paraId="6EBDCA36">
      <w:pPr>
        <w:pStyle w:val="86"/>
        <w:spacing w:line="360" w:lineRule="auto"/>
        <w:ind w:firstLine="420"/>
        <w:contextualSpacing/>
        <w:jc w:val="both"/>
        <w:rPr>
          <w:rFonts w:hint="eastAsia" w:ascii="Times New Roman" w:hAnsi="Times New Roman" w:eastAsia="宋体"/>
          <w:color w:val="auto"/>
          <w:kern w:val="0"/>
          <w:sz w:val="24"/>
          <w:highlight w:val="none"/>
          <w:lang w:val="en-US" w:eastAsia="zh-CN"/>
        </w:rPr>
      </w:pPr>
      <w:r>
        <w:rPr>
          <w:rFonts w:hint="eastAsia" w:ascii="Times New Roman" w:hAnsi="Times New Roman" w:eastAsia="宋体"/>
          <w:color w:val="auto"/>
          <w:kern w:val="0"/>
          <w:sz w:val="24"/>
          <w:highlight w:val="none"/>
          <w:lang w:val="en-US" w:eastAsia="zh-CN"/>
        </w:rPr>
        <w:t>7</w:t>
      </w:r>
      <w:r>
        <w:rPr>
          <w:rFonts w:hint="eastAsia" w:ascii="Times New Roman" w:hAnsi="Times New Roman" w:eastAsia="宋体"/>
          <w:color w:val="auto"/>
          <w:kern w:val="0"/>
          <w:sz w:val="24"/>
          <w:highlight w:val="none"/>
        </w:rPr>
        <w:t>）沉砂池内的多层旋流设备布水器、支架为不锈钢 06Cr19Ni10 材质;碟盘主体材质为 LDPE</w:t>
      </w:r>
      <w:r>
        <w:rPr>
          <w:rFonts w:hint="eastAsia" w:ascii="Times New Roman" w:hAnsi="Times New Roman" w:eastAsia="宋体"/>
          <w:color w:val="auto"/>
          <w:kern w:val="0"/>
          <w:sz w:val="24"/>
          <w:highlight w:val="none"/>
          <w:lang w:val="en-US" w:eastAsia="zh-CN"/>
        </w:rPr>
        <w:t>/</w:t>
      </w:r>
      <w:r>
        <w:rPr>
          <w:rFonts w:hint="eastAsia" w:ascii="Times New Roman" w:hAnsi="Times New Roman" w:eastAsia="宋体"/>
          <w:color w:val="auto"/>
          <w:kern w:val="0"/>
          <w:sz w:val="24"/>
          <w:highlight w:val="none"/>
        </w:rPr>
        <w:t>MDPE</w:t>
      </w:r>
      <w:r>
        <w:rPr>
          <w:rFonts w:hint="eastAsia" w:ascii="Times New Roman" w:hAnsi="Times New Roman" w:eastAsia="宋体"/>
          <w:color w:val="auto"/>
          <w:kern w:val="0"/>
          <w:sz w:val="24"/>
          <w:highlight w:val="none"/>
          <w:lang w:val="en-US" w:eastAsia="zh-CN"/>
        </w:rPr>
        <w:t>或SS304</w:t>
      </w:r>
      <w:r>
        <w:rPr>
          <w:rFonts w:hint="eastAsia" w:ascii="Times New Roman" w:hAnsi="Times New Roman" w:eastAsia="宋体"/>
          <w:color w:val="auto"/>
          <w:kern w:val="0"/>
          <w:sz w:val="24"/>
          <w:highlight w:val="none"/>
        </w:rPr>
        <w:t>不锈钢。</w:t>
      </w:r>
    </w:p>
    <w:p w14:paraId="4A88F904">
      <w:pPr>
        <w:pStyle w:val="86"/>
        <w:spacing w:line="360" w:lineRule="auto"/>
        <w:ind w:firstLine="420"/>
        <w:contextualSpacing/>
        <w:jc w:val="both"/>
        <w:rPr>
          <w:rFonts w:hint="eastAsia"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沉砂池外壳筒体为不锈钢06Cr19Ni10材质；筒体厚度最低处≥4 mm；顶部抗紫外走道盖板及不锈钢护栏，预留接口衔接除臭管路。</w:t>
      </w:r>
    </w:p>
    <w:p w14:paraId="5869C191">
      <w:pPr>
        <w:pStyle w:val="86"/>
        <w:spacing w:line="360" w:lineRule="auto"/>
        <w:ind w:firstLine="420"/>
        <w:contextualSpacing/>
        <w:jc w:val="both"/>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lang w:val="en-US" w:eastAsia="zh-CN"/>
        </w:rPr>
        <w:t>8</w:t>
      </w:r>
      <w:r>
        <w:rPr>
          <w:rFonts w:hint="eastAsia" w:ascii="Times New Roman" w:hAnsi="Times New Roman" w:eastAsia="宋体"/>
          <w:color w:val="auto"/>
          <w:kern w:val="0"/>
          <w:sz w:val="24"/>
          <w:highlight w:val="none"/>
        </w:rPr>
        <w:t>）在储砂斗底部设有流化冲洗装置，排砂前对沉积的砂砾进行反冲洗，增加流动性，防止板结，冲洗周期及时长可根据实际运行情况进行调整，反洗流量12 m</w:t>
      </w:r>
      <w:r>
        <w:rPr>
          <w:rFonts w:hint="eastAsia" w:ascii="Times New Roman" w:hAnsi="Times New Roman" w:eastAsia="宋体"/>
          <w:color w:val="auto"/>
          <w:kern w:val="0"/>
          <w:sz w:val="24"/>
          <w:highlight w:val="none"/>
          <w:vertAlign w:val="superscript"/>
        </w:rPr>
        <w:t>3</w:t>
      </w:r>
      <w:r>
        <w:rPr>
          <w:rFonts w:hint="eastAsia" w:ascii="Times New Roman" w:hAnsi="Times New Roman" w:eastAsia="宋体"/>
          <w:color w:val="auto"/>
          <w:kern w:val="0"/>
          <w:sz w:val="24"/>
          <w:highlight w:val="none"/>
        </w:rPr>
        <w:t>/h，压力0.3MPa。</w:t>
      </w:r>
    </w:p>
    <w:p w14:paraId="2B6AF2E7">
      <w:pPr>
        <w:pStyle w:val="86"/>
        <w:spacing w:line="360" w:lineRule="auto"/>
        <w:ind w:firstLine="420"/>
        <w:contextualSpacing/>
        <w:jc w:val="both"/>
        <w:rPr>
          <w:rFonts w:hint="eastAsia"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lang w:val="en-US" w:eastAsia="zh-CN"/>
        </w:rPr>
        <w:t>9</w:t>
      </w:r>
      <w:r>
        <w:rPr>
          <w:rFonts w:hint="eastAsia" w:ascii="Times New Roman" w:hAnsi="Times New Roman" w:eastAsia="宋体"/>
          <w:color w:val="auto"/>
          <w:kern w:val="0"/>
          <w:sz w:val="24"/>
          <w:highlight w:val="none"/>
        </w:rPr>
        <w:t>）精准除砂装置在处理水量为5000m</w:t>
      </w:r>
      <w:r>
        <w:rPr>
          <w:rFonts w:hint="eastAsia" w:ascii="Times New Roman" w:hAnsi="Times New Roman" w:eastAsia="宋体"/>
          <w:color w:val="auto"/>
          <w:kern w:val="0"/>
          <w:sz w:val="24"/>
          <w:highlight w:val="none"/>
          <w:vertAlign w:val="superscript"/>
        </w:rPr>
        <w:t>3</w:t>
      </w:r>
      <w:r>
        <w:rPr>
          <w:rFonts w:hint="eastAsia" w:ascii="Times New Roman" w:hAnsi="Times New Roman" w:eastAsia="宋体"/>
          <w:color w:val="auto"/>
          <w:kern w:val="0"/>
          <w:sz w:val="24"/>
          <w:highlight w:val="none"/>
        </w:rPr>
        <w:t>/d时，进出水水头损失&lt;300 mm。</w:t>
      </w:r>
    </w:p>
    <w:p w14:paraId="7125A579">
      <w:pPr>
        <w:pStyle w:val="86"/>
        <w:spacing w:line="360" w:lineRule="auto"/>
        <w:ind w:firstLine="420"/>
        <w:contextualSpacing/>
        <w:jc w:val="both"/>
        <w:rPr>
          <w:rFonts w:hint="default" w:ascii="Times New Roman" w:hAnsi="Times New Roman" w:eastAsia="宋体"/>
          <w:color w:val="auto"/>
          <w:kern w:val="0"/>
          <w:sz w:val="24"/>
          <w:highlight w:val="none"/>
          <w:lang w:val="en-US" w:eastAsia="zh-CN"/>
        </w:rPr>
      </w:pPr>
      <w:r>
        <w:rPr>
          <w:rFonts w:hint="eastAsia" w:ascii="Times New Roman" w:hAnsi="Times New Roman" w:eastAsia="宋体"/>
          <w:color w:val="auto"/>
          <w:kern w:val="0"/>
          <w:sz w:val="24"/>
          <w:highlight w:val="none"/>
          <w:lang w:val="en-US" w:eastAsia="zh-CN"/>
        </w:rPr>
        <w:t>10）不得采用桨叶或者空气来补充或诱导涡流的设备。</w:t>
      </w:r>
    </w:p>
    <w:p w14:paraId="58A77FE9">
      <w:pPr>
        <w:pStyle w:val="86"/>
        <w:spacing w:line="360" w:lineRule="auto"/>
        <w:ind w:firstLine="420"/>
        <w:contextualSpacing/>
        <w:jc w:val="both"/>
        <w:rPr>
          <w:rFonts w:ascii="Times New Roman" w:hAnsi="Times New Roman" w:eastAsia="宋体"/>
          <w:color w:val="auto"/>
          <w:kern w:val="0"/>
          <w:sz w:val="24"/>
          <w:highlight w:val="none"/>
        </w:rPr>
      </w:pPr>
      <w:r>
        <w:rPr>
          <w:rFonts w:hint="eastAsia" w:ascii="Times New Roman" w:hAnsi="Times New Roman" w:eastAsia="宋体"/>
          <w:b/>
          <w:bCs/>
          <w:color w:val="auto"/>
          <w:kern w:val="0"/>
          <w:sz w:val="24"/>
          <w:highlight w:val="none"/>
        </w:rPr>
        <w:t>流化冲洗用全自动给水设备</w:t>
      </w:r>
    </w:p>
    <w:p w14:paraId="504EEFA2">
      <w:pPr>
        <w:pStyle w:val="86"/>
        <w:spacing w:line="360" w:lineRule="auto"/>
        <w:ind w:firstLine="420"/>
        <w:contextualSpacing/>
        <w:jc w:val="both"/>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流化冲洗用全自动给水设备</w:t>
      </w:r>
      <w:r>
        <w:rPr>
          <w:rFonts w:hint="eastAsia" w:ascii="Times New Roman" w:hAnsi="Times New Roman" w:eastAsia="宋体"/>
          <w:color w:val="auto"/>
          <w:kern w:val="0"/>
          <w:sz w:val="24"/>
          <w:highlight w:val="none"/>
          <w:lang w:val="en-US" w:eastAsia="zh-CN"/>
        </w:rPr>
        <w:t>采用恒压变频控制，</w:t>
      </w:r>
      <w:r>
        <w:rPr>
          <w:rFonts w:hint="eastAsia" w:ascii="Times New Roman" w:hAnsi="Times New Roman" w:eastAsia="宋体"/>
          <w:color w:val="auto"/>
          <w:kern w:val="0"/>
          <w:sz w:val="24"/>
          <w:highlight w:val="none"/>
        </w:rPr>
        <w:t>包含</w:t>
      </w:r>
      <w:r>
        <w:rPr>
          <w:rFonts w:hint="eastAsia" w:ascii="Times New Roman" w:hAnsi="Times New Roman" w:eastAsia="宋体"/>
          <w:color w:val="auto"/>
          <w:kern w:val="0"/>
          <w:sz w:val="24"/>
          <w:highlight w:val="none"/>
          <w:lang w:val="en-US" w:eastAsia="zh-CN"/>
        </w:rPr>
        <w:t>冲洗</w:t>
      </w:r>
      <w:r>
        <w:rPr>
          <w:rFonts w:hint="eastAsia" w:ascii="Times New Roman" w:hAnsi="Times New Roman" w:eastAsia="宋体"/>
          <w:color w:val="auto"/>
          <w:kern w:val="0"/>
          <w:sz w:val="24"/>
          <w:highlight w:val="none"/>
        </w:rPr>
        <w:t>泵、气压罐、不锈钢水箱、Y型过滤器、阀门、仪表、连接管路、安装附件、电控系统</w:t>
      </w:r>
      <w:r>
        <w:rPr>
          <w:rFonts w:hint="eastAsia" w:ascii="Times New Roman" w:hAnsi="Times New Roman" w:eastAsia="宋体"/>
          <w:color w:val="auto"/>
          <w:kern w:val="0"/>
          <w:sz w:val="24"/>
          <w:highlight w:val="none"/>
          <w:lang w:val="en-US" w:eastAsia="zh-CN"/>
        </w:rPr>
        <w:t>等保证沉砂装置正常运行反冲洗流化要求的全套配件</w:t>
      </w:r>
      <w:r>
        <w:rPr>
          <w:rFonts w:hint="eastAsia" w:ascii="Times New Roman" w:hAnsi="Times New Roman" w:eastAsia="宋体"/>
          <w:color w:val="auto"/>
          <w:kern w:val="0"/>
          <w:sz w:val="24"/>
          <w:highlight w:val="none"/>
        </w:rPr>
        <w:t>。</w:t>
      </w:r>
    </w:p>
    <w:p w14:paraId="5727AFA4">
      <w:pPr>
        <w:pStyle w:val="86"/>
        <w:spacing w:line="360" w:lineRule="auto"/>
        <w:ind w:firstLine="420"/>
        <w:contextualSpacing/>
        <w:jc w:val="both"/>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lang w:val="en-US" w:eastAsia="zh-CN"/>
        </w:rPr>
        <w:t>1</w:t>
      </w:r>
      <w:r>
        <w:rPr>
          <w:rFonts w:hint="eastAsia" w:ascii="Times New Roman" w:hAnsi="Times New Roman" w:eastAsia="宋体"/>
          <w:color w:val="auto"/>
          <w:kern w:val="0"/>
          <w:sz w:val="24"/>
          <w:highlight w:val="none"/>
        </w:rPr>
        <w:t>）</w:t>
      </w:r>
      <w:r>
        <w:rPr>
          <w:rFonts w:hint="eastAsia" w:ascii="Times New Roman" w:hAnsi="Times New Roman" w:eastAsia="宋体"/>
          <w:color w:val="auto"/>
          <w:kern w:val="0"/>
          <w:sz w:val="24"/>
          <w:highlight w:val="none"/>
          <w:lang w:val="en-US" w:eastAsia="zh-CN"/>
        </w:rPr>
        <w:t>冲洗</w:t>
      </w:r>
      <w:r>
        <w:rPr>
          <w:rFonts w:hint="eastAsia" w:ascii="Times New Roman" w:hAnsi="Times New Roman" w:eastAsia="宋体"/>
          <w:color w:val="auto"/>
          <w:kern w:val="0"/>
          <w:sz w:val="24"/>
          <w:highlight w:val="none"/>
        </w:rPr>
        <w:t>泵采用立式多级离心泵。</w:t>
      </w:r>
    </w:p>
    <w:p w14:paraId="70B8134F">
      <w:pPr>
        <w:pStyle w:val="86"/>
        <w:spacing w:line="360" w:lineRule="auto"/>
        <w:ind w:firstLine="420"/>
        <w:contextualSpacing/>
        <w:jc w:val="both"/>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lang w:val="en-US" w:eastAsia="zh-CN"/>
        </w:rPr>
        <w:t>2</w:t>
      </w:r>
      <w:r>
        <w:rPr>
          <w:rFonts w:hint="eastAsia" w:ascii="Times New Roman" w:hAnsi="Times New Roman" w:eastAsia="宋体"/>
          <w:color w:val="auto"/>
          <w:kern w:val="0"/>
          <w:sz w:val="24"/>
          <w:highlight w:val="none"/>
        </w:rPr>
        <w:t>）正常运行时，距设备1m处噪音不超过75dB（A）。</w:t>
      </w:r>
    </w:p>
    <w:p w14:paraId="639844E6">
      <w:pPr>
        <w:pStyle w:val="86"/>
        <w:spacing w:line="360" w:lineRule="auto"/>
        <w:ind w:firstLine="420"/>
        <w:contextualSpacing/>
        <w:jc w:val="both"/>
        <w:rPr>
          <w:rFonts w:hint="eastAsia"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3）水泵完全满足水泵参数表的要求</w:t>
      </w:r>
      <w:r>
        <w:rPr>
          <w:rFonts w:hint="eastAsia" w:ascii="Times New Roman" w:hAnsi="Times New Roman" w:eastAsia="宋体"/>
          <w:color w:val="auto"/>
          <w:kern w:val="0"/>
          <w:sz w:val="24"/>
          <w:highlight w:val="none"/>
          <w:lang w:eastAsia="zh-CN"/>
        </w:rPr>
        <w:t>（</w:t>
      </w:r>
      <w:r>
        <w:rPr>
          <w:rFonts w:hint="eastAsia" w:ascii="宋体" w:hAnsi="宋体" w:eastAsia="宋体" w:cs="宋体"/>
          <w:i w:val="0"/>
          <w:iCs w:val="0"/>
          <w:color w:val="auto"/>
          <w:kern w:val="0"/>
          <w:sz w:val="24"/>
          <w:szCs w:val="24"/>
          <w:u w:val="none"/>
          <w:lang w:val="en-US" w:eastAsia="zh-CN" w:bidi="ar"/>
        </w:rPr>
        <w:t>Q=16m³/h,H=50m，N=4.0kW，1用1备</w:t>
      </w:r>
      <w:r>
        <w:rPr>
          <w:rFonts w:hint="eastAsia" w:ascii="Times New Roman" w:hAnsi="Times New Roman" w:eastAsia="宋体"/>
          <w:color w:val="auto"/>
          <w:kern w:val="0"/>
          <w:sz w:val="24"/>
          <w:highlight w:val="none"/>
          <w:lang w:eastAsia="zh-CN"/>
        </w:rPr>
        <w:t>）</w:t>
      </w:r>
      <w:r>
        <w:rPr>
          <w:rFonts w:hint="eastAsia" w:ascii="Times New Roman" w:hAnsi="Times New Roman" w:eastAsia="宋体"/>
          <w:color w:val="auto"/>
          <w:kern w:val="0"/>
          <w:sz w:val="24"/>
          <w:highlight w:val="none"/>
        </w:rPr>
        <w:t>，且在泵整个工作范围内不得有异常振动和汽蚀发生。水泵的Q/H曲线从关阀时的最大扬程开始呈连续下降，水泵的实际高效点与水泵特性曲线上的额定点一致。</w:t>
      </w:r>
    </w:p>
    <w:p w14:paraId="3C2A8001">
      <w:pPr>
        <w:pStyle w:val="86"/>
        <w:spacing w:line="360" w:lineRule="auto"/>
        <w:ind w:firstLine="420"/>
        <w:contextualSpacing/>
        <w:jc w:val="both"/>
        <w:rPr>
          <w:rFonts w:hint="eastAsia"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4）水泵能在短时间内允许逆向水流引起的反向旋转，反向最高转速为正常转速的130%。</w:t>
      </w:r>
    </w:p>
    <w:p w14:paraId="0DAAC359">
      <w:pPr>
        <w:pStyle w:val="86"/>
        <w:spacing w:line="360" w:lineRule="auto"/>
        <w:ind w:firstLine="420"/>
        <w:contextualSpacing/>
        <w:jc w:val="both"/>
        <w:rPr>
          <w:rFonts w:hint="eastAsia"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5）所配套的驱动电机具有足够的额定值，保证水泵在性能曲线（流量自零至界限点）的任何一点工作都不过载。电机额定输出功率与泵额定轴功率之比至少为1.15。</w:t>
      </w:r>
    </w:p>
    <w:p w14:paraId="70C264B5">
      <w:pPr>
        <w:pStyle w:val="86"/>
        <w:spacing w:line="360" w:lineRule="auto"/>
        <w:ind w:firstLine="420"/>
        <w:contextualSpacing/>
        <w:jc w:val="both"/>
        <w:rPr>
          <w:rFonts w:hint="eastAsia"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6）立式多级离心泵采用鼠笼式电机，电机性能不低于新标国家二级（IE3超高效电机）标准。</w:t>
      </w:r>
    </w:p>
    <w:p w14:paraId="4450C672">
      <w:pPr>
        <w:pStyle w:val="86"/>
        <w:spacing w:line="360" w:lineRule="auto"/>
        <w:ind w:firstLine="420"/>
        <w:contextualSpacing/>
        <w:jc w:val="both"/>
        <w:rPr>
          <w:rFonts w:hint="eastAsia"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工作电源：380V±10%、50Hz、3相；防护等级：IP55；绝缘等级：F级</w:t>
      </w:r>
    </w:p>
    <w:p w14:paraId="1ECEE2F9">
      <w:pPr>
        <w:pStyle w:val="86"/>
        <w:spacing w:line="360" w:lineRule="auto"/>
        <w:ind w:firstLine="420"/>
        <w:contextualSpacing/>
        <w:jc w:val="both"/>
        <w:rPr>
          <w:rFonts w:hint="eastAsia" w:ascii="Times New Roman" w:hAnsi="Times New Roman" w:eastAsia="宋体"/>
          <w:color w:val="auto"/>
          <w:kern w:val="0"/>
          <w:sz w:val="24"/>
          <w:highlight w:val="none"/>
          <w:lang w:val="en-US" w:eastAsia="zh-CN"/>
        </w:rPr>
      </w:pPr>
      <w:r>
        <w:rPr>
          <w:rFonts w:hint="eastAsia" w:ascii="Times New Roman" w:hAnsi="Times New Roman" w:eastAsia="宋体"/>
          <w:color w:val="auto"/>
          <w:kern w:val="0"/>
          <w:sz w:val="24"/>
          <w:highlight w:val="none"/>
          <w:lang w:val="en-US" w:eastAsia="zh-CN"/>
        </w:rPr>
        <w:t>7）</w:t>
      </w:r>
      <w:r>
        <w:rPr>
          <w:rFonts w:hint="eastAsia" w:ascii="Times New Roman" w:hAnsi="Times New Roman" w:eastAsia="宋体"/>
          <w:color w:val="auto"/>
          <w:kern w:val="0"/>
          <w:sz w:val="24"/>
          <w:highlight w:val="none"/>
        </w:rPr>
        <w:t>反冲洗流化系统所配置管路中要求配备压力表、流量计；池体内部管路分为送水管与流化环，流化环为环形管路，配置不少于4个喷头，喷头出口压力&gt;0.3 MPa，</w:t>
      </w:r>
      <w:r>
        <w:rPr>
          <w:rFonts w:hint="eastAsia" w:ascii="Times New Roman" w:hAnsi="Times New Roman" w:eastAsia="宋体"/>
          <w:color w:val="auto"/>
          <w:kern w:val="0"/>
          <w:sz w:val="24"/>
          <w:highlight w:val="none"/>
          <w:lang w:val="en-US" w:eastAsia="zh-CN"/>
        </w:rPr>
        <w:t>并与送水管螺纹连接。</w:t>
      </w:r>
    </w:p>
    <w:p w14:paraId="76340C91">
      <w:pPr>
        <w:pStyle w:val="86"/>
        <w:spacing w:line="360" w:lineRule="auto"/>
        <w:ind w:firstLine="420"/>
        <w:contextualSpacing/>
        <w:jc w:val="both"/>
        <w:rPr>
          <w:rFonts w:hint="eastAsia"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8）主要零部件材质：</w:t>
      </w:r>
    </w:p>
    <w:p w14:paraId="44AE49D8">
      <w:pPr>
        <w:pStyle w:val="86"/>
        <w:spacing w:line="360" w:lineRule="auto"/>
        <w:ind w:firstLine="420"/>
        <w:contextualSpacing/>
        <w:jc w:val="both"/>
        <w:rPr>
          <w:rFonts w:hint="eastAsia"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泵体：HT250  叶轮：不锈钢SS304   泵轴：不锈钢2Cr13</w:t>
      </w:r>
    </w:p>
    <w:p w14:paraId="3EF9091C">
      <w:pPr>
        <w:pStyle w:val="86"/>
        <w:keepNext w:val="0"/>
        <w:keepLines w:val="0"/>
        <w:pageBreakBefore w:val="0"/>
        <w:widowControl w:val="0"/>
        <w:kinsoku/>
        <w:wordWrap/>
        <w:overflowPunct/>
        <w:topLinePunct w:val="0"/>
        <w:autoSpaceDE/>
        <w:autoSpaceDN/>
        <w:bidi w:val="0"/>
        <w:adjustRightInd w:val="0"/>
        <w:snapToGrid w:val="0"/>
        <w:spacing w:line="360" w:lineRule="auto"/>
        <w:ind w:firstLine="468" w:firstLineChars="195"/>
        <w:jc w:val="both"/>
        <w:textAlignment w:val="auto"/>
        <w:rPr>
          <w:rFonts w:hint="eastAsia" w:ascii="Times New Roman" w:hAnsi="Times New Roman" w:eastAsia="宋体"/>
          <w:color w:val="auto"/>
          <w:kern w:val="0"/>
          <w:sz w:val="24"/>
          <w:highlight w:val="none"/>
        </w:rPr>
      </w:pPr>
      <w:r>
        <w:rPr>
          <w:rFonts w:hint="eastAsia" w:ascii="宋体" w:hAnsi="宋体" w:eastAsia="宋体" w:cs="宋体"/>
          <w:color w:val="auto"/>
          <w:sz w:val="24"/>
          <w:szCs w:val="20"/>
        </w:rPr>
        <w:t>池体范围内管路及紧固件：水上不锈钢SS304、水下不锈钢SS316</w:t>
      </w:r>
    </w:p>
    <w:p w14:paraId="018AB96D">
      <w:pPr>
        <w:pStyle w:val="86"/>
        <w:keepNext w:val="0"/>
        <w:keepLines w:val="0"/>
        <w:pageBreakBefore w:val="0"/>
        <w:widowControl w:val="0"/>
        <w:kinsoku/>
        <w:wordWrap/>
        <w:overflowPunct/>
        <w:topLinePunct w:val="0"/>
        <w:autoSpaceDE/>
        <w:autoSpaceDN/>
        <w:bidi w:val="0"/>
        <w:adjustRightInd w:val="0"/>
        <w:snapToGrid w:val="0"/>
        <w:spacing w:line="360" w:lineRule="auto"/>
        <w:ind w:firstLine="420"/>
        <w:contextualSpacing/>
        <w:jc w:val="both"/>
        <w:textAlignment w:val="auto"/>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lang w:val="en-US" w:eastAsia="zh-CN"/>
        </w:rPr>
        <w:t>9</w:t>
      </w:r>
      <w:r>
        <w:rPr>
          <w:rFonts w:hint="eastAsia" w:ascii="Times New Roman" w:hAnsi="Times New Roman" w:eastAsia="宋体"/>
          <w:color w:val="auto"/>
          <w:kern w:val="0"/>
          <w:sz w:val="24"/>
          <w:highlight w:val="none"/>
        </w:rPr>
        <w:t>）不锈钢水箱：</w:t>
      </w:r>
    </w:p>
    <w:p w14:paraId="171E7BA8">
      <w:pPr>
        <w:pStyle w:val="86"/>
        <w:spacing w:line="360" w:lineRule="auto"/>
        <w:ind w:firstLine="420"/>
        <w:contextualSpacing/>
        <w:jc w:val="both"/>
        <w:rPr>
          <w:rFonts w:hint="eastAsia"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 xml:space="preserve">   V=8</w:t>
      </w:r>
      <w:r>
        <w:rPr>
          <w:rFonts w:hint="eastAsia" w:ascii="Times New Roman" w:hAnsi="Times New Roman" w:eastAsia="宋体"/>
          <w:color w:val="auto"/>
          <w:kern w:val="0"/>
          <w:sz w:val="24"/>
          <w:highlight w:val="none"/>
          <w:lang w:val="en-US" w:eastAsia="zh-CN"/>
        </w:rPr>
        <w:t>m³</w:t>
      </w:r>
      <w:r>
        <w:rPr>
          <w:rFonts w:hint="eastAsia" w:ascii="Times New Roman" w:hAnsi="Times New Roman" w:eastAsia="宋体"/>
          <w:color w:val="auto"/>
          <w:kern w:val="0"/>
          <w:sz w:val="24"/>
          <w:highlight w:val="none"/>
        </w:rPr>
        <w:t>。拼装组合式成品不锈钢保温水箱，不锈钢SUS304材质，含液位计、进水遥控浮球阀、溢流放空管、通气管、带锁具人孔盖板、直爬梯。</w:t>
      </w:r>
    </w:p>
    <w:p w14:paraId="42681F7E">
      <w:pPr>
        <w:pStyle w:val="86"/>
        <w:numPr>
          <w:ilvl w:val="0"/>
          <w:numId w:val="20"/>
        </w:numPr>
        <w:spacing w:line="360" w:lineRule="auto"/>
        <w:ind w:firstLine="420"/>
        <w:contextualSpacing/>
        <w:jc w:val="both"/>
        <w:rPr>
          <w:rFonts w:hint="default" w:ascii="Times New Roman" w:hAnsi="Times New Roman" w:eastAsia="宋体"/>
          <w:color w:val="auto"/>
          <w:kern w:val="0"/>
          <w:sz w:val="24"/>
          <w:highlight w:val="none"/>
          <w:lang w:val="en-US" w:eastAsia="zh-CN"/>
        </w:rPr>
      </w:pPr>
      <w:r>
        <w:rPr>
          <w:rFonts w:hint="eastAsia" w:ascii="Times New Roman" w:hAnsi="Times New Roman" w:eastAsia="宋体"/>
          <w:color w:val="auto"/>
          <w:kern w:val="0"/>
          <w:sz w:val="24"/>
          <w:highlight w:val="none"/>
          <w:lang w:val="en-US" w:eastAsia="zh-CN"/>
        </w:rPr>
        <w:t>气压罐：</w:t>
      </w:r>
      <w:r>
        <w:rPr>
          <w:rFonts w:hint="eastAsia" w:ascii="Times New Roman" w:hAnsi="Times New Roman" w:eastAsia="宋体"/>
          <w:color w:val="auto"/>
          <w:kern w:val="0"/>
          <w:sz w:val="24"/>
          <w:highlight w:val="none"/>
        </w:rPr>
        <w:t>Ø600mm</w:t>
      </w:r>
      <w:r>
        <w:rPr>
          <w:rFonts w:hint="eastAsia" w:ascii="Times New Roman" w:hAnsi="Times New Roman" w:eastAsia="宋体"/>
          <w:color w:val="auto"/>
          <w:kern w:val="0"/>
          <w:sz w:val="24"/>
          <w:highlight w:val="none"/>
          <w:lang w:eastAsia="zh-CN"/>
        </w:rPr>
        <w:t>，</w:t>
      </w:r>
      <w:r>
        <w:rPr>
          <w:rFonts w:hint="eastAsia" w:ascii="Times New Roman" w:hAnsi="Times New Roman" w:eastAsia="宋体"/>
          <w:color w:val="auto"/>
          <w:kern w:val="0"/>
          <w:sz w:val="24"/>
          <w:highlight w:val="none"/>
          <w:lang w:val="en-US" w:eastAsia="zh-CN"/>
        </w:rPr>
        <w:t>隔膜式气压罐。</w:t>
      </w:r>
    </w:p>
    <w:p w14:paraId="764C4BAB">
      <w:pPr>
        <w:pStyle w:val="86"/>
        <w:spacing w:line="360" w:lineRule="auto"/>
        <w:ind w:firstLine="420"/>
        <w:contextualSpacing/>
        <w:jc w:val="both"/>
        <w:rPr>
          <w:rFonts w:hint="eastAsia" w:ascii="Times New Roman" w:hAnsi="Times New Roman" w:eastAsia="宋体"/>
          <w:b/>
          <w:bCs/>
          <w:color w:val="auto"/>
          <w:kern w:val="0"/>
          <w:sz w:val="24"/>
          <w:highlight w:val="none"/>
          <w:lang w:val="en-US" w:eastAsia="zh-CN"/>
        </w:rPr>
      </w:pPr>
      <w:r>
        <w:rPr>
          <w:rFonts w:hint="eastAsia" w:ascii="Times New Roman" w:hAnsi="Times New Roman" w:eastAsia="宋体"/>
          <w:b/>
          <w:bCs/>
          <w:color w:val="auto"/>
          <w:kern w:val="0"/>
          <w:sz w:val="24"/>
          <w:highlight w:val="none"/>
          <w:lang w:val="en-US" w:eastAsia="zh-CN"/>
        </w:rPr>
        <w:t>抽砂泵</w:t>
      </w:r>
    </w:p>
    <w:p w14:paraId="1F0E0D9D">
      <w:pPr>
        <w:pStyle w:val="86"/>
        <w:spacing w:line="360" w:lineRule="auto"/>
        <w:ind w:firstLine="420"/>
        <w:contextualSpacing/>
        <w:jc w:val="both"/>
        <w:rPr>
          <w:rFonts w:hint="eastAsia" w:ascii="Times New Roman" w:hAnsi="Times New Roman" w:eastAsia="宋体"/>
          <w:color w:val="auto"/>
          <w:kern w:val="0"/>
          <w:sz w:val="24"/>
          <w:highlight w:val="none"/>
        </w:rPr>
      </w:pPr>
      <w:r>
        <w:rPr>
          <w:rFonts w:hint="eastAsia" w:ascii="宋体" w:hAnsi="宋体" w:eastAsia="宋体" w:cs="宋体"/>
          <w:color w:val="auto"/>
          <w:sz w:val="24"/>
          <w:szCs w:val="24"/>
        </w:rPr>
        <w:t>1</w:t>
      </w:r>
      <w:r>
        <w:rPr>
          <w:rFonts w:hint="eastAsia" w:ascii="Times New Roman" w:hAnsi="Times New Roman" w:eastAsia="宋体"/>
          <w:color w:val="auto"/>
          <w:kern w:val="0"/>
          <w:sz w:val="24"/>
          <w:highlight w:val="none"/>
        </w:rPr>
        <w:t>）</w:t>
      </w:r>
      <w:r>
        <w:rPr>
          <w:rFonts w:hint="eastAsia" w:ascii="Times New Roman" w:hAnsi="Times New Roman" w:eastAsia="宋体"/>
          <w:color w:val="auto"/>
          <w:kern w:val="0"/>
          <w:sz w:val="24"/>
          <w:highlight w:val="none"/>
          <w:lang w:val="en-US" w:eastAsia="zh-CN"/>
        </w:rPr>
        <w:t>抽砂</w:t>
      </w:r>
      <w:r>
        <w:rPr>
          <w:rFonts w:hint="eastAsia" w:ascii="Times New Roman" w:hAnsi="Times New Roman" w:eastAsia="宋体"/>
          <w:color w:val="auto"/>
          <w:kern w:val="0"/>
          <w:sz w:val="24"/>
          <w:highlight w:val="none"/>
        </w:rPr>
        <w:t>泵应采用专用吸砂泵，涡流式后置叶轮，保证输送介质（不大于65 mm）自由流动通过泵壳。</w:t>
      </w:r>
    </w:p>
    <w:p w14:paraId="4129FE4F">
      <w:pPr>
        <w:pStyle w:val="86"/>
        <w:spacing w:line="360" w:lineRule="auto"/>
        <w:ind w:firstLine="420"/>
        <w:contextualSpacing/>
        <w:jc w:val="both"/>
        <w:rPr>
          <w:rFonts w:hint="default" w:ascii="Times New Roman" w:hAnsi="Times New Roman" w:eastAsia="宋体"/>
          <w:color w:val="auto"/>
          <w:kern w:val="0"/>
          <w:sz w:val="24"/>
          <w:highlight w:val="none"/>
          <w:lang w:val="en-US" w:eastAsia="zh-CN"/>
        </w:rPr>
      </w:pPr>
      <w:r>
        <w:rPr>
          <w:rFonts w:hint="eastAsia" w:ascii="Times New Roman" w:hAnsi="Times New Roman" w:eastAsia="宋体"/>
          <w:color w:val="auto"/>
          <w:kern w:val="0"/>
          <w:sz w:val="24"/>
          <w:highlight w:val="none"/>
        </w:rPr>
        <w:t>2）</w:t>
      </w:r>
      <w:r>
        <w:rPr>
          <w:rFonts w:hint="eastAsia" w:ascii="Times New Roman" w:hAnsi="Times New Roman" w:eastAsia="宋体"/>
          <w:color w:val="auto"/>
          <w:kern w:val="0"/>
          <w:sz w:val="24"/>
          <w:highlight w:val="none"/>
          <w:lang w:val="en-US" w:eastAsia="zh-CN"/>
        </w:rPr>
        <w:t>技术参数：Q=40m³/h，H=6m，N=2.2kW；安</w:t>
      </w:r>
      <w:r>
        <w:rPr>
          <w:rFonts w:hint="eastAsia" w:ascii="Times New Roman" w:hAnsi="Times New Roman" w:eastAsia="宋体"/>
          <w:color w:val="auto"/>
          <w:kern w:val="0"/>
          <w:sz w:val="24"/>
          <w:highlight w:val="none"/>
        </w:rPr>
        <w:t>装地点：沉砂池外部；安装方式：干式安装；设备数量：</w:t>
      </w:r>
      <w:r>
        <w:rPr>
          <w:rFonts w:hint="eastAsia" w:ascii="Times New Roman" w:hAnsi="Times New Roman" w:eastAsia="宋体"/>
          <w:color w:val="auto"/>
          <w:kern w:val="0"/>
          <w:sz w:val="24"/>
          <w:highlight w:val="none"/>
          <w:lang w:val="en-US" w:eastAsia="zh-CN"/>
        </w:rPr>
        <w:t>2套</w:t>
      </w:r>
      <w:r>
        <w:rPr>
          <w:rFonts w:hint="eastAsia" w:ascii="Times New Roman" w:hAnsi="Times New Roman" w:eastAsia="宋体"/>
          <w:color w:val="auto"/>
          <w:kern w:val="0"/>
          <w:sz w:val="24"/>
          <w:highlight w:val="none"/>
          <w:lang w:eastAsia="zh-CN"/>
        </w:rPr>
        <w:t>，</w:t>
      </w:r>
      <w:r>
        <w:rPr>
          <w:rFonts w:hint="eastAsia" w:ascii="Times New Roman" w:hAnsi="Times New Roman" w:eastAsia="宋体"/>
          <w:color w:val="auto"/>
          <w:kern w:val="0"/>
          <w:sz w:val="24"/>
          <w:highlight w:val="none"/>
          <w:lang w:val="en-US" w:eastAsia="zh-CN"/>
        </w:rPr>
        <w:t>一用一备</w:t>
      </w:r>
    </w:p>
    <w:p w14:paraId="61190484">
      <w:pPr>
        <w:pStyle w:val="86"/>
        <w:spacing w:line="360" w:lineRule="auto"/>
        <w:ind w:firstLine="420"/>
        <w:contextualSpacing/>
        <w:jc w:val="both"/>
        <w:rPr>
          <w:rFonts w:hint="eastAsia"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3）吸砂泵电机防护等级：IP</w:t>
      </w:r>
      <w:r>
        <w:rPr>
          <w:rFonts w:hint="eastAsia" w:ascii="Times New Roman" w:hAnsi="Times New Roman" w:eastAsia="宋体"/>
          <w:color w:val="auto"/>
          <w:kern w:val="0"/>
          <w:sz w:val="24"/>
          <w:highlight w:val="none"/>
          <w:lang w:val="en-US" w:eastAsia="zh-CN"/>
        </w:rPr>
        <w:t>56</w:t>
      </w:r>
      <w:r>
        <w:rPr>
          <w:rFonts w:hint="eastAsia" w:ascii="Times New Roman" w:hAnsi="Times New Roman" w:eastAsia="宋体"/>
          <w:color w:val="auto"/>
          <w:kern w:val="0"/>
          <w:sz w:val="24"/>
          <w:highlight w:val="none"/>
        </w:rPr>
        <w:t>；绝缘等级：F级</w:t>
      </w:r>
    </w:p>
    <w:p w14:paraId="7EE44648">
      <w:pPr>
        <w:pStyle w:val="86"/>
        <w:spacing w:line="360" w:lineRule="auto"/>
        <w:ind w:firstLine="420"/>
        <w:contextualSpacing/>
        <w:jc w:val="both"/>
        <w:rPr>
          <w:rFonts w:hint="eastAsia"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4）砂泵控制能就地操作也能远程控制，可连续24小时运行，也可间断运行</w:t>
      </w:r>
    </w:p>
    <w:p w14:paraId="1124BC9D">
      <w:pPr>
        <w:pStyle w:val="86"/>
        <w:spacing w:line="360" w:lineRule="auto"/>
        <w:ind w:firstLine="420"/>
        <w:contextualSpacing/>
        <w:jc w:val="both"/>
        <w:rPr>
          <w:rFonts w:hint="eastAsia"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5）电机：电机为鼠笼式感应电动机，在要求的工作转速下，电机必须能输出足够的动力使砂泵正常运行，电机的防潮绝缘等级为F级，工作温度可至155℃。定子三次浸F级绝缘漆。</w:t>
      </w:r>
    </w:p>
    <w:p w14:paraId="69151D41">
      <w:pPr>
        <w:pStyle w:val="86"/>
        <w:spacing w:line="360" w:lineRule="auto"/>
        <w:ind w:firstLine="420"/>
        <w:contextualSpacing/>
        <w:jc w:val="both"/>
        <w:rPr>
          <w:rFonts w:hint="eastAsia"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6）电机设计为可在泵送40℃介质时及温升不超过85℃的情况下连续运转。</w:t>
      </w:r>
    </w:p>
    <w:p w14:paraId="2D5D1193">
      <w:pPr>
        <w:pStyle w:val="86"/>
        <w:spacing w:line="360" w:lineRule="auto"/>
        <w:ind w:firstLine="420"/>
        <w:contextualSpacing/>
        <w:jc w:val="both"/>
        <w:rPr>
          <w:rFonts w:hint="eastAsia"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7）电机和泵均由同一供货商设计、制造及装配。复合服务系数（电压、频率或特定重力的复合影响）最小为1.15。</w:t>
      </w:r>
    </w:p>
    <w:p w14:paraId="66541508">
      <w:pPr>
        <w:pStyle w:val="86"/>
        <w:spacing w:line="360" w:lineRule="auto"/>
        <w:ind w:firstLine="420"/>
        <w:contextualSpacing/>
        <w:jc w:val="both"/>
        <w:rPr>
          <w:rFonts w:hint="eastAsia"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8）主要部件材料</w:t>
      </w:r>
    </w:p>
    <w:p w14:paraId="3DD72883">
      <w:pPr>
        <w:pStyle w:val="86"/>
        <w:spacing w:line="360" w:lineRule="auto"/>
        <w:ind w:firstLine="420"/>
        <w:contextualSpacing/>
        <w:jc w:val="both"/>
        <w:rPr>
          <w:rFonts w:hint="eastAsia" w:ascii="宋体" w:hAnsi="宋体" w:eastAsia="宋体" w:cs="宋体"/>
          <w:i w:val="0"/>
          <w:iCs w:val="0"/>
          <w:color w:val="auto"/>
          <w:kern w:val="0"/>
          <w:sz w:val="22"/>
          <w:szCs w:val="22"/>
          <w:u w:val="none"/>
          <w:lang w:val="en-US" w:eastAsia="zh-CN" w:bidi="ar"/>
        </w:rPr>
      </w:pPr>
      <w:r>
        <w:rPr>
          <w:rFonts w:hint="eastAsia" w:ascii="Times New Roman" w:hAnsi="Times New Roman" w:eastAsia="宋体"/>
          <w:color w:val="auto"/>
          <w:kern w:val="0"/>
          <w:sz w:val="24"/>
          <w:highlight w:val="none"/>
        </w:rPr>
        <w:t>泵体：HT250  叶轮：HT250   泵轴：不锈钢2Cr13</w:t>
      </w:r>
    </w:p>
    <w:p w14:paraId="54F0EE83">
      <w:pPr>
        <w:pStyle w:val="86"/>
        <w:spacing w:line="360" w:lineRule="auto"/>
        <w:ind w:firstLine="420"/>
        <w:contextualSpacing/>
        <w:jc w:val="both"/>
        <w:rPr>
          <w:rFonts w:ascii="Times New Roman" w:hAnsi="Times New Roman" w:eastAsia="宋体"/>
          <w:color w:val="auto"/>
          <w:kern w:val="0"/>
          <w:sz w:val="24"/>
          <w:highlight w:val="none"/>
        </w:rPr>
      </w:pPr>
      <w:r>
        <w:rPr>
          <w:rFonts w:hint="eastAsia" w:ascii="Times New Roman" w:hAnsi="Times New Roman" w:eastAsia="宋体"/>
          <w:b/>
          <w:bCs/>
          <w:color w:val="auto"/>
          <w:kern w:val="0"/>
          <w:sz w:val="24"/>
          <w:highlight w:val="none"/>
        </w:rPr>
        <w:t>洗砂</w:t>
      </w:r>
      <w:r>
        <w:rPr>
          <w:rFonts w:hint="eastAsia" w:ascii="Times New Roman" w:hAnsi="Times New Roman" w:eastAsia="宋体"/>
          <w:b/>
          <w:bCs/>
          <w:color w:val="auto"/>
          <w:kern w:val="0"/>
          <w:sz w:val="24"/>
          <w:highlight w:val="none"/>
          <w:lang w:val="en-US" w:eastAsia="zh-CN"/>
        </w:rPr>
        <w:t>分砂</w:t>
      </w:r>
      <w:r>
        <w:rPr>
          <w:rFonts w:hint="eastAsia" w:ascii="Times New Roman" w:hAnsi="Times New Roman" w:eastAsia="宋体"/>
          <w:b/>
          <w:bCs/>
          <w:color w:val="auto"/>
          <w:kern w:val="0"/>
          <w:sz w:val="24"/>
          <w:highlight w:val="none"/>
        </w:rPr>
        <w:t>一体机</w:t>
      </w:r>
    </w:p>
    <w:p w14:paraId="76F41CAC">
      <w:pPr>
        <w:pStyle w:val="88"/>
        <w:snapToGrid w:val="0"/>
        <w:spacing w:line="360" w:lineRule="auto"/>
        <w:ind w:firstLine="480"/>
        <w:contextualSpacing/>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1）洗砂</w:t>
      </w:r>
      <w:r>
        <w:rPr>
          <w:rFonts w:hint="eastAsia" w:ascii="Times New Roman" w:hAnsi="Times New Roman"/>
          <w:snapToGrid w:val="0"/>
          <w:color w:val="auto"/>
          <w:kern w:val="0"/>
          <w:highlight w:val="none"/>
          <w:lang w:val="en-US" w:eastAsia="zh-CN"/>
        </w:rPr>
        <w:t>分砂</w:t>
      </w:r>
      <w:r>
        <w:rPr>
          <w:rFonts w:hint="eastAsia" w:ascii="Times New Roman" w:hAnsi="Times New Roman"/>
          <w:snapToGrid w:val="0"/>
          <w:color w:val="auto"/>
          <w:kern w:val="0"/>
          <w:highlight w:val="none"/>
        </w:rPr>
        <w:t>一体机对精准除砂装置的沉砂进一步洗涤并分离出来，</w:t>
      </w:r>
      <w:r>
        <w:rPr>
          <w:rFonts w:ascii="Times New Roman" w:hAnsi="Times New Roman"/>
          <w:snapToGrid w:val="0"/>
          <w:color w:val="auto"/>
          <w:kern w:val="0"/>
          <w:highlight w:val="none"/>
        </w:rPr>
        <w:t>通过分离并去除砂粒，减缓后续污水、污泥处理工艺中由于砂对构筑物、设施及机械的破坏和影响。</w:t>
      </w:r>
      <w:r>
        <w:rPr>
          <w:rFonts w:hint="eastAsia" w:ascii="Times New Roman" w:hAnsi="Times New Roman"/>
          <w:snapToGrid w:val="0"/>
          <w:color w:val="auto"/>
          <w:kern w:val="0"/>
          <w:highlight w:val="none"/>
        </w:rPr>
        <w:t>抽砂泵出水沿切线方向进入洗砂、砂水分离一体机，通过水力旋流、搅拌及压力水的冲洗进行砂粒的洗涤，落入砂水分离器底部的砂粒最终由螺旋输送机分离出来，落入</w:t>
      </w:r>
      <w:r>
        <w:rPr>
          <w:rFonts w:hint="eastAsia" w:ascii="Times New Roman" w:hAnsi="Times New Roman"/>
          <w:snapToGrid w:val="0"/>
          <w:color w:val="auto"/>
          <w:kern w:val="0"/>
          <w:highlight w:val="none"/>
          <w:lang w:val="en-US" w:eastAsia="zh-CN"/>
        </w:rPr>
        <w:t>栅渣</w:t>
      </w:r>
      <w:r>
        <w:rPr>
          <w:rFonts w:hint="eastAsia" w:ascii="Times New Roman" w:hAnsi="Times New Roman"/>
          <w:snapToGrid w:val="0"/>
          <w:color w:val="auto"/>
          <w:kern w:val="0"/>
          <w:highlight w:val="none"/>
        </w:rPr>
        <w:t>小车，定期外运。洗砂、砂水分离一体机上部污水通过排水管道引入厂区污水管道。</w:t>
      </w:r>
    </w:p>
    <w:p w14:paraId="486857FC">
      <w:pPr>
        <w:pStyle w:val="88"/>
        <w:snapToGrid w:val="0"/>
        <w:spacing w:line="360" w:lineRule="auto"/>
        <w:ind w:firstLine="480"/>
        <w:contextualSpacing/>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洗砂、砂水分离一体机由砂水分离槽和</w:t>
      </w:r>
      <w:r>
        <w:rPr>
          <w:rFonts w:hint="eastAsia" w:ascii="Times New Roman" w:hAnsi="Times New Roman"/>
          <w:snapToGrid w:val="0"/>
          <w:color w:val="auto"/>
          <w:kern w:val="0"/>
          <w:highlight w:val="none"/>
          <w:lang w:val="en-US" w:eastAsia="zh-CN"/>
        </w:rPr>
        <w:t>有轴</w:t>
      </w:r>
      <w:r>
        <w:rPr>
          <w:rFonts w:hint="eastAsia" w:ascii="Times New Roman" w:hAnsi="Times New Roman"/>
          <w:snapToGrid w:val="0"/>
          <w:color w:val="auto"/>
          <w:kern w:val="0"/>
          <w:highlight w:val="none"/>
        </w:rPr>
        <w:t>螺旋输输送机组成。</w:t>
      </w:r>
    </w:p>
    <w:p w14:paraId="665821F1">
      <w:pPr>
        <w:pStyle w:val="88"/>
        <w:snapToGrid w:val="0"/>
        <w:spacing w:line="360" w:lineRule="auto"/>
        <w:ind w:firstLine="480"/>
        <w:contextualSpacing/>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2）洗砂</w:t>
      </w:r>
      <w:r>
        <w:rPr>
          <w:rFonts w:hint="eastAsia" w:ascii="Times New Roman" w:hAnsi="Times New Roman"/>
          <w:snapToGrid w:val="0"/>
          <w:color w:val="auto"/>
          <w:kern w:val="0"/>
          <w:highlight w:val="none"/>
          <w:lang w:val="en-US" w:eastAsia="zh-CN"/>
        </w:rPr>
        <w:t>分砂</w:t>
      </w:r>
      <w:r>
        <w:rPr>
          <w:rFonts w:hint="eastAsia" w:ascii="Times New Roman" w:hAnsi="Times New Roman"/>
          <w:snapToGrid w:val="0"/>
          <w:color w:val="auto"/>
          <w:kern w:val="0"/>
          <w:highlight w:val="none"/>
        </w:rPr>
        <w:t>一体机技术性能要求：</w:t>
      </w:r>
    </w:p>
    <w:p w14:paraId="207898EC">
      <w:pPr>
        <w:pStyle w:val="86"/>
        <w:spacing w:line="360" w:lineRule="auto"/>
        <w:ind w:firstLine="720" w:firstLineChars="300"/>
        <w:contextualSpacing/>
        <w:jc w:val="both"/>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处理能力4</w:t>
      </w:r>
      <w:r>
        <w:rPr>
          <w:rFonts w:hint="eastAsia" w:ascii="Times New Roman" w:hAnsi="Times New Roman" w:eastAsia="宋体"/>
          <w:color w:val="auto"/>
          <w:kern w:val="0"/>
          <w:sz w:val="24"/>
          <w:highlight w:val="none"/>
          <w:lang w:val="en-US" w:eastAsia="zh-CN"/>
        </w:rPr>
        <w:t>2</w:t>
      </w:r>
      <w:r>
        <w:rPr>
          <w:rFonts w:ascii="Times New Roman" w:hAnsi="Times New Roman" w:eastAsia="宋体"/>
          <w:color w:val="auto"/>
          <w:kern w:val="0"/>
          <w:sz w:val="24"/>
          <w:highlight w:val="none"/>
        </w:rPr>
        <w:t xml:space="preserve"> m³/</w:t>
      </w:r>
      <w:r>
        <w:rPr>
          <w:rFonts w:hint="eastAsia" w:ascii="Times New Roman" w:hAnsi="Times New Roman" w:eastAsia="宋体"/>
          <w:color w:val="auto"/>
          <w:kern w:val="0"/>
          <w:sz w:val="24"/>
          <w:highlight w:val="none"/>
        </w:rPr>
        <w:t>h</w:t>
      </w:r>
      <w:r>
        <w:rPr>
          <w:rFonts w:ascii="Times New Roman" w:hAnsi="Times New Roman" w:eastAsia="宋体"/>
          <w:color w:val="auto"/>
          <w:kern w:val="0"/>
          <w:sz w:val="24"/>
          <w:highlight w:val="none"/>
        </w:rPr>
        <w:t>，</w:t>
      </w:r>
      <w:r>
        <w:rPr>
          <w:rFonts w:hint="eastAsia" w:ascii="Times New Roman" w:hAnsi="Times New Roman" w:eastAsia="宋体"/>
          <w:color w:val="auto"/>
          <w:kern w:val="0"/>
          <w:sz w:val="24"/>
          <w:highlight w:val="none"/>
        </w:rPr>
        <w:t>去除精度</w:t>
      </w:r>
      <w:r>
        <w:rPr>
          <w:rFonts w:ascii="Times New Roman" w:hAnsi="Times New Roman" w:eastAsia="宋体"/>
          <w:color w:val="auto"/>
          <w:kern w:val="0"/>
          <w:sz w:val="24"/>
          <w:highlight w:val="none"/>
        </w:rPr>
        <w:t>≥</w:t>
      </w:r>
      <w:r>
        <w:rPr>
          <w:rFonts w:hint="eastAsia" w:ascii="Times New Roman" w:hAnsi="Times New Roman" w:eastAsia="宋体"/>
          <w:color w:val="auto"/>
          <w:kern w:val="0"/>
          <w:sz w:val="24"/>
          <w:highlight w:val="none"/>
        </w:rPr>
        <w:t>106μm，</w:t>
      </w:r>
      <w:r>
        <w:rPr>
          <w:rFonts w:ascii="Times New Roman" w:hAnsi="Times New Roman" w:eastAsia="宋体"/>
          <w:color w:val="auto"/>
          <w:kern w:val="0"/>
          <w:sz w:val="24"/>
          <w:highlight w:val="none"/>
        </w:rPr>
        <w:t>去除率≥</w:t>
      </w:r>
      <w:r>
        <w:rPr>
          <w:rFonts w:hint="eastAsia" w:ascii="Times New Roman" w:hAnsi="Times New Roman" w:eastAsia="宋体"/>
          <w:color w:val="auto"/>
          <w:kern w:val="0"/>
          <w:sz w:val="24"/>
          <w:highlight w:val="none"/>
        </w:rPr>
        <w:t>85</w:t>
      </w:r>
      <w:r>
        <w:rPr>
          <w:rFonts w:ascii="Times New Roman" w:hAnsi="Times New Roman" w:eastAsia="宋体"/>
          <w:color w:val="auto"/>
          <w:kern w:val="0"/>
          <w:sz w:val="24"/>
          <w:highlight w:val="none"/>
        </w:rPr>
        <w:t>%；</w:t>
      </w:r>
    </w:p>
    <w:p w14:paraId="025CE1E0">
      <w:pPr>
        <w:pStyle w:val="88"/>
        <w:snapToGrid w:val="0"/>
        <w:spacing w:line="360" w:lineRule="auto"/>
        <w:ind w:firstLine="480"/>
        <w:contextualSpacing/>
        <w:rPr>
          <w:rFonts w:hint="eastAsia" w:ascii="Times New Roman" w:hAnsi="Times New Roman" w:eastAsia="宋体" w:cs="Times New Roman"/>
          <w:snapToGrid w:val="0"/>
          <w:color w:val="auto"/>
          <w:kern w:val="0"/>
          <w:highlight w:val="none"/>
        </w:rPr>
      </w:pPr>
      <w:r>
        <w:rPr>
          <w:rFonts w:hint="eastAsia" w:ascii="Times New Roman" w:hAnsi="Times New Roman" w:eastAsia="宋体" w:cs="Times New Roman"/>
          <w:snapToGrid w:val="0"/>
          <w:color w:val="auto"/>
          <w:kern w:val="0"/>
          <w:highlight w:val="none"/>
          <w:lang w:val="en-US" w:eastAsia="zh-CN"/>
        </w:rPr>
        <w:t>3</w:t>
      </w:r>
      <w:r>
        <w:rPr>
          <w:rFonts w:hint="eastAsia" w:ascii="Times New Roman" w:hAnsi="Times New Roman" w:eastAsia="宋体" w:cs="Times New Roman"/>
          <w:snapToGrid w:val="0"/>
          <w:color w:val="auto"/>
          <w:kern w:val="0"/>
          <w:highlight w:val="none"/>
        </w:rPr>
        <w:t>）</w:t>
      </w:r>
      <w:r>
        <w:rPr>
          <w:rFonts w:hint="eastAsia" w:ascii="Times New Roman" w:hAnsi="Times New Roman" w:eastAsia="宋体" w:cs="Times New Roman"/>
          <w:snapToGrid w:val="0"/>
          <w:color w:val="auto"/>
          <w:kern w:val="0"/>
          <w:highlight w:val="none"/>
          <w:lang w:val="en-US" w:eastAsia="zh-CN"/>
        </w:rPr>
        <w:t>有轴</w:t>
      </w:r>
      <w:r>
        <w:rPr>
          <w:rFonts w:hint="eastAsia" w:ascii="Times New Roman" w:hAnsi="Times New Roman" w:eastAsia="宋体" w:cs="Times New Roman"/>
          <w:snapToGrid w:val="0"/>
          <w:color w:val="auto"/>
          <w:kern w:val="0"/>
          <w:highlight w:val="none"/>
        </w:rPr>
        <w:t>螺旋输砂槽应与砂水分离槽结合成整体，由型钢支撑，并固定在混凝土的土建基础上。</w:t>
      </w:r>
    </w:p>
    <w:p w14:paraId="1377B7D1">
      <w:pPr>
        <w:pStyle w:val="88"/>
        <w:snapToGrid w:val="0"/>
        <w:spacing w:line="360" w:lineRule="auto"/>
        <w:ind w:firstLine="480"/>
        <w:contextualSpacing/>
        <w:rPr>
          <w:rFonts w:hint="eastAsia" w:ascii="Times New Roman" w:hAnsi="Times New Roman" w:eastAsia="宋体" w:cs="Times New Roman"/>
          <w:snapToGrid w:val="0"/>
          <w:color w:val="auto"/>
          <w:kern w:val="0"/>
          <w:highlight w:val="none"/>
        </w:rPr>
      </w:pPr>
      <w:r>
        <w:rPr>
          <w:rFonts w:hint="eastAsia" w:ascii="Times New Roman" w:hAnsi="Times New Roman" w:eastAsia="宋体" w:cs="Times New Roman"/>
          <w:snapToGrid w:val="0"/>
          <w:color w:val="auto"/>
          <w:kern w:val="0"/>
          <w:highlight w:val="none"/>
          <w:lang w:val="en-US" w:eastAsia="zh-CN"/>
        </w:rPr>
        <w:t>4</w:t>
      </w:r>
      <w:r>
        <w:rPr>
          <w:rFonts w:hint="eastAsia" w:ascii="Times New Roman" w:hAnsi="Times New Roman" w:eastAsia="宋体" w:cs="Times New Roman"/>
          <w:snapToGrid w:val="0"/>
          <w:color w:val="auto"/>
          <w:kern w:val="0"/>
          <w:highlight w:val="none"/>
        </w:rPr>
        <w:t>）</w:t>
      </w:r>
      <w:r>
        <w:rPr>
          <w:rFonts w:hint="eastAsia" w:ascii="Times New Roman" w:hAnsi="Times New Roman" w:eastAsia="宋体" w:cs="Times New Roman"/>
          <w:snapToGrid w:val="0"/>
          <w:color w:val="auto"/>
          <w:kern w:val="0"/>
          <w:highlight w:val="none"/>
          <w:lang w:val="en-US" w:eastAsia="zh-CN"/>
        </w:rPr>
        <w:t>有轴</w:t>
      </w:r>
      <w:r>
        <w:rPr>
          <w:rFonts w:hint="eastAsia" w:ascii="Times New Roman" w:hAnsi="Times New Roman" w:eastAsia="宋体" w:cs="Times New Roman"/>
          <w:snapToGrid w:val="0"/>
          <w:color w:val="auto"/>
          <w:kern w:val="0"/>
          <w:highlight w:val="none"/>
        </w:rPr>
        <w:t>螺旋输送槽形为U形断面，螺旋直径不小于260mm，安装角不大于30</w:t>
      </w:r>
      <w:r>
        <w:rPr>
          <w:rFonts w:hint="eastAsia" w:ascii="Times New Roman" w:hAnsi="Times New Roman" w:eastAsia="宋体" w:cs="Times New Roman"/>
          <w:snapToGrid w:val="0"/>
          <w:color w:val="auto"/>
          <w:kern w:val="0"/>
          <w:highlight w:val="none"/>
        </w:rPr>
        <w:sym w:font="Symbol" w:char="F0B0"/>
      </w:r>
      <w:r>
        <w:rPr>
          <w:rFonts w:hint="eastAsia" w:ascii="Times New Roman" w:hAnsi="Times New Roman" w:eastAsia="宋体" w:cs="Times New Roman"/>
          <w:snapToGrid w:val="0"/>
          <w:color w:val="auto"/>
          <w:kern w:val="0"/>
          <w:highlight w:val="none"/>
        </w:rPr>
        <w:t>，除进料口敞开外，其余部分应沿螺旋槽加盖封闭。</w:t>
      </w:r>
    </w:p>
    <w:p w14:paraId="019B0ED3">
      <w:pPr>
        <w:pStyle w:val="88"/>
        <w:snapToGrid w:val="0"/>
        <w:spacing w:line="360" w:lineRule="auto"/>
        <w:ind w:firstLine="480"/>
        <w:contextualSpacing/>
        <w:rPr>
          <w:rFonts w:hint="eastAsia" w:ascii="Times New Roman" w:hAnsi="Times New Roman" w:eastAsia="宋体" w:cs="Times New Roman"/>
          <w:snapToGrid w:val="0"/>
          <w:color w:val="auto"/>
          <w:kern w:val="0"/>
          <w:highlight w:val="none"/>
        </w:rPr>
      </w:pPr>
      <w:r>
        <w:rPr>
          <w:rFonts w:hint="eastAsia" w:ascii="Times New Roman" w:hAnsi="Times New Roman" w:eastAsia="宋体" w:cs="Times New Roman"/>
          <w:snapToGrid w:val="0"/>
          <w:color w:val="auto"/>
          <w:kern w:val="0"/>
          <w:highlight w:val="none"/>
          <w:lang w:val="en-US" w:eastAsia="zh-CN"/>
        </w:rPr>
        <w:t>5</w:t>
      </w:r>
      <w:r>
        <w:rPr>
          <w:rFonts w:hint="eastAsia" w:ascii="Times New Roman" w:hAnsi="Times New Roman" w:eastAsia="宋体" w:cs="Times New Roman"/>
          <w:snapToGrid w:val="0"/>
          <w:color w:val="auto"/>
          <w:kern w:val="0"/>
          <w:highlight w:val="none"/>
        </w:rPr>
        <w:t>）</w:t>
      </w:r>
      <w:r>
        <w:rPr>
          <w:rFonts w:hint="eastAsia" w:ascii="Times New Roman" w:hAnsi="Times New Roman" w:eastAsia="宋体" w:cs="Times New Roman"/>
          <w:snapToGrid w:val="0"/>
          <w:color w:val="auto"/>
          <w:kern w:val="0"/>
          <w:highlight w:val="none"/>
          <w:lang w:val="en-US" w:eastAsia="zh-CN"/>
        </w:rPr>
        <w:t>有轴</w:t>
      </w:r>
      <w:r>
        <w:rPr>
          <w:rFonts w:hint="eastAsia" w:ascii="Times New Roman" w:hAnsi="Times New Roman" w:eastAsia="宋体" w:cs="Times New Roman"/>
          <w:snapToGrid w:val="0"/>
          <w:color w:val="auto"/>
          <w:kern w:val="0"/>
          <w:highlight w:val="none"/>
        </w:rPr>
        <w:t>螺旋体的驱动装置的齿轮设计应符合ISO或等同标准，服务系数不小于2.0。齿轮为低合金钢，渗碳处理，齿面硬度不低于HRC58。电机防护等级IP65，电压等级为三相、380v、50Hz，F级绝缘，电机的额定功率应高于最大实耗功率10％以上。</w:t>
      </w:r>
    </w:p>
    <w:p w14:paraId="10D73AC8">
      <w:pPr>
        <w:pStyle w:val="88"/>
        <w:snapToGrid w:val="0"/>
        <w:spacing w:line="360" w:lineRule="auto"/>
        <w:ind w:firstLine="480"/>
        <w:contextualSpacing/>
        <w:rPr>
          <w:rFonts w:hint="eastAsia" w:ascii="Times New Roman" w:hAnsi="Times New Roman" w:eastAsia="宋体" w:cs="Times New Roman"/>
          <w:snapToGrid w:val="0"/>
          <w:color w:val="auto"/>
          <w:kern w:val="0"/>
          <w:highlight w:val="none"/>
        </w:rPr>
      </w:pPr>
      <w:r>
        <w:rPr>
          <w:rFonts w:hint="eastAsia" w:ascii="Times New Roman" w:hAnsi="Times New Roman" w:eastAsia="宋体" w:cs="Times New Roman"/>
          <w:snapToGrid w:val="0"/>
          <w:color w:val="auto"/>
          <w:kern w:val="0"/>
          <w:highlight w:val="none"/>
          <w:lang w:val="en-US" w:eastAsia="zh-CN"/>
        </w:rPr>
        <w:t>6</w:t>
      </w:r>
      <w:r>
        <w:rPr>
          <w:rFonts w:hint="eastAsia" w:ascii="Times New Roman" w:hAnsi="Times New Roman" w:eastAsia="宋体" w:cs="Times New Roman"/>
          <w:snapToGrid w:val="0"/>
          <w:color w:val="auto"/>
          <w:kern w:val="0"/>
          <w:highlight w:val="none"/>
        </w:rPr>
        <w:t>）电机减速机应不低于SEW、Nord的技术水平，减速机的使用寿命应不低于10年。</w:t>
      </w:r>
    </w:p>
    <w:p w14:paraId="0EEAD75A">
      <w:pPr>
        <w:pStyle w:val="88"/>
        <w:snapToGrid w:val="0"/>
        <w:spacing w:line="360" w:lineRule="auto"/>
        <w:ind w:firstLine="480"/>
        <w:contextualSpacing/>
        <w:rPr>
          <w:rFonts w:hint="eastAsia" w:ascii="Times New Roman" w:hAnsi="Times New Roman" w:eastAsia="宋体" w:cs="Times New Roman"/>
          <w:snapToGrid w:val="0"/>
          <w:color w:val="auto"/>
          <w:kern w:val="0"/>
          <w:highlight w:val="none"/>
        </w:rPr>
      </w:pPr>
      <w:r>
        <w:rPr>
          <w:rFonts w:hint="eastAsia" w:ascii="Times New Roman" w:hAnsi="Times New Roman" w:eastAsia="宋体" w:cs="Times New Roman"/>
          <w:snapToGrid w:val="0"/>
          <w:color w:val="auto"/>
          <w:kern w:val="0"/>
          <w:highlight w:val="none"/>
          <w:lang w:val="en-US" w:eastAsia="zh-CN"/>
        </w:rPr>
        <w:t>7</w:t>
      </w:r>
      <w:r>
        <w:rPr>
          <w:rFonts w:hint="eastAsia" w:ascii="Times New Roman" w:hAnsi="Times New Roman" w:eastAsia="宋体" w:cs="Times New Roman"/>
          <w:snapToGrid w:val="0"/>
          <w:color w:val="auto"/>
          <w:kern w:val="0"/>
          <w:highlight w:val="none"/>
        </w:rPr>
        <w:t>）</w:t>
      </w:r>
      <w:r>
        <w:rPr>
          <w:rFonts w:hint="eastAsia" w:ascii="Times New Roman" w:hAnsi="Times New Roman" w:eastAsia="宋体" w:cs="Times New Roman"/>
          <w:snapToGrid w:val="0"/>
          <w:color w:val="auto"/>
          <w:kern w:val="0"/>
          <w:highlight w:val="none"/>
          <w:lang w:eastAsia="zh-CN"/>
        </w:rPr>
        <w:t>高精度沉砂</w:t>
      </w:r>
      <w:r>
        <w:rPr>
          <w:rFonts w:hint="eastAsia" w:ascii="Times New Roman" w:hAnsi="Times New Roman" w:eastAsia="宋体" w:cs="Times New Roman"/>
          <w:snapToGrid w:val="0"/>
          <w:color w:val="auto"/>
          <w:kern w:val="0"/>
          <w:highlight w:val="none"/>
        </w:rPr>
        <w:t>池分砂机要求采用密封罩密封，使污水及废渣不能与操作层空气直接接触，落渣口封闭在密封罩内并在密封罩上开门以方便浮渣运出。</w:t>
      </w:r>
    </w:p>
    <w:p w14:paraId="12B823DF">
      <w:pPr>
        <w:pStyle w:val="88"/>
        <w:snapToGrid w:val="0"/>
        <w:spacing w:line="360" w:lineRule="auto"/>
        <w:ind w:firstLine="480"/>
        <w:contextualSpacing/>
        <w:rPr>
          <w:rFonts w:hint="eastAsia" w:ascii="Times New Roman" w:hAnsi="Times New Roman" w:eastAsia="宋体" w:cs="Times New Roman"/>
          <w:snapToGrid w:val="0"/>
          <w:color w:val="auto"/>
          <w:kern w:val="0"/>
          <w:highlight w:val="none"/>
        </w:rPr>
      </w:pPr>
      <w:r>
        <w:rPr>
          <w:rFonts w:hint="eastAsia" w:ascii="Times New Roman" w:hAnsi="Times New Roman" w:eastAsia="宋体" w:cs="Times New Roman"/>
          <w:snapToGrid w:val="0"/>
          <w:color w:val="auto"/>
          <w:kern w:val="0"/>
          <w:highlight w:val="none"/>
          <w:lang w:val="en-US" w:eastAsia="zh-CN"/>
        </w:rPr>
        <w:t>8</w:t>
      </w:r>
      <w:r>
        <w:rPr>
          <w:rFonts w:hint="eastAsia" w:ascii="Times New Roman" w:hAnsi="Times New Roman" w:eastAsia="宋体" w:cs="Times New Roman"/>
          <w:snapToGrid w:val="0"/>
          <w:color w:val="auto"/>
          <w:kern w:val="0"/>
          <w:highlight w:val="none"/>
        </w:rPr>
        <w:t>）</w:t>
      </w:r>
      <w:r>
        <w:rPr>
          <w:rFonts w:hint="eastAsia" w:ascii="Times New Roman" w:hAnsi="Times New Roman" w:eastAsia="宋体" w:cs="Times New Roman"/>
          <w:snapToGrid w:val="0"/>
          <w:color w:val="auto"/>
          <w:kern w:val="0"/>
          <w:highlight w:val="none"/>
          <w:lang w:eastAsia="zh-CN"/>
        </w:rPr>
        <w:t>槽</w:t>
      </w:r>
      <w:r>
        <w:rPr>
          <w:rFonts w:hint="eastAsia" w:ascii="Times New Roman" w:hAnsi="Times New Roman" w:eastAsia="宋体" w:cs="Times New Roman"/>
          <w:snapToGrid w:val="0"/>
          <w:color w:val="auto"/>
          <w:kern w:val="0"/>
          <w:highlight w:val="none"/>
        </w:rPr>
        <w:t>本体(包括密封盖)材料为不锈钢304。螺旋体材料为耐磨耐蚀特种钢。螺栓等紧固件材料为不锈钢304。密封罩材料为不锈钢304。</w:t>
      </w:r>
    </w:p>
    <w:p w14:paraId="45F7CD78">
      <w:pPr>
        <w:pStyle w:val="88"/>
        <w:snapToGrid w:val="0"/>
        <w:spacing w:line="360" w:lineRule="auto"/>
        <w:ind w:firstLine="480"/>
        <w:contextualSpacing/>
        <w:rPr>
          <w:rFonts w:hint="eastAsia" w:ascii="Times New Roman" w:hAnsi="Times New Roman" w:eastAsia="宋体" w:cs="Times New Roman"/>
          <w:snapToGrid w:val="0"/>
          <w:color w:val="auto"/>
          <w:kern w:val="0"/>
          <w:highlight w:val="none"/>
          <w:lang w:val="en-US" w:eastAsia="zh-CN"/>
        </w:rPr>
      </w:pPr>
      <w:r>
        <w:rPr>
          <w:rFonts w:hint="eastAsia" w:ascii="Times New Roman" w:hAnsi="Times New Roman" w:eastAsia="宋体" w:cs="Times New Roman"/>
          <w:snapToGrid w:val="0"/>
          <w:color w:val="auto"/>
          <w:kern w:val="0"/>
          <w:highlight w:val="none"/>
          <w:lang w:val="en-US" w:eastAsia="zh-CN"/>
        </w:rPr>
        <w:t>洗砂分砂一体机外部表面工艺</w:t>
      </w:r>
    </w:p>
    <w:p w14:paraId="7973FB02">
      <w:pPr>
        <w:pStyle w:val="88"/>
        <w:snapToGrid w:val="0"/>
        <w:spacing w:line="360" w:lineRule="auto"/>
        <w:ind w:firstLine="480"/>
        <w:contextualSpacing/>
        <w:rPr>
          <w:rFonts w:hint="eastAsia" w:ascii="Times New Roman" w:hAnsi="Times New Roman" w:eastAsia="宋体" w:cs="Times New Roman"/>
          <w:snapToGrid w:val="0"/>
          <w:color w:val="auto"/>
          <w:kern w:val="0"/>
          <w:highlight w:val="none"/>
        </w:rPr>
      </w:pPr>
      <w:r>
        <w:rPr>
          <w:rFonts w:hint="eastAsia" w:ascii="Times New Roman" w:hAnsi="Times New Roman" w:eastAsia="宋体" w:cs="Times New Roman"/>
          <w:snapToGrid w:val="0"/>
          <w:color w:val="auto"/>
          <w:kern w:val="0"/>
          <w:highlight w:val="none"/>
          <w:lang w:val="en-US" w:eastAsia="zh-CN"/>
        </w:rPr>
        <w:t xml:space="preserve">1） 所有表面应无锐边、焊渣和残留物。所有焊接处应表面平滑。 </w:t>
      </w:r>
    </w:p>
    <w:p w14:paraId="638BC75C">
      <w:pPr>
        <w:pStyle w:val="88"/>
        <w:snapToGrid w:val="0"/>
        <w:spacing w:line="360" w:lineRule="auto"/>
        <w:ind w:firstLine="480"/>
        <w:contextualSpacing/>
        <w:rPr>
          <w:rFonts w:hint="eastAsia" w:ascii="Times New Roman" w:hAnsi="Times New Roman" w:eastAsia="宋体" w:cs="Times New Roman"/>
          <w:snapToGrid w:val="0"/>
          <w:color w:val="auto"/>
          <w:kern w:val="0"/>
          <w:highlight w:val="none"/>
        </w:rPr>
      </w:pPr>
      <w:r>
        <w:rPr>
          <w:rFonts w:hint="eastAsia" w:ascii="Times New Roman" w:hAnsi="Times New Roman" w:eastAsia="宋体" w:cs="Times New Roman"/>
          <w:snapToGrid w:val="0"/>
          <w:color w:val="auto"/>
          <w:kern w:val="0"/>
          <w:highlight w:val="none"/>
          <w:lang w:val="en-US" w:eastAsia="zh-CN"/>
        </w:rPr>
        <w:t xml:space="preserve">2） 所有不锈钢表面应进行酸洗。 </w:t>
      </w:r>
    </w:p>
    <w:p w14:paraId="2EAAC021">
      <w:pPr>
        <w:pStyle w:val="88"/>
        <w:snapToGrid w:val="0"/>
        <w:spacing w:line="360" w:lineRule="auto"/>
        <w:ind w:firstLine="480"/>
        <w:contextualSpacing/>
        <w:rPr>
          <w:rFonts w:hint="eastAsia" w:ascii="Times New Roman" w:hAnsi="Times New Roman" w:eastAsia="宋体" w:cs="Times New Roman"/>
          <w:snapToGrid w:val="0"/>
          <w:color w:val="auto"/>
          <w:kern w:val="0"/>
          <w:sz w:val="24"/>
          <w:szCs w:val="24"/>
        </w:rPr>
      </w:pPr>
      <w:r>
        <w:rPr>
          <w:rFonts w:hint="eastAsia" w:ascii="Times New Roman" w:hAnsi="Times New Roman" w:eastAsia="宋体" w:cs="Times New Roman"/>
          <w:snapToGrid w:val="0"/>
          <w:color w:val="auto"/>
          <w:kern w:val="0"/>
          <w:highlight w:val="none"/>
          <w:lang w:val="en-US" w:eastAsia="zh-CN"/>
        </w:rPr>
        <w:t>3）所有未浸入水中的外表面应采用玻璃珠喷砂处理，以获得均匀的表面光洁度。</w:t>
      </w:r>
    </w:p>
    <w:p w14:paraId="0B323836">
      <w:pPr>
        <w:pStyle w:val="86"/>
        <w:spacing w:line="360" w:lineRule="auto"/>
        <w:ind w:firstLine="420"/>
        <w:contextualSpacing/>
        <w:jc w:val="both"/>
        <w:rPr>
          <w:rFonts w:hint="eastAsia" w:ascii="Times New Roman" w:hAnsi="Times New Roman" w:eastAsia="宋体"/>
          <w:b/>
          <w:bCs/>
          <w:color w:val="auto"/>
          <w:kern w:val="0"/>
          <w:sz w:val="24"/>
          <w:highlight w:val="none"/>
        </w:rPr>
      </w:pPr>
      <w:r>
        <w:rPr>
          <w:rFonts w:hint="eastAsia" w:ascii="Times New Roman" w:hAnsi="Times New Roman" w:eastAsia="宋体"/>
          <w:b/>
          <w:bCs/>
          <w:color w:val="auto"/>
          <w:kern w:val="0"/>
          <w:sz w:val="24"/>
          <w:highlight w:val="none"/>
        </w:rPr>
        <w:t>电气</w:t>
      </w:r>
      <w:r>
        <w:rPr>
          <w:rFonts w:hint="eastAsia" w:ascii="Times New Roman" w:hAnsi="Times New Roman" w:eastAsia="宋体"/>
          <w:b/>
          <w:bCs/>
          <w:color w:val="auto"/>
          <w:kern w:val="0"/>
          <w:sz w:val="24"/>
          <w:highlight w:val="none"/>
          <w:lang w:val="en-US" w:eastAsia="zh-CN"/>
        </w:rPr>
        <w:t>电缆技术</w:t>
      </w:r>
      <w:r>
        <w:rPr>
          <w:rFonts w:hint="eastAsia" w:ascii="Times New Roman" w:hAnsi="Times New Roman" w:eastAsia="宋体"/>
          <w:b/>
          <w:bCs/>
          <w:color w:val="auto"/>
          <w:kern w:val="0"/>
          <w:sz w:val="24"/>
          <w:highlight w:val="none"/>
        </w:rPr>
        <w:t>要求</w:t>
      </w:r>
    </w:p>
    <w:p w14:paraId="64DB0DBD">
      <w:pPr>
        <w:snapToGrid w:val="0"/>
        <w:spacing w:line="480" w:lineRule="atLeast"/>
        <w:ind w:firstLine="480"/>
        <w:contextualSpacing/>
        <w:rPr>
          <w:rFonts w:ascii="Times New Roman" w:hAnsi="Times New Roman" w:eastAsia="宋体"/>
          <w:snapToGrid w:val="0"/>
          <w:color w:val="auto"/>
          <w:kern w:val="0"/>
          <w:sz w:val="24"/>
          <w:szCs w:val="24"/>
        </w:rPr>
      </w:pPr>
      <w:r>
        <w:rPr>
          <w:rFonts w:ascii="Times New Roman" w:hAnsi="Times New Roman" w:eastAsia="宋体"/>
          <w:snapToGrid w:val="0"/>
          <w:color w:val="auto"/>
          <w:kern w:val="0"/>
          <w:sz w:val="24"/>
          <w:szCs w:val="24"/>
        </w:rPr>
        <w:t>为维护全厂设备、材料的一致性，并考虑运行维护的安全、方便，厂家配套电气设备型式、设备内部断路器、接触器和热继电器、电涌保护器及其后备保护等主要元器件需选择</w:t>
      </w:r>
      <w:r>
        <w:rPr>
          <w:rFonts w:hint="eastAsia" w:ascii="Times New Roman" w:hAnsi="Times New Roman" w:eastAsia="宋体"/>
          <w:snapToGrid w:val="0"/>
          <w:color w:val="auto"/>
          <w:kern w:val="0"/>
          <w:sz w:val="24"/>
          <w:szCs w:val="24"/>
          <w:lang w:val="en-US" w:eastAsia="zh-CN"/>
        </w:rPr>
        <w:t>推荐品牌短名单内</w:t>
      </w:r>
      <w:r>
        <w:rPr>
          <w:rFonts w:ascii="Times New Roman" w:hAnsi="Times New Roman" w:eastAsia="宋体"/>
          <w:snapToGrid w:val="0"/>
          <w:color w:val="auto"/>
          <w:kern w:val="0"/>
          <w:sz w:val="24"/>
          <w:szCs w:val="24"/>
        </w:rPr>
        <w:t>的品牌，并满足电气设备技术规范内相关要求。</w:t>
      </w:r>
    </w:p>
    <w:p w14:paraId="6A56BCB7">
      <w:pPr>
        <w:snapToGrid w:val="0"/>
        <w:spacing w:line="480" w:lineRule="atLeast"/>
        <w:ind w:firstLine="480"/>
        <w:contextualSpacing/>
        <w:rPr>
          <w:rFonts w:ascii="Times New Roman" w:hAnsi="Times New Roman" w:eastAsia="宋体"/>
          <w:snapToGrid w:val="0"/>
          <w:color w:val="auto"/>
          <w:kern w:val="0"/>
          <w:sz w:val="24"/>
          <w:szCs w:val="24"/>
        </w:rPr>
      </w:pPr>
      <w:r>
        <w:rPr>
          <w:rFonts w:ascii="Times New Roman" w:hAnsi="Times New Roman" w:eastAsia="宋体"/>
          <w:snapToGrid w:val="0"/>
          <w:color w:val="auto"/>
          <w:kern w:val="0"/>
          <w:sz w:val="24"/>
          <w:szCs w:val="24"/>
        </w:rPr>
        <w:t>所供电气设备及控制设备均需满足国家相关规范要求。</w:t>
      </w:r>
    </w:p>
    <w:p w14:paraId="7A3C40C4">
      <w:pPr>
        <w:snapToGrid w:val="0"/>
        <w:spacing w:line="480" w:lineRule="atLeast"/>
        <w:ind w:firstLine="480" w:firstLineChars="200"/>
        <w:contextualSpacing/>
        <w:rPr>
          <w:rFonts w:ascii="Times New Roman" w:hAnsi="Times New Roman" w:eastAsia="宋体"/>
          <w:snapToGrid w:val="0"/>
          <w:color w:val="auto"/>
          <w:kern w:val="0"/>
          <w:sz w:val="24"/>
          <w:szCs w:val="24"/>
        </w:rPr>
      </w:pPr>
      <w:r>
        <w:rPr>
          <w:rFonts w:ascii="Times New Roman" w:hAnsi="Times New Roman" w:eastAsia="宋体"/>
          <w:snapToGrid w:val="0"/>
          <w:color w:val="auto"/>
          <w:kern w:val="0"/>
          <w:sz w:val="24"/>
          <w:szCs w:val="24"/>
        </w:rPr>
        <w:t>现场</w:t>
      </w:r>
      <w:r>
        <w:rPr>
          <w:rFonts w:hint="eastAsia" w:ascii="Times New Roman" w:hAnsi="Times New Roman" w:eastAsia="宋体"/>
          <w:snapToGrid w:val="0"/>
          <w:color w:val="auto"/>
          <w:kern w:val="0"/>
          <w:sz w:val="24"/>
          <w:szCs w:val="24"/>
          <w:lang w:eastAsia="zh-CN"/>
        </w:rPr>
        <w:t>控制柜</w:t>
      </w:r>
      <w:r>
        <w:rPr>
          <w:rFonts w:ascii="Times New Roman" w:hAnsi="Times New Roman" w:eastAsia="宋体"/>
          <w:snapToGrid w:val="0"/>
          <w:color w:val="auto"/>
          <w:kern w:val="0"/>
          <w:sz w:val="24"/>
          <w:szCs w:val="24"/>
        </w:rPr>
        <w:t>设有所控设备的单独开停控制和联动运行控制等按钮，设置必要的机电保护和设备间的电气联锁，保证设备组正常可靠运行。</w:t>
      </w:r>
    </w:p>
    <w:p w14:paraId="494366DE">
      <w:pPr>
        <w:snapToGrid w:val="0"/>
        <w:spacing w:line="480" w:lineRule="atLeast"/>
        <w:ind w:firstLine="480"/>
        <w:contextualSpacing/>
        <w:rPr>
          <w:rFonts w:ascii="Times New Roman" w:hAnsi="Times New Roman" w:eastAsia="宋体"/>
          <w:snapToGrid w:val="0"/>
          <w:color w:val="auto"/>
          <w:kern w:val="0"/>
          <w:sz w:val="24"/>
          <w:szCs w:val="24"/>
        </w:rPr>
      </w:pPr>
      <w:r>
        <w:rPr>
          <w:rFonts w:hint="eastAsia" w:ascii="Times New Roman" w:hAnsi="Times New Roman" w:eastAsia="宋体"/>
          <w:snapToGrid w:val="0"/>
          <w:color w:val="auto"/>
          <w:kern w:val="0"/>
          <w:sz w:val="24"/>
          <w:szCs w:val="24"/>
          <w:lang w:eastAsia="zh-CN"/>
        </w:rPr>
        <w:t>控制柜</w:t>
      </w:r>
      <w:r>
        <w:rPr>
          <w:rFonts w:ascii="Times New Roman" w:hAnsi="Times New Roman" w:eastAsia="宋体"/>
          <w:snapToGrid w:val="0"/>
          <w:color w:val="auto"/>
          <w:kern w:val="0"/>
          <w:sz w:val="24"/>
          <w:szCs w:val="24"/>
        </w:rPr>
        <w:t>面板上设有</w:t>
      </w:r>
      <w:r>
        <w:rPr>
          <w:rFonts w:hint="eastAsia" w:ascii="Times New Roman" w:hAnsi="Times New Roman" w:eastAsia="宋体"/>
          <w:snapToGrid w:val="0"/>
          <w:color w:val="auto"/>
          <w:kern w:val="0"/>
          <w:sz w:val="24"/>
          <w:szCs w:val="24"/>
          <w:lang w:val="en-US" w:eastAsia="zh-CN"/>
        </w:rPr>
        <w:t>多功能表</w:t>
      </w:r>
      <w:r>
        <w:rPr>
          <w:rFonts w:ascii="Times New Roman" w:hAnsi="Times New Roman" w:eastAsia="宋体"/>
          <w:snapToGrid w:val="0"/>
          <w:color w:val="auto"/>
          <w:kern w:val="0"/>
          <w:sz w:val="24"/>
          <w:szCs w:val="24"/>
        </w:rPr>
        <w:t>，用以显示总的进线电流和电压；设有所控制的每台设备单机的起动及停机按钮、设备组联动运行控制按钮，各设备单机的运行、停机、事故信号灯，信号灯采用节能型；设有就地/零位/远程三档控制选择开关(带钥匙锁)和整个设备组的总急停按钮。在</w:t>
      </w:r>
      <w:r>
        <w:rPr>
          <w:rFonts w:hint="eastAsia" w:ascii="Times New Roman" w:hAnsi="Times New Roman" w:eastAsia="宋体"/>
          <w:snapToGrid w:val="0"/>
          <w:color w:val="auto"/>
          <w:kern w:val="0"/>
          <w:sz w:val="24"/>
          <w:szCs w:val="24"/>
          <w:lang w:eastAsia="zh-CN"/>
        </w:rPr>
        <w:t>控制柜</w:t>
      </w:r>
      <w:r>
        <w:rPr>
          <w:rFonts w:ascii="Times New Roman" w:hAnsi="Times New Roman" w:eastAsia="宋体"/>
          <w:snapToGrid w:val="0"/>
          <w:color w:val="auto"/>
          <w:kern w:val="0"/>
          <w:sz w:val="24"/>
          <w:szCs w:val="24"/>
        </w:rPr>
        <w:t>内设有电动机保护器(断路器),起动器(接触器)及辅助继电器等元器件。现场</w:t>
      </w:r>
      <w:r>
        <w:rPr>
          <w:rFonts w:hint="eastAsia" w:ascii="Times New Roman" w:hAnsi="Times New Roman" w:eastAsia="宋体"/>
          <w:snapToGrid w:val="0"/>
          <w:color w:val="auto"/>
          <w:kern w:val="0"/>
          <w:sz w:val="24"/>
          <w:szCs w:val="24"/>
          <w:lang w:eastAsia="zh-CN"/>
        </w:rPr>
        <w:t>控制柜</w:t>
      </w:r>
      <w:r>
        <w:rPr>
          <w:rFonts w:ascii="Times New Roman" w:hAnsi="Times New Roman" w:eastAsia="宋体"/>
          <w:snapToGrid w:val="0"/>
          <w:color w:val="auto"/>
          <w:kern w:val="0"/>
          <w:sz w:val="24"/>
          <w:szCs w:val="24"/>
        </w:rPr>
        <w:t>面板前设有小门及观察窗，箱体材料采用聚碳酸酯或不锈钢304制造，</w:t>
      </w:r>
      <w:r>
        <w:rPr>
          <w:rFonts w:hint="eastAsia" w:ascii="Times New Roman" w:hAnsi="Times New Roman" w:eastAsia="宋体"/>
          <w:snapToGrid w:val="0"/>
          <w:color w:val="auto"/>
          <w:kern w:val="0"/>
          <w:sz w:val="24"/>
          <w:szCs w:val="24"/>
          <w:lang w:eastAsia="zh-CN"/>
        </w:rPr>
        <w:t>控制柜</w:t>
      </w:r>
      <w:r>
        <w:rPr>
          <w:rFonts w:ascii="Times New Roman" w:hAnsi="Times New Roman" w:eastAsia="宋体"/>
          <w:snapToGrid w:val="0"/>
          <w:color w:val="auto"/>
          <w:kern w:val="0"/>
          <w:sz w:val="24"/>
          <w:szCs w:val="24"/>
        </w:rPr>
        <w:t>内设有电缆通道及接线端子排。</w:t>
      </w:r>
    </w:p>
    <w:p w14:paraId="3FC2577F">
      <w:pPr>
        <w:snapToGrid w:val="0"/>
        <w:spacing w:line="480" w:lineRule="atLeast"/>
        <w:ind w:firstLine="480"/>
        <w:contextualSpacing/>
        <w:rPr>
          <w:rFonts w:ascii="Times New Roman" w:hAnsi="Times New Roman" w:eastAsia="宋体"/>
          <w:snapToGrid w:val="0"/>
          <w:color w:val="auto"/>
          <w:kern w:val="0"/>
          <w:sz w:val="24"/>
          <w:szCs w:val="24"/>
        </w:rPr>
      </w:pPr>
      <w:r>
        <w:rPr>
          <w:rFonts w:ascii="Times New Roman" w:hAnsi="Times New Roman" w:eastAsia="宋体"/>
          <w:snapToGrid w:val="0"/>
          <w:color w:val="auto"/>
          <w:kern w:val="0"/>
          <w:sz w:val="24"/>
          <w:szCs w:val="24"/>
        </w:rPr>
        <w:t>沉砂池的操作方式应为就地手动、就地PLC自动控制和远程自动控制三种方式。在远程自动操作方式下，沉砂池可以由污水厂自控系统远程操作运行、停止。不论何种自动控制方式，沉砂池应连续运转直到一个除砂循环完成。</w:t>
      </w:r>
    </w:p>
    <w:p w14:paraId="5C60DB47">
      <w:pPr>
        <w:snapToGrid w:val="0"/>
        <w:spacing w:line="480" w:lineRule="atLeast"/>
        <w:ind w:firstLine="480"/>
        <w:contextualSpacing/>
        <w:rPr>
          <w:rFonts w:ascii="Times New Roman" w:hAnsi="Times New Roman" w:eastAsia="宋体"/>
          <w:snapToGrid w:val="0"/>
          <w:color w:val="auto"/>
          <w:kern w:val="0"/>
          <w:sz w:val="24"/>
          <w:szCs w:val="24"/>
        </w:rPr>
      </w:pPr>
      <w:r>
        <w:rPr>
          <w:rFonts w:hint="eastAsia" w:ascii="Times New Roman" w:hAnsi="Times New Roman" w:eastAsia="宋体"/>
          <w:snapToGrid w:val="0"/>
          <w:color w:val="auto"/>
          <w:kern w:val="0"/>
          <w:sz w:val="24"/>
          <w:szCs w:val="24"/>
          <w:lang w:eastAsia="zh-CN"/>
        </w:rPr>
        <w:t>控制柜</w:t>
      </w:r>
      <w:r>
        <w:rPr>
          <w:rFonts w:ascii="Times New Roman" w:hAnsi="Times New Roman" w:eastAsia="宋体"/>
          <w:snapToGrid w:val="0"/>
          <w:color w:val="auto"/>
          <w:kern w:val="0"/>
          <w:sz w:val="24"/>
          <w:szCs w:val="24"/>
        </w:rPr>
        <w:t>内需加装满足国家规范要求的防浪涌保护器及浪涌保护器专用后备保护。限制瞬态过电压，将电压控制在一个安全的水平上。</w:t>
      </w:r>
    </w:p>
    <w:p w14:paraId="3C11F7CF">
      <w:pPr>
        <w:snapToGrid w:val="0"/>
        <w:spacing w:line="480" w:lineRule="atLeast"/>
        <w:ind w:firstLine="480"/>
        <w:contextualSpacing/>
        <w:rPr>
          <w:rFonts w:ascii="Times New Roman" w:hAnsi="Times New Roman" w:eastAsia="宋体"/>
          <w:snapToGrid w:val="0"/>
          <w:color w:val="auto"/>
          <w:kern w:val="0"/>
          <w:sz w:val="24"/>
          <w:szCs w:val="24"/>
        </w:rPr>
      </w:pPr>
      <w:r>
        <w:rPr>
          <w:rFonts w:hint="eastAsia" w:ascii="Times New Roman" w:hAnsi="Times New Roman" w:eastAsia="宋体"/>
          <w:snapToGrid w:val="0"/>
          <w:color w:val="auto"/>
          <w:kern w:val="0"/>
          <w:sz w:val="24"/>
          <w:szCs w:val="24"/>
          <w:lang w:eastAsia="zh-CN"/>
        </w:rPr>
        <w:t>控制柜</w:t>
      </w:r>
      <w:r>
        <w:rPr>
          <w:rFonts w:ascii="Times New Roman" w:hAnsi="Times New Roman" w:eastAsia="宋体"/>
          <w:snapToGrid w:val="0"/>
          <w:color w:val="auto"/>
          <w:kern w:val="0"/>
          <w:sz w:val="24"/>
          <w:szCs w:val="24"/>
        </w:rPr>
        <w:t>要装设防止凝露或温度过高的温湿度控制装置，如加装加热器、排风扇等。</w:t>
      </w:r>
    </w:p>
    <w:p w14:paraId="41D8304E">
      <w:pPr>
        <w:snapToGrid w:val="0"/>
        <w:spacing w:line="480" w:lineRule="atLeast"/>
        <w:ind w:firstLine="480"/>
        <w:contextualSpacing/>
        <w:rPr>
          <w:rFonts w:ascii="Times New Roman" w:hAnsi="Times New Roman" w:eastAsia="宋体"/>
          <w:snapToGrid w:val="0"/>
          <w:color w:val="auto"/>
          <w:kern w:val="0"/>
          <w:sz w:val="24"/>
          <w:szCs w:val="24"/>
        </w:rPr>
      </w:pPr>
      <w:r>
        <w:rPr>
          <w:rFonts w:hint="eastAsia" w:ascii="Times New Roman" w:hAnsi="Times New Roman" w:eastAsia="宋体"/>
          <w:snapToGrid w:val="0"/>
          <w:color w:val="auto"/>
          <w:kern w:val="0"/>
          <w:sz w:val="24"/>
          <w:szCs w:val="24"/>
          <w:lang w:eastAsia="zh-CN"/>
        </w:rPr>
        <w:t>控制柜</w:t>
      </w:r>
      <w:r>
        <w:rPr>
          <w:rFonts w:ascii="Times New Roman" w:hAnsi="Times New Roman" w:eastAsia="宋体"/>
          <w:snapToGrid w:val="0"/>
          <w:color w:val="auto"/>
          <w:kern w:val="0"/>
          <w:sz w:val="24"/>
          <w:szCs w:val="24"/>
        </w:rPr>
        <w:t>除满足上述要求外，还需满足下述要求：</w:t>
      </w:r>
    </w:p>
    <w:p w14:paraId="52DCB6D4">
      <w:pPr>
        <w:snapToGrid w:val="0"/>
        <w:spacing w:line="480" w:lineRule="atLeast"/>
        <w:ind w:firstLine="480"/>
        <w:contextualSpacing/>
        <w:rPr>
          <w:rFonts w:ascii="Times New Roman" w:hAnsi="Times New Roman" w:eastAsia="宋体"/>
          <w:snapToGrid w:val="0"/>
          <w:color w:val="auto"/>
          <w:kern w:val="0"/>
          <w:sz w:val="24"/>
          <w:szCs w:val="24"/>
        </w:rPr>
      </w:pPr>
      <w:r>
        <w:rPr>
          <w:rFonts w:ascii="Times New Roman" w:hAnsi="Times New Roman" w:eastAsia="宋体"/>
          <w:snapToGrid w:val="0"/>
          <w:color w:val="auto"/>
          <w:kern w:val="0"/>
          <w:sz w:val="24"/>
          <w:szCs w:val="24"/>
        </w:rPr>
        <w:t>1.</w:t>
      </w:r>
      <w:r>
        <w:rPr>
          <w:rFonts w:hint="eastAsia" w:ascii="Times New Roman" w:hAnsi="Times New Roman" w:eastAsia="宋体"/>
          <w:snapToGrid w:val="0"/>
          <w:color w:val="auto"/>
          <w:kern w:val="0"/>
          <w:sz w:val="24"/>
          <w:szCs w:val="24"/>
          <w:lang w:val="en-US" w:eastAsia="zh-CN"/>
        </w:rPr>
        <w:t>控制柜</w:t>
      </w:r>
      <w:r>
        <w:rPr>
          <w:rFonts w:ascii="Times New Roman" w:hAnsi="Times New Roman" w:eastAsia="宋体"/>
          <w:snapToGrid w:val="0"/>
          <w:color w:val="auto"/>
          <w:kern w:val="0"/>
          <w:sz w:val="24"/>
          <w:szCs w:val="24"/>
        </w:rPr>
        <w:t>应具有良好的通风</w:t>
      </w:r>
      <w:r>
        <w:rPr>
          <w:rFonts w:hint="eastAsia" w:ascii="Times New Roman" w:hAnsi="Times New Roman" w:eastAsia="宋体"/>
          <w:snapToGrid w:val="0"/>
          <w:color w:val="auto"/>
          <w:kern w:val="0"/>
          <w:sz w:val="24"/>
          <w:szCs w:val="24"/>
          <w:lang w:eastAsia="zh-CN"/>
        </w:rPr>
        <w:t>、</w:t>
      </w:r>
      <w:r>
        <w:rPr>
          <w:rFonts w:hint="eastAsia" w:ascii="Times New Roman" w:hAnsi="Times New Roman" w:eastAsia="宋体"/>
          <w:snapToGrid w:val="0"/>
          <w:color w:val="auto"/>
          <w:kern w:val="0"/>
          <w:sz w:val="24"/>
          <w:szCs w:val="24"/>
          <w:lang w:val="en-US" w:eastAsia="zh-CN"/>
        </w:rPr>
        <w:t>散热、除湿</w:t>
      </w:r>
      <w:r>
        <w:rPr>
          <w:rFonts w:ascii="Times New Roman" w:hAnsi="Times New Roman" w:eastAsia="宋体"/>
          <w:snapToGrid w:val="0"/>
          <w:color w:val="auto"/>
          <w:kern w:val="0"/>
          <w:sz w:val="24"/>
          <w:szCs w:val="24"/>
        </w:rPr>
        <w:t>装置。</w:t>
      </w:r>
    </w:p>
    <w:p w14:paraId="5262C827">
      <w:pPr>
        <w:snapToGrid w:val="0"/>
        <w:spacing w:line="480" w:lineRule="atLeast"/>
        <w:ind w:firstLine="480"/>
        <w:contextualSpacing/>
        <w:rPr>
          <w:rFonts w:ascii="Times New Roman" w:hAnsi="Times New Roman" w:eastAsia="宋体"/>
          <w:snapToGrid w:val="0"/>
          <w:color w:val="auto"/>
          <w:kern w:val="0"/>
          <w:sz w:val="24"/>
          <w:szCs w:val="24"/>
        </w:rPr>
      </w:pPr>
      <w:r>
        <w:rPr>
          <w:rFonts w:ascii="Times New Roman" w:hAnsi="Times New Roman" w:eastAsia="宋体"/>
          <w:snapToGrid w:val="0"/>
          <w:color w:val="auto"/>
          <w:kern w:val="0"/>
          <w:sz w:val="24"/>
          <w:szCs w:val="24"/>
        </w:rPr>
        <w:t>2.主要技术参数</w:t>
      </w:r>
    </w:p>
    <w:p w14:paraId="12047C41">
      <w:pPr>
        <w:snapToGrid w:val="0"/>
        <w:spacing w:line="480" w:lineRule="atLeast"/>
        <w:ind w:firstLine="480"/>
        <w:contextualSpacing/>
        <w:rPr>
          <w:rFonts w:ascii="Times New Roman" w:hAnsi="Times New Roman" w:eastAsia="宋体"/>
          <w:snapToGrid w:val="0"/>
          <w:color w:val="auto"/>
          <w:kern w:val="0"/>
          <w:sz w:val="24"/>
          <w:szCs w:val="24"/>
        </w:rPr>
      </w:pPr>
      <w:r>
        <w:rPr>
          <w:rFonts w:ascii="Times New Roman" w:hAnsi="Times New Roman" w:eastAsia="宋体"/>
          <w:snapToGrid w:val="0"/>
          <w:color w:val="auto"/>
          <w:kern w:val="0"/>
          <w:sz w:val="24"/>
          <w:szCs w:val="24"/>
        </w:rPr>
        <w:t>(1)三相四线制TN-S系统</w:t>
      </w:r>
    </w:p>
    <w:p w14:paraId="2A68F16A">
      <w:pPr>
        <w:snapToGrid w:val="0"/>
        <w:spacing w:line="480" w:lineRule="atLeast"/>
        <w:ind w:firstLine="480"/>
        <w:contextualSpacing/>
        <w:rPr>
          <w:rFonts w:ascii="Times New Roman" w:hAnsi="Times New Roman" w:eastAsia="宋体"/>
          <w:snapToGrid w:val="0"/>
          <w:color w:val="auto"/>
          <w:kern w:val="0"/>
          <w:sz w:val="24"/>
          <w:szCs w:val="24"/>
        </w:rPr>
      </w:pPr>
      <w:r>
        <w:rPr>
          <w:rFonts w:ascii="Times New Roman" w:hAnsi="Times New Roman" w:eastAsia="宋体"/>
          <w:snapToGrid w:val="0"/>
          <w:color w:val="auto"/>
          <w:kern w:val="0"/>
          <w:sz w:val="24"/>
          <w:szCs w:val="24"/>
        </w:rPr>
        <w:t>(2)额定工作电压：380/220V</w:t>
      </w:r>
    </w:p>
    <w:p w14:paraId="06F36670">
      <w:pPr>
        <w:snapToGrid w:val="0"/>
        <w:spacing w:line="480" w:lineRule="atLeast"/>
        <w:ind w:firstLine="480"/>
        <w:contextualSpacing/>
        <w:rPr>
          <w:rFonts w:ascii="Times New Roman" w:hAnsi="Times New Roman" w:eastAsia="宋体"/>
          <w:snapToGrid w:val="0"/>
          <w:color w:val="auto"/>
          <w:kern w:val="0"/>
          <w:sz w:val="24"/>
          <w:szCs w:val="24"/>
        </w:rPr>
      </w:pPr>
      <w:r>
        <w:rPr>
          <w:rFonts w:ascii="Times New Roman" w:hAnsi="Times New Roman" w:eastAsia="宋体"/>
          <w:snapToGrid w:val="0"/>
          <w:color w:val="auto"/>
          <w:kern w:val="0"/>
          <w:sz w:val="24"/>
          <w:szCs w:val="24"/>
        </w:rPr>
        <w:t>(3)额定工作频率：50Hz</w:t>
      </w:r>
    </w:p>
    <w:p w14:paraId="6165228A">
      <w:pPr>
        <w:snapToGrid w:val="0"/>
        <w:spacing w:line="480" w:lineRule="atLeast"/>
        <w:ind w:firstLine="480"/>
        <w:contextualSpacing/>
        <w:rPr>
          <w:rFonts w:ascii="Times New Roman" w:hAnsi="Times New Roman" w:eastAsia="宋体"/>
          <w:snapToGrid w:val="0"/>
          <w:color w:val="auto"/>
          <w:kern w:val="0"/>
          <w:sz w:val="24"/>
          <w:szCs w:val="24"/>
        </w:rPr>
      </w:pPr>
      <w:r>
        <w:rPr>
          <w:rFonts w:ascii="Times New Roman" w:hAnsi="Times New Roman" w:eastAsia="宋体"/>
          <w:snapToGrid w:val="0"/>
          <w:color w:val="auto"/>
          <w:kern w:val="0"/>
          <w:sz w:val="24"/>
          <w:szCs w:val="24"/>
        </w:rPr>
        <w:t>(4)额定绝缘电压：660VAC</w:t>
      </w:r>
    </w:p>
    <w:p w14:paraId="7D7062FE">
      <w:pPr>
        <w:snapToGrid w:val="0"/>
        <w:spacing w:line="480" w:lineRule="atLeast"/>
        <w:ind w:firstLine="480"/>
        <w:contextualSpacing/>
        <w:rPr>
          <w:rFonts w:ascii="Times New Roman" w:hAnsi="Times New Roman" w:eastAsia="宋体"/>
          <w:snapToGrid w:val="0"/>
          <w:color w:val="auto"/>
          <w:kern w:val="0"/>
          <w:sz w:val="24"/>
          <w:szCs w:val="24"/>
        </w:rPr>
      </w:pPr>
      <w:r>
        <w:rPr>
          <w:rFonts w:ascii="Times New Roman" w:hAnsi="Times New Roman" w:eastAsia="宋体"/>
          <w:snapToGrid w:val="0"/>
          <w:color w:val="auto"/>
          <w:kern w:val="0"/>
          <w:sz w:val="24"/>
          <w:szCs w:val="24"/>
        </w:rPr>
        <w:t>(5)主母线最大工作电流：根据受控设备容量定</w:t>
      </w:r>
    </w:p>
    <w:p w14:paraId="74EB1DDA">
      <w:pPr>
        <w:snapToGrid w:val="0"/>
        <w:spacing w:line="480" w:lineRule="atLeast"/>
        <w:ind w:firstLine="480"/>
        <w:contextualSpacing/>
        <w:rPr>
          <w:rFonts w:ascii="Times New Roman" w:hAnsi="Times New Roman" w:eastAsia="宋体"/>
          <w:snapToGrid w:val="0"/>
          <w:color w:val="auto"/>
          <w:kern w:val="0"/>
          <w:sz w:val="24"/>
          <w:szCs w:val="24"/>
        </w:rPr>
      </w:pPr>
      <w:r>
        <w:rPr>
          <w:rFonts w:ascii="Times New Roman" w:hAnsi="Times New Roman" w:eastAsia="宋体"/>
          <w:snapToGrid w:val="0"/>
          <w:color w:val="auto"/>
          <w:kern w:val="0"/>
          <w:sz w:val="24"/>
          <w:szCs w:val="24"/>
        </w:rPr>
        <w:t>(6)环境温度：-5温度： 40</w:t>
      </w:r>
      <w:r>
        <w:rPr>
          <w:rFonts w:ascii="Times New Roman" w:hAnsi="Times New Roman"/>
          <w:snapToGrid w:val="0"/>
          <w:color w:val="auto"/>
          <w:kern w:val="0"/>
          <w:sz w:val="24"/>
          <w:szCs w:val="24"/>
        </w:rPr>
        <w:t>℃</w:t>
      </w:r>
    </w:p>
    <w:p w14:paraId="7B7D4C79">
      <w:pPr>
        <w:snapToGrid w:val="0"/>
        <w:spacing w:line="480" w:lineRule="atLeast"/>
        <w:ind w:firstLine="480"/>
        <w:contextualSpacing/>
        <w:rPr>
          <w:rFonts w:ascii="Times New Roman" w:hAnsi="Times New Roman" w:eastAsia="宋体"/>
          <w:snapToGrid w:val="0"/>
          <w:color w:val="auto"/>
          <w:kern w:val="0"/>
          <w:sz w:val="24"/>
          <w:szCs w:val="24"/>
        </w:rPr>
      </w:pPr>
      <w:r>
        <w:rPr>
          <w:rFonts w:ascii="Times New Roman" w:hAnsi="Times New Roman" w:eastAsia="宋体"/>
          <w:snapToGrid w:val="0"/>
          <w:color w:val="auto"/>
          <w:kern w:val="0"/>
          <w:sz w:val="24"/>
          <w:szCs w:val="24"/>
        </w:rPr>
        <w:t>(7)相对湿度：小于40湿条件下，最大95%</w:t>
      </w:r>
    </w:p>
    <w:p w14:paraId="62350D44">
      <w:pPr>
        <w:snapToGrid w:val="0"/>
        <w:spacing w:line="480" w:lineRule="atLeast"/>
        <w:ind w:firstLine="420" w:firstLineChars="0"/>
        <w:contextualSpacing/>
        <w:rPr>
          <w:rFonts w:ascii="Times New Roman" w:hAnsi="Times New Roman" w:eastAsia="宋体"/>
          <w:snapToGrid w:val="0"/>
          <w:color w:val="auto"/>
          <w:kern w:val="0"/>
          <w:sz w:val="24"/>
          <w:szCs w:val="24"/>
        </w:rPr>
      </w:pPr>
      <w:r>
        <w:rPr>
          <w:rFonts w:ascii="Times New Roman" w:hAnsi="Times New Roman" w:eastAsia="宋体"/>
          <w:snapToGrid w:val="0"/>
          <w:color w:val="auto"/>
          <w:kern w:val="0"/>
          <w:sz w:val="24"/>
          <w:szCs w:val="24"/>
        </w:rPr>
        <w:t>3.主要技术要求</w:t>
      </w:r>
    </w:p>
    <w:p w14:paraId="0985033A">
      <w:pPr>
        <w:snapToGrid w:val="0"/>
        <w:spacing w:line="480" w:lineRule="atLeast"/>
        <w:ind w:firstLine="480"/>
        <w:contextualSpacing/>
        <w:rPr>
          <w:rFonts w:ascii="Times New Roman" w:hAnsi="Times New Roman" w:eastAsia="宋体"/>
          <w:snapToGrid w:val="0"/>
          <w:color w:val="auto"/>
          <w:kern w:val="0"/>
          <w:sz w:val="24"/>
          <w:szCs w:val="24"/>
        </w:rPr>
      </w:pPr>
      <w:r>
        <w:rPr>
          <w:rFonts w:ascii="Times New Roman" w:hAnsi="Times New Roman" w:eastAsia="宋体"/>
          <w:snapToGrid w:val="0"/>
          <w:color w:val="auto"/>
          <w:kern w:val="0"/>
          <w:sz w:val="24"/>
          <w:szCs w:val="24"/>
        </w:rPr>
        <w:t>(1)箱体</w:t>
      </w:r>
    </w:p>
    <w:p w14:paraId="176E6FB1">
      <w:pPr>
        <w:snapToGrid w:val="0"/>
        <w:spacing w:line="480" w:lineRule="atLeast"/>
        <w:ind w:firstLine="480"/>
        <w:contextualSpacing/>
        <w:rPr>
          <w:rFonts w:ascii="Times New Roman" w:hAnsi="Times New Roman" w:eastAsia="宋体"/>
          <w:snapToGrid w:val="0"/>
          <w:color w:val="auto"/>
          <w:kern w:val="0"/>
          <w:sz w:val="24"/>
          <w:szCs w:val="24"/>
        </w:rPr>
      </w:pPr>
      <w:r>
        <w:rPr>
          <w:rFonts w:hint="eastAsia" w:ascii="Times New Roman" w:hAnsi="Times New Roman" w:eastAsia="宋体"/>
          <w:snapToGrid w:val="0"/>
          <w:color w:val="auto"/>
          <w:kern w:val="0"/>
          <w:sz w:val="24"/>
          <w:szCs w:val="24"/>
          <w:lang w:eastAsia="zh-CN"/>
        </w:rPr>
        <w:t>控制柜</w:t>
      </w:r>
      <w:r>
        <w:rPr>
          <w:rFonts w:ascii="Times New Roman" w:hAnsi="Times New Roman" w:eastAsia="宋体"/>
          <w:snapToGrid w:val="0"/>
          <w:color w:val="auto"/>
          <w:kern w:val="0"/>
          <w:sz w:val="24"/>
          <w:szCs w:val="24"/>
        </w:rPr>
        <w:t>可放置于现场，由于所处环境恶劣，应具有卓越的防潮、防锈、防腐蚀能力。材质采用不锈钢304</w:t>
      </w:r>
      <w:r>
        <w:rPr>
          <w:rFonts w:hint="eastAsia" w:ascii="Times New Roman" w:hAnsi="Times New Roman" w:eastAsia="宋体"/>
          <w:snapToGrid w:val="0"/>
          <w:color w:val="auto"/>
          <w:kern w:val="0"/>
          <w:sz w:val="24"/>
          <w:szCs w:val="24"/>
          <w:lang w:val="en-US" w:eastAsia="zh-CN"/>
        </w:rPr>
        <w:t>材质</w:t>
      </w:r>
      <w:r>
        <w:rPr>
          <w:rFonts w:ascii="Times New Roman" w:hAnsi="Times New Roman" w:eastAsia="宋体"/>
          <w:snapToGrid w:val="0"/>
          <w:color w:val="auto"/>
          <w:kern w:val="0"/>
          <w:sz w:val="24"/>
          <w:szCs w:val="24"/>
        </w:rPr>
        <w:t>，应具有硬度高、冲击韧性好、尺寸稳定、绝缘性能好、热稳定性好、化学稳定性好、阻燃性好、防尘、防水、防腐的特点，防护等级IP65。</w:t>
      </w:r>
    </w:p>
    <w:p w14:paraId="7F47D06D">
      <w:pPr>
        <w:snapToGrid w:val="0"/>
        <w:spacing w:line="480" w:lineRule="atLeast"/>
        <w:ind w:firstLine="480"/>
        <w:contextualSpacing/>
        <w:rPr>
          <w:rFonts w:ascii="Times New Roman" w:hAnsi="Times New Roman" w:eastAsia="宋体"/>
          <w:snapToGrid w:val="0"/>
          <w:color w:val="auto"/>
          <w:kern w:val="0"/>
          <w:sz w:val="24"/>
          <w:szCs w:val="24"/>
        </w:rPr>
      </w:pPr>
      <w:r>
        <w:rPr>
          <w:rFonts w:hint="eastAsia" w:ascii="Times New Roman" w:hAnsi="Times New Roman" w:eastAsia="宋体"/>
          <w:snapToGrid w:val="0"/>
          <w:color w:val="auto"/>
          <w:kern w:val="0"/>
          <w:sz w:val="24"/>
          <w:szCs w:val="24"/>
          <w:lang w:eastAsia="zh-CN"/>
        </w:rPr>
        <w:t>控制柜</w:t>
      </w:r>
      <w:r>
        <w:rPr>
          <w:rFonts w:ascii="Times New Roman" w:hAnsi="Times New Roman" w:eastAsia="宋体"/>
          <w:snapToGrid w:val="0"/>
          <w:color w:val="auto"/>
          <w:kern w:val="0"/>
          <w:sz w:val="24"/>
          <w:szCs w:val="24"/>
        </w:rPr>
        <w:t>如无法适用于现场腐蚀性环境，也可放置于附近电控间中。当放置于电控间中时，</w:t>
      </w:r>
      <w:r>
        <w:rPr>
          <w:rFonts w:hint="eastAsia" w:ascii="Times New Roman" w:hAnsi="Times New Roman" w:eastAsia="宋体"/>
          <w:snapToGrid w:val="0"/>
          <w:color w:val="auto"/>
          <w:kern w:val="0"/>
          <w:sz w:val="24"/>
          <w:szCs w:val="24"/>
          <w:lang w:eastAsia="zh-CN"/>
        </w:rPr>
        <w:t>控制柜</w:t>
      </w:r>
      <w:r>
        <w:rPr>
          <w:rFonts w:ascii="Times New Roman" w:hAnsi="Times New Roman" w:eastAsia="宋体"/>
          <w:snapToGrid w:val="0"/>
          <w:color w:val="auto"/>
          <w:kern w:val="0"/>
          <w:sz w:val="24"/>
          <w:szCs w:val="24"/>
        </w:rPr>
        <w:t>外壳材质采用敷铝锌板，防护等级不低于IP41，此方案各用电设备机旁需配置就地按钮箱，按钮箱需实现以下功能：按钮箱面板设置开机/停机指示灯、故障指示灯、起动及停止按钮、紧急停机按钮、电流表(18.5KW及以上)、就地/零位/远方选择开关，按钮箱材质采用不锈钢304。</w:t>
      </w:r>
    </w:p>
    <w:p w14:paraId="72468274">
      <w:pPr>
        <w:snapToGrid w:val="0"/>
        <w:spacing w:line="480" w:lineRule="atLeast"/>
        <w:ind w:firstLine="420" w:firstLineChars="0"/>
        <w:contextualSpacing/>
        <w:rPr>
          <w:rFonts w:ascii="Times New Roman" w:hAnsi="Times New Roman" w:eastAsia="宋体"/>
          <w:snapToGrid w:val="0"/>
          <w:color w:val="auto"/>
          <w:kern w:val="0"/>
          <w:sz w:val="24"/>
          <w:szCs w:val="24"/>
        </w:rPr>
      </w:pPr>
      <w:r>
        <w:rPr>
          <w:rFonts w:hint="eastAsia" w:ascii="Times New Roman" w:hAnsi="Times New Roman" w:eastAsia="宋体"/>
          <w:snapToGrid w:val="0"/>
          <w:color w:val="auto"/>
          <w:kern w:val="0"/>
          <w:sz w:val="24"/>
          <w:szCs w:val="24"/>
          <w:lang w:eastAsia="zh-CN"/>
        </w:rPr>
        <w:t>控制柜</w:t>
      </w:r>
      <w:r>
        <w:rPr>
          <w:rFonts w:ascii="Times New Roman" w:hAnsi="Times New Roman" w:eastAsia="宋体"/>
          <w:snapToGrid w:val="0"/>
          <w:color w:val="auto"/>
          <w:kern w:val="0"/>
          <w:sz w:val="24"/>
          <w:szCs w:val="24"/>
        </w:rPr>
        <w:t>、就地按钮箱等箱体材质还需满足电气设备技术规范内相关要求。</w:t>
      </w:r>
    </w:p>
    <w:p w14:paraId="2D18D4B7">
      <w:pPr>
        <w:snapToGrid w:val="0"/>
        <w:spacing w:line="480" w:lineRule="atLeast"/>
        <w:ind w:firstLine="480"/>
        <w:contextualSpacing/>
        <w:rPr>
          <w:rFonts w:ascii="Times New Roman" w:hAnsi="Times New Roman" w:eastAsia="宋体"/>
          <w:snapToGrid w:val="0"/>
          <w:color w:val="auto"/>
          <w:kern w:val="0"/>
          <w:sz w:val="24"/>
          <w:szCs w:val="24"/>
        </w:rPr>
      </w:pPr>
      <w:bookmarkStart w:id="33" w:name="_Toc57386640"/>
      <w:r>
        <w:rPr>
          <w:rFonts w:ascii="Times New Roman" w:hAnsi="Times New Roman" w:eastAsia="宋体"/>
          <w:snapToGrid w:val="0"/>
          <w:color w:val="auto"/>
          <w:kern w:val="0"/>
          <w:sz w:val="24"/>
          <w:szCs w:val="24"/>
        </w:rPr>
        <w:t>(2)主要元器件</w:t>
      </w:r>
      <w:bookmarkEnd w:id="33"/>
    </w:p>
    <w:p w14:paraId="4D7E9C07">
      <w:pPr>
        <w:snapToGrid w:val="0"/>
        <w:spacing w:line="480" w:lineRule="atLeast"/>
        <w:ind w:firstLine="480"/>
        <w:contextualSpacing/>
        <w:rPr>
          <w:rFonts w:ascii="Times New Roman" w:hAnsi="Times New Roman" w:eastAsia="宋体"/>
          <w:snapToGrid w:val="0"/>
          <w:color w:val="auto"/>
          <w:kern w:val="0"/>
          <w:sz w:val="24"/>
          <w:szCs w:val="24"/>
        </w:rPr>
      </w:pPr>
      <w:r>
        <w:rPr>
          <w:rFonts w:hint="eastAsia" w:ascii="宋体" w:hAnsi="宋体" w:cs="宋体"/>
          <w:snapToGrid w:val="0"/>
          <w:color w:val="auto"/>
          <w:kern w:val="0"/>
          <w:sz w:val="24"/>
          <w:szCs w:val="24"/>
        </w:rPr>
        <w:t>①</w:t>
      </w:r>
      <w:r>
        <w:rPr>
          <w:rFonts w:hint="eastAsia" w:ascii="宋体" w:hAnsi="宋体" w:cs="宋体"/>
          <w:snapToGrid w:val="0"/>
          <w:color w:val="auto"/>
          <w:kern w:val="0"/>
          <w:sz w:val="24"/>
          <w:szCs w:val="24"/>
          <w:lang w:val="en-US" w:eastAsia="zh-CN"/>
        </w:rPr>
        <w:t>柜内</w:t>
      </w:r>
      <w:r>
        <w:rPr>
          <w:rFonts w:ascii="Times New Roman" w:hAnsi="Times New Roman" w:eastAsia="宋体"/>
          <w:snapToGrid w:val="0"/>
          <w:color w:val="auto"/>
          <w:kern w:val="0"/>
          <w:sz w:val="24"/>
          <w:szCs w:val="24"/>
        </w:rPr>
        <w:t>母线全部采用符合IEC及国标的含铜量为99.7%的铜质母排，全部母线用热塑绝缘套管覆盖。配线采用铜绝缘导线；</w:t>
      </w:r>
    </w:p>
    <w:p w14:paraId="57746E89">
      <w:pPr>
        <w:snapToGrid w:val="0"/>
        <w:spacing w:line="480" w:lineRule="atLeast"/>
        <w:ind w:firstLine="480"/>
        <w:contextualSpacing/>
        <w:rPr>
          <w:rFonts w:ascii="Times New Roman" w:hAnsi="Times New Roman" w:eastAsia="宋体"/>
          <w:snapToGrid w:val="0"/>
          <w:color w:val="auto"/>
          <w:kern w:val="0"/>
          <w:sz w:val="24"/>
          <w:szCs w:val="24"/>
        </w:rPr>
      </w:pPr>
      <w:r>
        <w:rPr>
          <w:rFonts w:hint="eastAsia" w:ascii="宋体" w:hAnsi="宋体" w:cs="宋体"/>
          <w:snapToGrid w:val="0"/>
          <w:color w:val="auto"/>
          <w:kern w:val="0"/>
          <w:sz w:val="24"/>
          <w:szCs w:val="24"/>
        </w:rPr>
        <w:t>②</w:t>
      </w:r>
      <w:r>
        <w:rPr>
          <w:rFonts w:ascii="Times New Roman" w:hAnsi="Times New Roman" w:eastAsia="宋体"/>
          <w:snapToGrid w:val="0"/>
          <w:color w:val="auto"/>
          <w:kern w:val="0"/>
          <w:sz w:val="24"/>
          <w:szCs w:val="24"/>
        </w:rPr>
        <w:t>断路器、接触器和热继电器</w:t>
      </w:r>
      <w:r>
        <w:rPr>
          <w:rFonts w:hint="eastAsia" w:ascii="Times New Roman" w:hAnsi="Times New Roman" w:eastAsia="宋体"/>
          <w:snapToGrid w:val="0"/>
          <w:color w:val="auto"/>
          <w:kern w:val="0"/>
          <w:sz w:val="24"/>
          <w:szCs w:val="24"/>
          <w:lang w:val="en-US" w:eastAsia="zh-CN"/>
        </w:rPr>
        <w:t>等主要电气元器件必须选用施耐德、ABB、西门子，</w:t>
      </w:r>
      <w:r>
        <w:rPr>
          <w:rFonts w:ascii="Times New Roman" w:hAnsi="Times New Roman" w:eastAsia="宋体"/>
          <w:snapToGrid w:val="0"/>
          <w:color w:val="auto"/>
          <w:kern w:val="0"/>
          <w:sz w:val="24"/>
          <w:szCs w:val="24"/>
        </w:rPr>
        <w:t>PLC</w:t>
      </w:r>
      <w:r>
        <w:rPr>
          <w:rFonts w:hint="eastAsia" w:ascii="Times New Roman" w:hAnsi="Times New Roman" w:eastAsia="宋体"/>
          <w:snapToGrid w:val="0"/>
          <w:color w:val="auto"/>
          <w:kern w:val="0"/>
          <w:sz w:val="24"/>
          <w:szCs w:val="24"/>
          <w:lang w:val="en-US" w:eastAsia="zh-CN"/>
        </w:rPr>
        <w:t>必须</w:t>
      </w:r>
      <w:r>
        <w:rPr>
          <w:rFonts w:ascii="Times New Roman" w:hAnsi="Times New Roman" w:eastAsia="宋体"/>
          <w:snapToGrid w:val="0"/>
          <w:color w:val="auto"/>
          <w:kern w:val="0"/>
          <w:sz w:val="24"/>
          <w:szCs w:val="24"/>
        </w:rPr>
        <w:t>选用</w:t>
      </w:r>
      <w:r>
        <w:rPr>
          <w:rFonts w:hint="eastAsia" w:ascii="Times New Roman" w:hAnsi="Times New Roman" w:eastAsia="宋体"/>
          <w:snapToGrid w:val="0"/>
          <w:color w:val="auto"/>
          <w:kern w:val="0"/>
          <w:sz w:val="24"/>
          <w:szCs w:val="24"/>
          <w:lang w:val="en-US" w:eastAsia="zh-CN"/>
        </w:rPr>
        <w:t>AB、施耐德、西门子</w:t>
      </w:r>
      <w:r>
        <w:rPr>
          <w:rFonts w:ascii="Times New Roman" w:hAnsi="Times New Roman" w:eastAsia="宋体"/>
          <w:snapToGrid w:val="0"/>
          <w:color w:val="auto"/>
          <w:kern w:val="0"/>
          <w:sz w:val="24"/>
          <w:szCs w:val="24"/>
        </w:rPr>
        <w:t>；</w:t>
      </w:r>
    </w:p>
    <w:p w14:paraId="29F1CD1C">
      <w:pPr>
        <w:snapToGrid w:val="0"/>
        <w:spacing w:line="480" w:lineRule="atLeast"/>
        <w:ind w:firstLine="480"/>
        <w:contextualSpacing/>
        <w:rPr>
          <w:rFonts w:ascii="Times New Roman" w:hAnsi="Times New Roman" w:eastAsia="宋体"/>
          <w:snapToGrid w:val="0"/>
          <w:color w:val="auto"/>
          <w:kern w:val="0"/>
          <w:sz w:val="24"/>
          <w:szCs w:val="24"/>
        </w:rPr>
      </w:pPr>
      <w:r>
        <w:rPr>
          <w:rFonts w:hint="eastAsia" w:ascii="宋体" w:hAnsi="宋体" w:cs="宋体"/>
          <w:snapToGrid w:val="0"/>
          <w:color w:val="auto"/>
          <w:kern w:val="0"/>
          <w:sz w:val="24"/>
          <w:szCs w:val="24"/>
        </w:rPr>
        <w:t>③</w:t>
      </w:r>
      <w:r>
        <w:rPr>
          <w:rFonts w:hint="eastAsia" w:ascii="宋体" w:hAnsi="宋体" w:cs="宋体"/>
          <w:snapToGrid w:val="0"/>
          <w:color w:val="auto"/>
          <w:kern w:val="0"/>
          <w:sz w:val="24"/>
          <w:szCs w:val="24"/>
          <w:lang w:val="en-US" w:eastAsia="zh-CN"/>
        </w:rPr>
        <w:t>柜</w:t>
      </w:r>
      <w:r>
        <w:rPr>
          <w:rFonts w:ascii="Times New Roman" w:hAnsi="Times New Roman" w:eastAsia="宋体"/>
          <w:snapToGrid w:val="0"/>
          <w:color w:val="auto"/>
          <w:kern w:val="0"/>
          <w:sz w:val="24"/>
          <w:szCs w:val="24"/>
        </w:rPr>
        <w:t>内用于二次回路的导线应为不小于1.5mm2塑铜导线；</w:t>
      </w:r>
    </w:p>
    <w:p w14:paraId="526A00B4">
      <w:pPr>
        <w:snapToGrid w:val="0"/>
        <w:spacing w:line="480" w:lineRule="atLeast"/>
        <w:ind w:firstLine="480"/>
        <w:contextualSpacing/>
        <w:rPr>
          <w:rFonts w:ascii="Times New Roman" w:hAnsi="Times New Roman" w:eastAsia="宋体"/>
          <w:snapToGrid w:val="0"/>
          <w:color w:val="auto"/>
          <w:kern w:val="0"/>
          <w:sz w:val="24"/>
          <w:szCs w:val="24"/>
        </w:rPr>
      </w:pPr>
      <w:r>
        <w:rPr>
          <w:rFonts w:hint="eastAsia" w:ascii="宋体" w:hAnsi="宋体" w:cs="宋体"/>
          <w:snapToGrid w:val="0"/>
          <w:color w:val="auto"/>
          <w:kern w:val="0"/>
          <w:sz w:val="24"/>
          <w:szCs w:val="24"/>
        </w:rPr>
        <w:t>④</w:t>
      </w:r>
      <w:r>
        <w:rPr>
          <w:rFonts w:ascii="Times New Roman" w:hAnsi="Times New Roman" w:eastAsia="宋体"/>
          <w:snapToGrid w:val="0"/>
          <w:color w:val="auto"/>
          <w:kern w:val="0"/>
          <w:sz w:val="24"/>
          <w:szCs w:val="24"/>
        </w:rPr>
        <w:t>所有的信号灯均为高亮发光二极管式；</w:t>
      </w:r>
    </w:p>
    <w:p w14:paraId="634A177D">
      <w:pPr>
        <w:snapToGrid w:val="0"/>
        <w:spacing w:line="480" w:lineRule="atLeast"/>
        <w:ind w:firstLine="480"/>
        <w:contextualSpacing/>
        <w:rPr>
          <w:rFonts w:ascii="Times New Roman" w:hAnsi="Times New Roman" w:eastAsia="宋体"/>
          <w:snapToGrid w:val="0"/>
          <w:color w:val="auto"/>
          <w:kern w:val="0"/>
          <w:sz w:val="24"/>
          <w:szCs w:val="24"/>
        </w:rPr>
      </w:pPr>
      <w:r>
        <w:rPr>
          <w:rFonts w:hint="eastAsia" w:ascii="宋体" w:hAnsi="宋体" w:cs="宋体"/>
          <w:snapToGrid w:val="0"/>
          <w:color w:val="auto"/>
          <w:kern w:val="0"/>
          <w:sz w:val="24"/>
          <w:szCs w:val="24"/>
        </w:rPr>
        <w:t>⑤</w:t>
      </w:r>
      <w:r>
        <w:rPr>
          <w:rFonts w:ascii="Times New Roman" w:hAnsi="Times New Roman" w:eastAsia="宋体"/>
          <w:snapToGrid w:val="0"/>
          <w:color w:val="auto"/>
          <w:kern w:val="0"/>
          <w:sz w:val="24"/>
          <w:szCs w:val="24"/>
        </w:rPr>
        <w:t>紧急按钮应采用钥匙锁定；</w:t>
      </w:r>
    </w:p>
    <w:p w14:paraId="5C8E0F0C">
      <w:pPr>
        <w:snapToGrid w:val="0"/>
        <w:spacing w:line="480" w:lineRule="atLeast"/>
        <w:ind w:firstLine="480"/>
        <w:contextualSpacing/>
        <w:rPr>
          <w:rFonts w:ascii="Times New Roman" w:hAnsi="Times New Roman" w:eastAsia="宋体"/>
          <w:snapToGrid w:val="0"/>
          <w:color w:val="auto"/>
          <w:kern w:val="0"/>
          <w:sz w:val="24"/>
          <w:szCs w:val="24"/>
        </w:rPr>
      </w:pPr>
      <w:r>
        <w:rPr>
          <w:rFonts w:hint="eastAsia" w:ascii="宋体" w:hAnsi="宋体" w:cs="宋体"/>
          <w:snapToGrid w:val="0"/>
          <w:color w:val="auto"/>
          <w:kern w:val="0"/>
          <w:sz w:val="24"/>
          <w:szCs w:val="24"/>
        </w:rPr>
        <w:t>⑥</w:t>
      </w:r>
      <w:r>
        <w:rPr>
          <w:rFonts w:ascii="Times New Roman" w:hAnsi="Times New Roman" w:eastAsia="宋体"/>
          <w:snapToGrid w:val="0"/>
          <w:color w:val="auto"/>
          <w:kern w:val="0"/>
          <w:sz w:val="24"/>
          <w:szCs w:val="24"/>
        </w:rPr>
        <w:t>电流互感器二次回路应采用试验端子、接线应用2.5mm2塑铜导线；</w:t>
      </w:r>
    </w:p>
    <w:p w14:paraId="6927F224">
      <w:pPr>
        <w:snapToGrid w:val="0"/>
        <w:spacing w:line="480" w:lineRule="atLeast"/>
        <w:ind w:firstLine="480"/>
        <w:contextualSpacing/>
        <w:rPr>
          <w:rFonts w:ascii="Times New Roman" w:hAnsi="Times New Roman" w:eastAsia="宋体"/>
          <w:snapToGrid w:val="0"/>
          <w:color w:val="auto"/>
          <w:kern w:val="0"/>
          <w:sz w:val="24"/>
          <w:szCs w:val="24"/>
        </w:rPr>
      </w:pPr>
      <w:r>
        <w:rPr>
          <w:rFonts w:hint="eastAsia" w:ascii="宋体" w:hAnsi="宋体" w:cs="宋体"/>
          <w:snapToGrid w:val="0"/>
          <w:color w:val="auto"/>
          <w:kern w:val="0"/>
          <w:sz w:val="24"/>
          <w:szCs w:val="24"/>
        </w:rPr>
        <w:t>⑦</w:t>
      </w:r>
      <w:r>
        <w:rPr>
          <w:rFonts w:ascii="Times New Roman" w:hAnsi="Times New Roman" w:eastAsia="宋体"/>
          <w:snapToGrid w:val="0"/>
          <w:color w:val="auto"/>
          <w:kern w:val="0"/>
          <w:sz w:val="24"/>
          <w:szCs w:val="24"/>
        </w:rPr>
        <w:t>所有</w:t>
      </w:r>
      <w:r>
        <w:rPr>
          <w:rFonts w:hint="eastAsia" w:ascii="Times New Roman" w:hAnsi="Times New Roman" w:eastAsia="宋体"/>
          <w:snapToGrid w:val="0"/>
          <w:color w:val="auto"/>
          <w:kern w:val="0"/>
          <w:sz w:val="24"/>
          <w:szCs w:val="24"/>
          <w:lang w:val="en-US" w:eastAsia="zh-CN"/>
        </w:rPr>
        <w:t>柜</w:t>
      </w:r>
      <w:r>
        <w:rPr>
          <w:rFonts w:ascii="Times New Roman" w:hAnsi="Times New Roman" w:eastAsia="宋体"/>
          <w:snapToGrid w:val="0"/>
          <w:color w:val="auto"/>
          <w:kern w:val="0"/>
          <w:sz w:val="24"/>
          <w:szCs w:val="24"/>
        </w:rPr>
        <w:t>内所有的接线端子采用国内外知名品牌产品，数量应满足终期要求，并加20%的备用端子和30%的备用端子导轨，每一端子有清楚的编号（十年内不会磨灭）；</w:t>
      </w:r>
    </w:p>
    <w:p w14:paraId="43522F23">
      <w:pPr>
        <w:snapToGrid w:val="0"/>
        <w:spacing w:line="480" w:lineRule="atLeast"/>
        <w:ind w:firstLine="480"/>
        <w:contextualSpacing/>
        <w:rPr>
          <w:rFonts w:ascii="Times New Roman" w:hAnsi="Times New Roman" w:eastAsia="宋体"/>
          <w:snapToGrid w:val="0"/>
          <w:color w:val="auto"/>
          <w:kern w:val="0"/>
          <w:sz w:val="24"/>
          <w:szCs w:val="24"/>
        </w:rPr>
      </w:pPr>
      <w:r>
        <w:rPr>
          <w:rFonts w:hint="eastAsia" w:ascii="宋体" w:hAnsi="宋体" w:cs="宋体"/>
          <w:snapToGrid w:val="0"/>
          <w:color w:val="auto"/>
          <w:kern w:val="0"/>
          <w:sz w:val="24"/>
          <w:szCs w:val="24"/>
        </w:rPr>
        <w:t>⑧</w:t>
      </w:r>
      <w:r>
        <w:rPr>
          <w:rFonts w:hint="eastAsia" w:ascii="宋体" w:hAnsi="宋体" w:cs="宋体"/>
          <w:snapToGrid w:val="0"/>
          <w:color w:val="auto"/>
          <w:kern w:val="0"/>
          <w:sz w:val="24"/>
          <w:szCs w:val="24"/>
          <w:lang w:val="en-US" w:eastAsia="zh-CN"/>
        </w:rPr>
        <w:t>柜</w:t>
      </w:r>
      <w:r>
        <w:rPr>
          <w:rFonts w:ascii="Times New Roman" w:hAnsi="Times New Roman" w:eastAsia="宋体"/>
          <w:snapToGrid w:val="0"/>
          <w:color w:val="auto"/>
          <w:kern w:val="0"/>
          <w:sz w:val="24"/>
          <w:szCs w:val="24"/>
        </w:rPr>
        <w:t>门上标字框采用有机玻璃制作，字体采用中文印刷体。标字框应表明元件所对应的设备名称及功能。</w:t>
      </w:r>
    </w:p>
    <w:p w14:paraId="3C8E38BD">
      <w:pPr>
        <w:pStyle w:val="86"/>
        <w:spacing w:line="360" w:lineRule="auto"/>
        <w:contextualSpacing/>
        <w:jc w:val="both"/>
        <w:rPr>
          <w:rFonts w:hint="default" w:ascii="Times New Roman" w:hAnsi="Times New Roman" w:eastAsia="宋体"/>
          <w:b/>
          <w:bCs/>
          <w:color w:val="auto"/>
          <w:kern w:val="0"/>
          <w:sz w:val="24"/>
          <w:highlight w:val="none"/>
          <w:lang w:val="en-US" w:eastAsia="zh-CN"/>
        </w:rPr>
      </w:pPr>
      <w:r>
        <w:rPr>
          <w:rFonts w:hint="eastAsia" w:ascii="Times New Roman" w:hAnsi="Times New Roman" w:eastAsia="宋体"/>
          <w:color w:val="auto"/>
          <w:kern w:val="0"/>
          <w:sz w:val="24"/>
          <w:highlight w:val="none"/>
          <w:lang w:val="en-US" w:eastAsia="zh-CN"/>
        </w:rPr>
        <w:t>⑨</w:t>
      </w:r>
      <w:r>
        <w:rPr>
          <w:rFonts w:ascii="Times New Roman" w:hAnsi="Times New Roman" w:eastAsia="宋体"/>
          <w:color w:val="auto"/>
          <w:kern w:val="0"/>
          <w:sz w:val="24"/>
          <w:highlight w:val="none"/>
        </w:rPr>
        <w:t>接地：独立接地，接地电阻 ≤ 4Ω</w:t>
      </w:r>
      <w:r>
        <w:rPr>
          <w:rFonts w:hint="eastAsia" w:ascii="Times New Roman" w:hAnsi="Times New Roman" w:eastAsia="宋体"/>
          <w:color w:val="auto"/>
          <w:kern w:val="0"/>
          <w:sz w:val="24"/>
          <w:highlight w:val="none"/>
        </w:rPr>
        <w:t>；</w:t>
      </w:r>
      <w:r>
        <w:rPr>
          <w:rFonts w:hint="eastAsia" w:ascii="Times New Roman" w:hAnsi="Times New Roman" w:eastAsia="宋体"/>
          <w:color w:val="auto"/>
          <w:kern w:val="0"/>
          <w:sz w:val="24"/>
          <w:highlight w:val="none"/>
          <w:lang w:val="en-US" w:eastAsia="zh-CN"/>
        </w:rPr>
        <w:t>布线需</w:t>
      </w:r>
      <w:r>
        <w:rPr>
          <w:rFonts w:ascii="Times New Roman" w:hAnsi="Times New Roman" w:eastAsia="宋体"/>
          <w:color w:val="auto"/>
          <w:kern w:val="0"/>
          <w:sz w:val="24"/>
          <w:highlight w:val="none"/>
        </w:rPr>
        <w:t>强弱电分离，信号线使用屏蔽电缆</w:t>
      </w:r>
      <w:r>
        <w:rPr>
          <w:rFonts w:hint="eastAsia" w:ascii="Times New Roman" w:hAnsi="Times New Roman" w:eastAsia="宋体"/>
          <w:color w:val="auto"/>
          <w:kern w:val="0"/>
          <w:sz w:val="24"/>
          <w:highlight w:val="none"/>
        </w:rPr>
        <w:t>；</w:t>
      </w:r>
    </w:p>
    <w:p w14:paraId="753FD071">
      <w:pPr>
        <w:pStyle w:val="86"/>
        <w:spacing w:line="360" w:lineRule="auto"/>
        <w:ind w:firstLine="482" w:firstLineChars="200"/>
        <w:contextualSpacing/>
        <w:jc w:val="both"/>
        <w:rPr>
          <w:rFonts w:ascii="Times New Roman" w:hAnsi="Times New Roman" w:eastAsia="宋体"/>
          <w:color w:val="auto"/>
          <w:kern w:val="0"/>
          <w:sz w:val="24"/>
          <w:highlight w:val="none"/>
        </w:rPr>
      </w:pPr>
      <w:r>
        <w:rPr>
          <w:rFonts w:hint="eastAsia" w:ascii="Times New Roman" w:hAnsi="Times New Roman" w:eastAsia="宋体"/>
          <w:b/>
          <w:bCs/>
          <w:color w:val="auto"/>
          <w:kern w:val="0"/>
          <w:sz w:val="24"/>
          <w:highlight w:val="none"/>
        </w:rPr>
        <w:t>电气控制系统（全自动给水设备及精准除砂装置）</w:t>
      </w:r>
    </w:p>
    <w:p w14:paraId="053A0A80">
      <w:pPr>
        <w:snapToGrid w:val="0"/>
        <w:spacing w:line="480" w:lineRule="atLeast"/>
        <w:ind w:firstLine="420" w:firstLineChars="0"/>
        <w:contextualSpacing/>
        <w:rPr>
          <w:rFonts w:ascii="Times New Roman" w:hAnsi="Times New Roman" w:eastAsia="宋体"/>
          <w:snapToGrid w:val="0"/>
          <w:color w:val="auto"/>
          <w:kern w:val="0"/>
          <w:sz w:val="24"/>
          <w:szCs w:val="24"/>
          <w:highlight w:val="none"/>
        </w:rPr>
      </w:pPr>
      <w:r>
        <w:rPr>
          <w:rFonts w:hint="eastAsia" w:ascii="Times New Roman" w:hAnsi="Times New Roman"/>
          <w:snapToGrid w:val="0"/>
          <w:color w:val="auto"/>
          <w:kern w:val="0"/>
          <w:sz w:val="24"/>
          <w:szCs w:val="24"/>
          <w:highlight w:val="none"/>
          <w:lang w:val="en-US" w:eastAsia="zh-CN"/>
        </w:rPr>
        <w:t>智慧控制系统应包含所有的计时器、变频器、启停器、开关、指示灯、以及操作以下所有设备的组件（包括</w:t>
      </w:r>
      <w:r>
        <w:rPr>
          <w:rFonts w:ascii="Times New Roman" w:hAnsi="Times New Roman" w:eastAsia="宋体"/>
          <w:snapToGrid w:val="0"/>
          <w:color w:val="auto"/>
          <w:kern w:val="0"/>
          <w:sz w:val="24"/>
          <w:szCs w:val="24"/>
          <w:highlight w:val="none"/>
        </w:rPr>
        <w:t>多层旋流沉砂器、</w:t>
      </w:r>
      <w:r>
        <w:rPr>
          <w:rFonts w:hint="eastAsia" w:ascii="Times New Roman" w:hAnsi="Times New Roman" w:eastAsia="宋体"/>
          <w:snapToGrid w:val="0"/>
          <w:color w:val="auto"/>
          <w:kern w:val="0"/>
          <w:sz w:val="24"/>
          <w:szCs w:val="24"/>
          <w:highlight w:val="none"/>
        </w:rPr>
        <w:t>排砂</w:t>
      </w:r>
      <w:r>
        <w:rPr>
          <w:rFonts w:hint="eastAsia" w:ascii="Times New Roman" w:hAnsi="Times New Roman" w:eastAsia="宋体"/>
          <w:snapToGrid w:val="0"/>
          <w:color w:val="auto"/>
          <w:kern w:val="0"/>
          <w:sz w:val="24"/>
          <w:szCs w:val="24"/>
          <w:highlight w:val="none"/>
          <w:lang w:val="en-US" w:eastAsia="zh-CN"/>
        </w:rPr>
        <w:t>泵、</w:t>
      </w:r>
      <w:r>
        <w:rPr>
          <w:rFonts w:hint="eastAsia" w:ascii="Times New Roman" w:hAnsi="Times New Roman"/>
          <w:snapToGrid w:val="0"/>
          <w:color w:val="auto"/>
          <w:kern w:val="0"/>
          <w:sz w:val="24"/>
          <w:szCs w:val="24"/>
          <w:highlight w:val="none"/>
          <w:lang w:val="en-US" w:eastAsia="zh-CN"/>
        </w:rPr>
        <w:t>反冲洗流化系统增压泵、流量计、压力表、液位计</w:t>
      </w:r>
      <w:r>
        <w:rPr>
          <w:rFonts w:hint="eastAsia" w:ascii="Times New Roman" w:hAnsi="Times New Roman" w:eastAsia="宋体"/>
          <w:snapToGrid w:val="0"/>
          <w:color w:val="auto"/>
          <w:kern w:val="0"/>
          <w:sz w:val="24"/>
          <w:szCs w:val="24"/>
          <w:highlight w:val="none"/>
          <w:lang w:eastAsia="zh-CN"/>
        </w:rPr>
        <w:t>、</w:t>
      </w:r>
      <w:r>
        <w:rPr>
          <w:rFonts w:hint="eastAsia" w:ascii="Times New Roman" w:hAnsi="Times New Roman" w:eastAsia="宋体"/>
          <w:snapToGrid w:val="0"/>
          <w:color w:val="auto"/>
          <w:kern w:val="0"/>
          <w:sz w:val="24"/>
          <w:szCs w:val="24"/>
          <w:highlight w:val="none"/>
          <w:lang w:val="en-US" w:eastAsia="zh-CN"/>
        </w:rPr>
        <w:t>洗砂</w:t>
      </w:r>
      <w:r>
        <w:rPr>
          <w:rFonts w:hint="eastAsia" w:ascii="Times New Roman" w:hAnsi="Times New Roman"/>
          <w:snapToGrid w:val="0"/>
          <w:color w:val="auto"/>
          <w:kern w:val="0"/>
          <w:sz w:val="24"/>
          <w:szCs w:val="24"/>
          <w:highlight w:val="none"/>
          <w:lang w:eastAsia="zh-CN"/>
        </w:rPr>
        <w:t>分砂脱水一体机</w:t>
      </w:r>
      <w:r>
        <w:rPr>
          <w:rFonts w:ascii="Times New Roman" w:hAnsi="Times New Roman" w:eastAsia="宋体"/>
          <w:snapToGrid w:val="0"/>
          <w:color w:val="auto"/>
          <w:kern w:val="0"/>
          <w:sz w:val="24"/>
          <w:szCs w:val="24"/>
          <w:highlight w:val="none"/>
        </w:rPr>
        <w:t>）</w:t>
      </w:r>
      <w:r>
        <w:rPr>
          <w:rFonts w:hint="eastAsia" w:ascii="Times New Roman" w:hAnsi="Times New Roman" w:eastAsia="宋体"/>
          <w:snapToGrid w:val="0"/>
          <w:color w:val="auto"/>
          <w:kern w:val="0"/>
          <w:sz w:val="24"/>
          <w:szCs w:val="24"/>
          <w:highlight w:val="none"/>
          <w:lang w:eastAsia="zh-CN"/>
        </w:rPr>
        <w:t>，</w:t>
      </w:r>
      <w:r>
        <w:rPr>
          <w:rFonts w:hint="eastAsia" w:ascii="Times New Roman" w:hAnsi="Times New Roman"/>
          <w:snapToGrid w:val="0"/>
          <w:color w:val="auto"/>
          <w:kern w:val="0"/>
          <w:sz w:val="24"/>
          <w:szCs w:val="24"/>
          <w:highlight w:val="none"/>
          <w:lang w:val="en-US" w:eastAsia="zh-CN"/>
        </w:rPr>
        <w:t>系统的</w:t>
      </w:r>
      <w:r>
        <w:rPr>
          <w:rFonts w:ascii="Times New Roman" w:hAnsi="Times New Roman" w:eastAsia="宋体"/>
          <w:snapToGrid w:val="0"/>
          <w:color w:val="auto"/>
          <w:kern w:val="0"/>
          <w:sz w:val="24"/>
          <w:szCs w:val="24"/>
          <w:highlight w:val="none"/>
        </w:rPr>
        <w:t>操作方式应为就地手动、就地PLC自动控制</w:t>
      </w:r>
      <w:r>
        <w:rPr>
          <w:rFonts w:hint="eastAsia" w:ascii="Times New Roman" w:hAnsi="Times New Roman" w:eastAsia="宋体"/>
          <w:snapToGrid w:val="0"/>
          <w:color w:val="auto"/>
          <w:kern w:val="0"/>
          <w:sz w:val="24"/>
          <w:szCs w:val="24"/>
          <w:highlight w:val="none"/>
          <w:lang w:eastAsia="zh-CN"/>
        </w:rPr>
        <w:t>、</w:t>
      </w:r>
      <w:r>
        <w:rPr>
          <w:rFonts w:ascii="Times New Roman" w:hAnsi="Times New Roman" w:eastAsia="宋体"/>
          <w:snapToGrid w:val="0"/>
          <w:color w:val="auto"/>
          <w:kern w:val="0"/>
          <w:sz w:val="24"/>
          <w:szCs w:val="24"/>
          <w:highlight w:val="none"/>
        </w:rPr>
        <w:t>远程自动控制</w:t>
      </w:r>
      <w:r>
        <w:rPr>
          <w:rFonts w:hint="eastAsia" w:ascii="Times New Roman" w:hAnsi="Times New Roman" w:eastAsia="宋体"/>
          <w:snapToGrid w:val="0"/>
          <w:color w:val="auto"/>
          <w:kern w:val="0"/>
          <w:sz w:val="24"/>
          <w:szCs w:val="24"/>
          <w:highlight w:val="none"/>
          <w:lang w:eastAsia="zh-CN"/>
        </w:rPr>
        <w:t>、</w:t>
      </w:r>
      <w:r>
        <w:rPr>
          <w:rFonts w:hint="eastAsia" w:ascii="Times New Roman" w:hAnsi="Times New Roman" w:eastAsia="宋体"/>
          <w:snapToGrid w:val="0"/>
          <w:color w:val="auto"/>
          <w:kern w:val="0"/>
          <w:sz w:val="24"/>
          <w:szCs w:val="24"/>
          <w:highlight w:val="none"/>
          <w:lang w:val="en-US" w:eastAsia="zh-CN"/>
        </w:rPr>
        <w:t>停止四</w:t>
      </w:r>
      <w:r>
        <w:rPr>
          <w:rFonts w:ascii="Times New Roman" w:hAnsi="Times New Roman" w:eastAsia="宋体"/>
          <w:snapToGrid w:val="0"/>
          <w:color w:val="auto"/>
          <w:kern w:val="0"/>
          <w:sz w:val="24"/>
          <w:szCs w:val="24"/>
          <w:highlight w:val="none"/>
        </w:rPr>
        <w:t>种方式。</w:t>
      </w:r>
      <w:r>
        <w:rPr>
          <w:rFonts w:hint="eastAsia" w:ascii="Times New Roman" w:hAnsi="Times New Roman"/>
          <w:snapToGrid w:val="0"/>
          <w:color w:val="auto"/>
          <w:kern w:val="0"/>
          <w:sz w:val="24"/>
          <w:szCs w:val="24"/>
          <w:highlight w:val="none"/>
          <w:lang w:val="en-US" w:eastAsia="zh-CN"/>
        </w:rPr>
        <w:t>在</w:t>
      </w:r>
      <w:r>
        <w:rPr>
          <w:rFonts w:ascii="Times New Roman" w:hAnsi="Times New Roman" w:eastAsia="宋体"/>
          <w:snapToGrid w:val="0"/>
          <w:color w:val="auto"/>
          <w:kern w:val="0"/>
          <w:sz w:val="24"/>
          <w:szCs w:val="24"/>
          <w:highlight w:val="none"/>
        </w:rPr>
        <w:t>就地手动</w:t>
      </w:r>
      <w:r>
        <w:rPr>
          <w:rFonts w:hint="eastAsia" w:ascii="Times New Roman" w:hAnsi="Times New Roman"/>
          <w:snapToGrid w:val="0"/>
          <w:color w:val="auto"/>
          <w:kern w:val="0"/>
          <w:sz w:val="24"/>
          <w:szCs w:val="24"/>
          <w:highlight w:val="none"/>
          <w:lang w:val="en-US" w:eastAsia="zh-CN"/>
        </w:rPr>
        <w:t>控制方式下</w:t>
      </w:r>
      <w:r>
        <w:rPr>
          <w:rFonts w:ascii="Times New Roman" w:hAnsi="Times New Roman" w:eastAsia="宋体"/>
          <w:snapToGrid w:val="0"/>
          <w:color w:val="auto"/>
          <w:kern w:val="0"/>
          <w:sz w:val="24"/>
          <w:szCs w:val="24"/>
          <w:highlight w:val="none"/>
        </w:rPr>
        <w:t>，</w:t>
      </w:r>
      <w:r>
        <w:rPr>
          <w:rFonts w:hint="eastAsia" w:ascii="Times New Roman" w:hAnsi="Times New Roman"/>
          <w:snapToGrid w:val="0"/>
          <w:color w:val="auto"/>
          <w:kern w:val="0"/>
          <w:sz w:val="24"/>
          <w:szCs w:val="24"/>
          <w:highlight w:val="none"/>
          <w:lang w:val="en-US" w:eastAsia="zh-CN"/>
        </w:rPr>
        <w:t>可以就地对系统内任何一个设备进行单独手动控制其启动和停止；在就地PLC自动控制方式下，</w:t>
      </w:r>
      <w:r>
        <w:rPr>
          <w:rFonts w:ascii="Times New Roman" w:hAnsi="Times New Roman" w:eastAsia="宋体"/>
          <w:snapToGrid w:val="0"/>
          <w:color w:val="auto"/>
          <w:kern w:val="0"/>
          <w:sz w:val="24"/>
          <w:szCs w:val="24"/>
          <w:highlight w:val="none"/>
        </w:rPr>
        <w:t>应完成除砂</w:t>
      </w:r>
      <w:r>
        <w:rPr>
          <w:rFonts w:hint="eastAsia" w:ascii="Times New Roman" w:hAnsi="Times New Roman"/>
          <w:snapToGrid w:val="0"/>
          <w:color w:val="auto"/>
          <w:kern w:val="0"/>
          <w:sz w:val="24"/>
          <w:szCs w:val="24"/>
          <w:highlight w:val="none"/>
          <w:lang w:val="en-US" w:eastAsia="zh-CN"/>
        </w:rPr>
        <w:t>系统</w:t>
      </w:r>
      <w:r>
        <w:rPr>
          <w:rFonts w:ascii="Times New Roman" w:hAnsi="Times New Roman" w:eastAsia="宋体"/>
          <w:snapToGrid w:val="0"/>
          <w:color w:val="auto"/>
          <w:kern w:val="0"/>
          <w:sz w:val="24"/>
          <w:szCs w:val="24"/>
          <w:highlight w:val="none"/>
        </w:rPr>
        <w:t>（多层旋流沉砂器、</w:t>
      </w:r>
      <w:r>
        <w:rPr>
          <w:rFonts w:hint="eastAsia" w:ascii="Times New Roman" w:hAnsi="Times New Roman" w:eastAsia="宋体"/>
          <w:snapToGrid w:val="0"/>
          <w:color w:val="auto"/>
          <w:kern w:val="0"/>
          <w:sz w:val="24"/>
          <w:szCs w:val="24"/>
          <w:highlight w:val="none"/>
        </w:rPr>
        <w:t>排砂泵</w:t>
      </w:r>
      <w:r>
        <w:rPr>
          <w:rFonts w:ascii="Times New Roman" w:hAnsi="Times New Roman" w:eastAsia="宋体"/>
          <w:snapToGrid w:val="0"/>
          <w:color w:val="auto"/>
          <w:kern w:val="0"/>
          <w:sz w:val="24"/>
          <w:szCs w:val="24"/>
          <w:highlight w:val="none"/>
        </w:rPr>
        <w:t>）</w:t>
      </w:r>
      <w:r>
        <w:rPr>
          <w:rFonts w:hint="eastAsia" w:ascii="Times New Roman" w:hAnsi="Times New Roman"/>
          <w:snapToGrid w:val="0"/>
          <w:color w:val="auto"/>
          <w:kern w:val="0"/>
          <w:sz w:val="24"/>
          <w:szCs w:val="24"/>
          <w:highlight w:val="none"/>
          <w:lang w:val="en-US" w:eastAsia="zh-CN"/>
        </w:rPr>
        <w:t>流化系统（反冲洗流化系统增压泵、流量计、压力表、液位计）</w:t>
      </w:r>
      <w:r>
        <w:rPr>
          <w:rFonts w:ascii="Times New Roman" w:hAnsi="Times New Roman" w:eastAsia="宋体"/>
          <w:snapToGrid w:val="0"/>
          <w:color w:val="auto"/>
          <w:kern w:val="0"/>
          <w:sz w:val="24"/>
          <w:szCs w:val="24"/>
          <w:highlight w:val="none"/>
        </w:rPr>
        <w:t>及</w:t>
      </w:r>
      <w:r>
        <w:rPr>
          <w:rFonts w:hint="eastAsia" w:ascii="Times New Roman" w:hAnsi="Times New Roman"/>
          <w:snapToGrid w:val="0"/>
          <w:color w:val="auto"/>
          <w:kern w:val="0"/>
          <w:sz w:val="24"/>
          <w:szCs w:val="24"/>
          <w:highlight w:val="none"/>
          <w:lang w:val="en-US" w:eastAsia="zh-CN"/>
        </w:rPr>
        <w:t>洗砂</w:t>
      </w:r>
      <w:r>
        <w:rPr>
          <w:rFonts w:hint="eastAsia" w:ascii="Times New Roman" w:hAnsi="Times New Roman" w:eastAsia="宋体"/>
          <w:snapToGrid w:val="0"/>
          <w:color w:val="auto"/>
          <w:kern w:val="0"/>
          <w:sz w:val="24"/>
          <w:szCs w:val="24"/>
          <w:highlight w:val="none"/>
        </w:rPr>
        <w:t>分砂</w:t>
      </w:r>
      <w:r>
        <w:rPr>
          <w:rFonts w:hint="eastAsia" w:ascii="Times New Roman" w:hAnsi="Times New Roman" w:eastAsia="宋体"/>
          <w:snapToGrid w:val="0"/>
          <w:color w:val="auto"/>
          <w:kern w:val="0"/>
          <w:sz w:val="24"/>
          <w:szCs w:val="24"/>
          <w:highlight w:val="none"/>
          <w:lang w:val="en-US" w:eastAsia="zh-CN"/>
        </w:rPr>
        <w:t>脱水</w:t>
      </w:r>
      <w:r>
        <w:rPr>
          <w:rFonts w:hint="eastAsia" w:ascii="Times New Roman" w:hAnsi="Times New Roman"/>
          <w:snapToGrid w:val="0"/>
          <w:color w:val="auto"/>
          <w:kern w:val="0"/>
          <w:sz w:val="24"/>
          <w:szCs w:val="24"/>
          <w:highlight w:val="none"/>
          <w:lang w:val="en-US" w:eastAsia="zh-CN"/>
        </w:rPr>
        <w:t>系统</w:t>
      </w:r>
      <w:r>
        <w:rPr>
          <w:rFonts w:ascii="Times New Roman" w:hAnsi="Times New Roman" w:eastAsia="宋体"/>
          <w:snapToGrid w:val="0"/>
          <w:color w:val="auto"/>
          <w:kern w:val="0"/>
          <w:sz w:val="24"/>
          <w:szCs w:val="24"/>
          <w:highlight w:val="none"/>
        </w:rPr>
        <w:t>（</w:t>
      </w:r>
      <w:r>
        <w:rPr>
          <w:rFonts w:hint="eastAsia" w:ascii="Times New Roman" w:hAnsi="Times New Roman"/>
          <w:snapToGrid w:val="0"/>
          <w:color w:val="auto"/>
          <w:kern w:val="0"/>
          <w:sz w:val="24"/>
          <w:szCs w:val="24"/>
          <w:highlight w:val="none"/>
          <w:lang w:val="en-US" w:eastAsia="zh-CN"/>
        </w:rPr>
        <w:t>洗</w:t>
      </w:r>
      <w:r>
        <w:rPr>
          <w:rFonts w:hint="eastAsia" w:ascii="Times New Roman" w:hAnsi="Times New Roman" w:eastAsia="宋体"/>
          <w:snapToGrid w:val="0"/>
          <w:color w:val="auto"/>
          <w:kern w:val="0"/>
          <w:sz w:val="24"/>
          <w:szCs w:val="24"/>
          <w:highlight w:val="none"/>
        </w:rPr>
        <w:t>砂</w:t>
      </w:r>
      <w:r>
        <w:rPr>
          <w:rFonts w:hint="eastAsia" w:ascii="Times New Roman" w:hAnsi="Times New Roman"/>
          <w:snapToGrid w:val="0"/>
          <w:color w:val="auto"/>
          <w:kern w:val="0"/>
          <w:sz w:val="24"/>
          <w:szCs w:val="24"/>
          <w:highlight w:val="none"/>
          <w:lang w:eastAsia="zh-CN"/>
        </w:rPr>
        <w:t>分砂脱水一体机</w:t>
      </w:r>
      <w:r>
        <w:rPr>
          <w:rFonts w:ascii="Times New Roman" w:hAnsi="Times New Roman" w:eastAsia="宋体"/>
          <w:snapToGrid w:val="0"/>
          <w:color w:val="auto"/>
          <w:kern w:val="0"/>
          <w:sz w:val="24"/>
          <w:szCs w:val="24"/>
          <w:highlight w:val="none"/>
        </w:rPr>
        <w:t>）的联动运行</w:t>
      </w:r>
      <w:r>
        <w:rPr>
          <w:rFonts w:hint="eastAsia" w:ascii="Times New Roman" w:hAnsi="Times New Roman"/>
          <w:snapToGrid w:val="0"/>
          <w:color w:val="auto"/>
          <w:kern w:val="0"/>
          <w:sz w:val="24"/>
          <w:szCs w:val="24"/>
          <w:highlight w:val="none"/>
          <w:lang w:eastAsia="zh-CN"/>
        </w:rPr>
        <w:t>；</w:t>
      </w:r>
      <w:r>
        <w:rPr>
          <w:rFonts w:ascii="Times New Roman" w:hAnsi="Times New Roman" w:eastAsia="宋体"/>
          <w:snapToGrid w:val="0"/>
          <w:color w:val="auto"/>
          <w:kern w:val="0"/>
          <w:sz w:val="24"/>
          <w:szCs w:val="24"/>
          <w:highlight w:val="none"/>
        </w:rPr>
        <w:t>在远程自动</w:t>
      </w:r>
      <w:r>
        <w:rPr>
          <w:rFonts w:hint="eastAsia" w:ascii="Times New Roman" w:hAnsi="Times New Roman"/>
          <w:snapToGrid w:val="0"/>
          <w:color w:val="auto"/>
          <w:kern w:val="0"/>
          <w:sz w:val="24"/>
          <w:szCs w:val="24"/>
          <w:highlight w:val="none"/>
          <w:lang w:val="en-US" w:eastAsia="zh-CN"/>
        </w:rPr>
        <w:t>控制</w:t>
      </w:r>
      <w:r>
        <w:rPr>
          <w:rFonts w:ascii="Times New Roman" w:hAnsi="Times New Roman" w:eastAsia="宋体"/>
          <w:snapToGrid w:val="0"/>
          <w:color w:val="auto"/>
          <w:kern w:val="0"/>
          <w:sz w:val="24"/>
          <w:szCs w:val="24"/>
          <w:highlight w:val="none"/>
        </w:rPr>
        <w:t>方式下，</w:t>
      </w:r>
      <w:r>
        <w:rPr>
          <w:rFonts w:hint="eastAsia" w:ascii="Times New Roman" w:hAnsi="Times New Roman" w:eastAsia="宋体"/>
          <w:snapToGrid w:val="0"/>
          <w:color w:val="auto"/>
          <w:kern w:val="0"/>
          <w:sz w:val="24"/>
          <w:szCs w:val="24"/>
          <w:highlight w:val="none"/>
          <w:lang w:eastAsia="zh-CN"/>
        </w:rPr>
        <w:t>高精度沉砂</w:t>
      </w:r>
      <w:r>
        <w:rPr>
          <w:rFonts w:hint="eastAsia" w:ascii="Times New Roman" w:hAnsi="Times New Roman" w:eastAsia="宋体"/>
          <w:snapToGrid w:val="0"/>
          <w:color w:val="auto"/>
          <w:kern w:val="0"/>
          <w:sz w:val="24"/>
          <w:szCs w:val="24"/>
          <w:highlight w:val="none"/>
        </w:rPr>
        <w:t>池系统</w:t>
      </w:r>
      <w:r>
        <w:rPr>
          <w:rFonts w:ascii="Times New Roman" w:hAnsi="Times New Roman" w:eastAsia="宋体"/>
          <w:snapToGrid w:val="0"/>
          <w:color w:val="auto"/>
          <w:kern w:val="0"/>
          <w:sz w:val="24"/>
          <w:szCs w:val="24"/>
          <w:highlight w:val="none"/>
        </w:rPr>
        <w:t>可以由污水厂自控系统远程操作运行、停止。</w:t>
      </w:r>
    </w:p>
    <w:p w14:paraId="6CC4A73A">
      <w:pPr>
        <w:pStyle w:val="86"/>
        <w:spacing w:line="360" w:lineRule="auto"/>
        <w:ind w:firstLine="720" w:firstLineChars="300"/>
        <w:contextualSpacing/>
        <w:jc w:val="both"/>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1）</w:t>
      </w:r>
      <w:r>
        <w:rPr>
          <w:rFonts w:ascii="Times New Roman" w:hAnsi="Times New Roman" w:eastAsia="宋体"/>
          <w:color w:val="auto"/>
          <w:kern w:val="0"/>
          <w:sz w:val="24"/>
          <w:highlight w:val="none"/>
        </w:rPr>
        <w:t>PLC</w:t>
      </w:r>
    </w:p>
    <w:p w14:paraId="21656F4B">
      <w:pPr>
        <w:pStyle w:val="86"/>
        <w:spacing w:line="360" w:lineRule="auto"/>
        <w:ind w:firstLine="720" w:firstLineChars="300"/>
        <w:contextualSpacing/>
        <w:jc w:val="both"/>
        <w:rPr>
          <w:rFonts w:hint="eastAsia" w:ascii="Times New Roman" w:hAnsi="Times New Roman" w:eastAsia="宋体"/>
          <w:color w:val="auto"/>
          <w:kern w:val="0"/>
          <w:sz w:val="24"/>
          <w:highlight w:val="none"/>
        </w:rPr>
      </w:pPr>
      <w:r>
        <w:rPr>
          <w:rFonts w:ascii="Times New Roman" w:hAnsi="Times New Roman" w:eastAsia="宋体"/>
          <w:color w:val="auto"/>
          <w:kern w:val="0"/>
          <w:sz w:val="24"/>
          <w:highlight w:val="none"/>
        </w:rPr>
        <w:t>品牌：</w:t>
      </w:r>
      <w:r>
        <w:rPr>
          <w:rFonts w:hint="eastAsia" w:ascii="Times New Roman" w:hAnsi="Times New Roman" w:eastAsia="宋体"/>
          <w:color w:val="auto"/>
          <w:kern w:val="0"/>
          <w:sz w:val="24"/>
          <w:highlight w:val="none"/>
        </w:rPr>
        <w:t>AB、施耐德、西门子</w:t>
      </w:r>
    </w:p>
    <w:p w14:paraId="5AB5754B">
      <w:pPr>
        <w:pStyle w:val="86"/>
        <w:spacing w:line="360" w:lineRule="auto"/>
        <w:ind w:firstLine="720" w:firstLineChars="300"/>
        <w:contextualSpacing/>
        <w:jc w:val="both"/>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功能：</w:t>
      </w:r>
    </w:p>
    <w:p w14:paraId="1BE75B75">
      <w:pPr>
        <w:pStyle w:val="86"/>
        <w:spacing w:line="360" w:lineRule="auto"/>
        <w:ind w:firstLine="720" w:firstLineChars="300"/>
        <w:contextualSpacing/>
        <w:jc w:val="both"/>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采集并处理来自压力、压差、</w:t>
      </w:r>
      <w:r>
        <w:rPr>
          <w:rFonts w:hint="eastAsia" w:ascii="Times New Roman" w:hAnsi="Times New Roman" w:eastAsia="宋体"/>
          <w:color w:val="auto"/>
          <w:kern w:val="0"/>
          <w:sz w:val="24"/>
          <w:highlight w:val="none"/>
        </w:rPr>
        <w:t>流量等</w:t>
      </w:r>
      <w:r>
        <w:rPr>
          <w:rFonts w:ascii="Times New Roman" w:hAnsi="Times New Roman" w:eastAsia="宋体"/>
          <w:color w:val="auto"/>
          <w:kern w:val="0"/>
          <w:sz w:val="24"/>
          <w:highlight w:val="none"/>
        </w:rPr>
        <w:t>信号</w:t>
      </w:r>
      <w:r>
        <w:rPr>
          <w:rFonts w:hint="eastAsia" w:ascii="Times New Roman" w:hAnsi="Times New Roman" w:eastAsia="宋体"/>
          <w:color w:val="auto"/>
          <w:kern w:val="0"/>
          <w:sz w:val="24"/>
          <w:highlight w:val="none"/>
        </w:rPr>
        <w:t>；</w:t>
      </w:r>
    </w:p>
    <w:p w14:paraId="4B2BEC44">
      <w:pPr>
        <w:pStyle w:val="86"/>
        <w:spacing w:line="360" w:lineRule="auto"/>
        <w:ind w:firstLine="720" w:firstLineChars="300"/>
        <w:contextualSpacing/>
        <w:jc w:val="both"/>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执行反冲洗逻辑控制</w:t>
      </w:r>
      <w:r>
        <w:rPr>
          <w:rFonts w:hint="eastAsia" w:ascii="Times New Roman" w:hAnsi="Times New Roman" w:eastAsia="宋体"/>
          <w:color w:val="auto"/>
          <w:kern w:val="0"/>
          <w:sz w:val="24"/>
          <w:highlight w:val="none"/>
        </w:rPr>
        <w:t>；</w:t>
      </w:r>
    </w:p>
    <w:p w14:paraId="4D1B10D2">
      <w:pPr>
        <w:pStyle w:val="86"/>
        <w:spacing w:line="360" w:lineRule="auto"/>
        <w:ind w:firstLine="720" w:firstLineChars="300"/>
        <w:contextualSpacing/>
        <w:jc w:val="both"/>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实现与上位</w:t>
      </w:r>
      <w:r>
        <w:rPr>
          <w:rFonts w:hint="eastAsia" w:ascii="Times New Roman" w:hAnsi="Times New Roman" w:eastAsia="宋体"/>
          <w:color w:val="auto"/>
          <w:kern w:val="0"/>
          <w:sz w:val="24"/>
          <w:highlight w:val="none"/>
          <w:lang w:val="en-US" w:eastAsia="zh-CN"/>
        </w:rPr>
        <w:t>机</w:t>
      </w:r>
      <w:r>
        <w:rPr>
          <w:rFonts w:ascii="Times New Roman" w:hAnsi="Times New Roman" w:eastAsia="宋体"/>
          <w:color w:val="auto"/>
          <w:kern w:val="0"/>
          <w:sz w:val="24"/>
          <w:highlight w:val="none"/>
        </w:rPr>
        <w:t>系统的数据通信</w:t>
      </w:r>
      <w:r>
        <w:rPr>
          <w:rFonts w:hint="eastAsia" w:ascii="Times New Roman" w:hAnsi="Times New Roman" w:eastAsia="宋体"/>
          <w:color w:val="auto"/>
          <w:kern w:val="0"/>
          <w:sz w:val="24"/>
          <w:highlight w:val="none"/>
        </w:rPr>
        <w:t>；</w:t>
      </w:r>
    </w:p>
    <w:p w14:paraId="1A2520CD">
      <w:pPr>
        <w:pStyle w:val="86"/>
        <w:spacing w:line="360" w:lineRule="auto"/>
        <w:ind w:firstLine="720" w:firstLineChars="300"/>
        <w:contextualSpacing/>
        <w:jc w:val="both"/>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处理故障报警与安全联锁</w:t>
      </w:r>
      <w:r>
        <w:rPr>
          <w:rFonts w:hint="eastAsia" w:ascii="Times New Roman" w:hAnsi="Times New Roman" w:eastAsia="宋体"/>
          <w:color w:val="auto"/>
          <w:kern w:val="0"/>
          <w:sz w:val="24"/>
          <w:highlight w:val="none"/>
        </w:rPr>
        <w:t>；</w:t>
      </w:r>
    </w:p>
    <w:p w14:paraId="088426D7">
      <w:pPr>
        <w:pStyle w:val="86"/>
        <w:spacing w:line="360" w:lineRule="auto"/>
        <w:ind w:firstLine="720" w:firstLineChars="300"/>
        <w:contextualSpacing/>
        <w:jc w:val="both"/>
        <w:rPr>
          <w:rFonts w:hint="eastAsia"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PLC为智能控制单元通过根据要求编程对系统进行智能控制。触摸屏是人机对话接口，可以通过触摸屏形象动态地看到泵运行状况，水泵累计运行时间，运行次数，可以设定水泵运行参数等。</w:t>
      </w:r>
    </w:p>
    <w:p w14:paraId="61B429C5">
      <w:pPr>
        <w:pStyle w:val="86"/>
        <w:spacing w:line="360" w:lineRule="auto"/>
        <w:ind w:firstLine="720" w:firstLineChars="300"/>
        <w:contextualSpacing/>
        <w:jc w:val="both"/>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2）</w:t>
      </w:r>
      <w:r>
        <w:rPr>
          <w:rFonts w:ascii="Times New Roman" w:hAnsi="Times New Roman" w:eastAsia="宋体"/>
          <w:color w:val="auto"/>
          <w:kern w:val="0"/>
          <w:sz w:val="24"/>
          <w:highlight w:val="none"/>
        </w:rPr>
        <w:t xml:space="preserve"> 人机界面</w:t>
      </w:r>
      <w:r>
        <w:rPr>
          <w:rFonts w:hint="eastAsia" w:ascii="Times New Roman" w:hAnsi="Times New Roman" w:eastAsia="宋体"/>
          <w:color w:val="auto"/>
          <w:kern w:val="0"/>
          <w:sz w:val="24"/>
          <w:highlight w:val="none"/>
        </w:rPr>
        <w:t>（</w:t>
      </w:r>
      <w:r>
        <w:rPr>
          <w:rFonts w:ascii="Times New Roman" w:hAnsi="Times New Roman" w:eastAsia="宋体"/>
          <w:color w:val="auto"/>
          <w:kern w:val="0"/>
          <w:sz w:val="24"/>
          <w:highlight w:val="none"/>
        </w:rPr>
        <w:t>HMI</w:t>
      </w:r>
      <w:r>
        <w:rPr>
          <w:rFonts w:hint="eastAsia" w:ascii="Times New Roman" w:hAnsi="Times New Roman" w:eastAsia="宋体"/>
          <w:color w:val="auto"/>
          <w:kern w:val="0"/>
          <w:sz w:val="24"/>
          <w:highlight w:val="none"/>
        </w:rPr>
        <w:t>）</w:t>
      </w:r>
    </w:p>
    <w:p w14:paraId="46DCB1E5">
      <w:pPr>
        <w:pStyle w:val="86"/>
        <w:spacing w:line="360" w:lineRule="auto"/>
        <w:ind w:firstLine="720" w:firstLineChars="300"/>
        <w:contextualSpacing/>
        <w:jc w:val="both"/>
        <w:rPr>
          <w:rFonts w:hint="eastAsia"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触摸屏≥7英寸,高分辨率800×480dpi真彩宽屏显示，LED 背光，支持以太网通讯，集成RS 422/485通讯口。</w:t>
      </w:r>
    </w:p>
    <w:p w14:paraId="5D63350D">
      <w:pPr>
        <w:pStyle w:val="86"/>
        <w:spacing w:line="360" w:lineRule="auto"/>
        <w:ind w:firstLine="720" w:firstLineChars="300"/>
        <w:contextualSpacing/>
        <w:jc w:val="both"/>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lang w:val="en-US" w:eastAsia="zh-CN"/>
        </w:rPr>
        <w:t>推荐</w:t>
      </w:r>
      <w:r>
        <w:rPr>
          <w:rFonts w:ascii="Times New Roman" w:hAnsi="Times New Roman" w:eastAsia="宋体"/>
          <w:color w:val="auto"/>
          <w:kern w:val="0"/>
          <w:sz w:val="24"/>
          <w:highlight w:val="none"/>
        </w:rPr>
        <w:t>品牌：西门子</w:t>
      </w:r>
      <w:r>
        <w:rPr>
          <w:rFonts w:hint="eastAsia" w:ascii="Times New Roman" w:hAnsi="Times New Roman" w:eastAsia="宋体"/>
          <w:color w:val="auto"/>
          <w:kern w:val="0"/>
          <w:sz w:val="24"/>
          <w:highlight w:val="none"/>
          <w:lang w:eastAsia="zh-CN"/>
        </w:rPr>
        <w:t>、</w:t>
      </w:r>
      <w:r>
        <w:rPr>
          <w:rFonts w:hint="eastAsia" w:ascii="Times New Roman" w:hAnsi="Times New Roman" w:eastAsia="宋体"/>
          <w:color w:val="auto"/>
          <w:kern w:val="0"/>
          <w:sz w:val="24"/>
          <w:highlight w:val="none"/>
          <w:lang w:val="en-US" w:eastAsia="zh-CN"/>
        </w:rPr>
        <w:t>施耐德、AB、昆仑通态、威纶通</w:t>
      </w:r>
      <w:r>
        <w:rPr>
          <w:rFonts w:hint="eastAsia" w:ascii="Times New Roman" w:hAnsi="Times New Roman" w:eastAsia="宋体"/>
          <w:color w:val="auto"/>
          <w:kern w:val="0"/>
          <w:sz w:val="24"/>
          <w:highlight w:val="none"/>
        </w:rPr>
        <w:t>；</w:t>
      </w:r>
    </w:p>
    <w:p w14:paraId="1B0BE21A">
      <w:pPr>
        <w:pStyle w:val="86"/>
        <w:spacing w:line="360" w:lineRule="auto"/>
        <w:ind w:firstLine="720" w:firstLineChars="300"/>
        <w:contextualSpacing/>
        <w:jc w:val="both"/>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实时监控：动态显示工艺流程图、设备运行状态、进出口压力、压差、浊度等关键参数</w:t>
      </w:r>
      <w:r>
        <w:rPr>
          <w:rFonts w:hint="eastAsia" w:ascii="Times New Roman" w:hAnsi="Times New Roman" w:eastAsia="宋体"/>
          <w:color w:val="auto"/>
          <w:kern w:val="0"/>
          <w:sz w:val="24"/>
          <w:highlight w:val="none"/>
        </w:rPr>
        <w:t>；</w:t>
      </w:r>
    </w:p>
    <w:p w14:paraId="0457BE86">
      <w:pPr>
        <w:pStyle w:val="86"/>
        <w:spacing w:line="360" w:lineRule="auto"/>
        <w:ind w:firstLine="720" w:firstLineChars="300"/>
        <w:contextualSpacing/>
        <w:jc w:val="both"/>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参数设置：可设置</w:t>
      </w:r>
      <w:r>
        <w:rPr>
          <w:rFonts w:hint="eastAsia" w:ascii="Times New Roman" w:hAnsi="Times New Roman" w:eastAsia="宋体"/>
          <w:color w:val="auto"/>
          <w:kern w:val="0"/>
          <w:sz w:val="24"/>
          <w:highlight w:val="none"/>
        </w:rPr>
        <w:t>各仪表参数</w:t>
      </w:r>
      <w:r>
        <w:rPr>
          <w:rFonts w:ascii="Times New Roman" w:hAnsi="Times New Roman" w:eastAsia="宋体"/>
          <w:color w:val="auto"/>
          <w:kern w:val="0"/>
          <w:sz w:val="24"/>
          <w:highlight w:val="none"/>
        </w:rPr>
        <w:t>、定时周期、反洗时间等</w:t>
      </w:r>
      <w:r>
        <w:rPr>
          <w:rFonts w:hint="eastAsia" w:ascii="Times New Roman" w:hAnsi="Times New Roman" w:eastAsia="宋体"/>
          <w:color w:val="auto"/>
          <w:kern w:val="0"/>
          <w:sz w:val="24"/>
          <w:highlight w:val="none"/>
        </w:rPr>
        <w:t>；</w:t>
      </w:r>
    </w:p>
    <w:p w14:paraId="0CFE6F8F">
      <w:pPr>
        <w:pStyle w:val="86"/>
        <w:spacing w:line="360" w:lineRule="auto"/>
        <w:ind w:firstLine="720" w:firstLineChars="300"/>
        <w:contextualSpacing/>
        <w:jc w:val="both"/>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报警管理：实时报警弹窗，历史报警记录（≥</w:t>
      </w:r>
      <w:r>
        <w:rPr>
          <w:rFonts w:hint="eastAsia" w:ascii="Times New Roman" w:hAnsi="Times New Roman" w:eastAsia="宋体"/>
          <w:color w:val="auto"/>
          <w:kern w:val="0"/>
          <w:sz w:val="24"/>
          <w:highlight w:val="none"/>
        </w:rPr>
        <w:t>500</w:t>
      </w:r>
      <w:r>
        <w:rPr>
          <w:rFonts w:ascii="Times New Roman" w:hAnsi="Times New Roman" w:eastAsia="宋体"/>
          <w:color w:val="auto"/>
          <w:kern w:val="0"/>
          <w:sz w:val="24"/>
          <w:highlight w:val="none"/>
        </w:rPr>
        <w:t>条），支持查询与确认</w:t>
      </w:r>
      <w:r>
        <w:rPr>
          <w:rFonts w:hint="eastAsia" w:ascii="Times New Roman" w:hAnsi="Times New Roman" w:eastAsia="宋体"/>
          <w:color w:val="auto"/>
          <w:kern w:val="0"/>
          <w:sz w:val="24"/>
          <w:highlight w:val="none"/>
        </w:rPr>
        <w:t>；</w:t>
      </w:r>
    </w:p>
    <w:p w14:paraId="45D5CBC0">
      <w:pPr>
        <w:pStyle w:val="86"/>
        <w:numPr>
          <w:ilvl w:val="0"/>
          <w:numId w:val="21"/>
        </w:numPr>
        <w:spacing w:line="360" w:lineRule="auto"/>
        <w:ind w:firstLine="720" w:firstLineChars="300"/>
        <w:contextualSpacing/>
        <w:jc w:val="both"/>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运行模式</w:t>
      </w:r>
    </w:p>
    <w:p w14:paraId="5578707D">
      <w:pPr>
        <w:pStyle w:val="86"/>
        <w:numPr>
          <w:ilvl w:val="0"/>
          <w:numId w:val="0"/>
        </w:numPr>
        <w:spacing w:line="360" w:lineRule="auto"/>
        <w:ind w:firstLine="720" w:firstLineChars="300"/>
        <w:contextualSpacing/>
        <w:jc w:val="both"/>
        <w:rPr>
          <w:rFonts w:hint="default" w:ascii="Times New Roman" w:hAnsi="Times New Roman" w:eastAsia="宋体"/>
          <w:color w:val="auto"/>
          <w:kern w:val="0"/>
          <w:sz w:val="24"/>
          <w:highlight w:val="none"/>
          <w:lang w:val="en-US" w:eastAsia="zh-CN"/>
        </w:rPr>
      </w:pPr>
      <w:r>
        <w:rPr>
          <w:rFonts w:hint="eastAsia" w:ascii="Times New Roman" w:hAnsi="Times New Roman" w:eastAsia="宋体"/>
          <w:color w:val="auto"/>
          <w:kern w:val="0"/>
          <w:sz w:val="24"/>
          <w:highlight w:val="none"/>
          <w:lang w:val="en-US" w:eastAsia="zh-CN"/>
        </w:rPr>
        <w:t>控制柜面板上需设置转换开关，</w:t>
      </w:r>
      <w:r>
        <w:rPr>
          <w:rFonts w:ascii="Times New Roman" w:hAnsi="Times New Roman" w:eastAsia="宋体"/>
          <w:snapToGrid w:val="0"/>
          <w:color w:val="auto"/>
          <w:kern w:val="0"/>
          <w:sz w:val="24"/>
          <w:szCs w:val="24"/>
          <w:highlight w:val="none"/>
        </w:rPr>
        <w:t>就地手动、就地PLC自动控制和远程自动控制</w:t>
      </w:r>
      <w:r>
        <w:rPr>
          <w:rFonts w:hint="eastAsia" w:ascii="Times New Roman" w:hAnsi="Times New Roman" w:eastAsia="宋体"/>
          <w:snapToGrid w:val="0"/>
          <w:color w:val="auto"/>
          <w:kern w:val="0"/>
          <w:sz w:val="24"/>
          <w:szCs w:val="24"/>
          <w:highlight w:val="none"/>
          <w:lang w:eastAsia="zh-CN"/>
        </w:rPr>
        <w:t>、</w:t>
      </w:r>
      <w:r>
        <w:rPr>
          <w:rFonts w:hint="eastAsia" w:ascii="Times New Roman" w:hAnsi="Times New Roman" w:eastAsia="宋体"/>
          <w:snapToGrid w:val="0"/>
          <w:color w:val="auto"/>
          <w:kern w:val="0"/>
          <w:sz w:val="24"/>
          <w:szCs w:val="24"/>
          <w:highlight w:val="none"/>
          <w:lang w:val="en-US" w:eastAsia="zh-CN"/>
        </w:rPr>
        <w:t>停止。</w:t>
      </w:r>
    </w:p>
    <w:p w14:paraId="52BB7B3F">
      <w:pPr>
        <w:pStyle w:val="86"/>
        <w:spacing w:line="360" w:lineRule="auto"/>
        <w:ind w:firstLine="720" w:firstLineChars="300"/>
        <w:contextualSpacing/>
        <w:jc w:val="both"/>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lang w:val="en-US" w:eastAsia="zh-CN"/>
        </w:rPr>
        <w:t>就地PLC</w:t>
      </w:r>
      <w:r>
        <w:rPr>
          <w:rFonts w:ascii="Times New Roman" w:hAnsi="Times New Roman" w:eastAsia="宋体"/>
          <w:color w:val="auto"/>
          <w:kern w:val="0"/>
          <w:sz w:val="24"/>
          <w:highlight w:val="none"/>
        </w:rPr>
        <w:t>自动模式</w:t>
      </w:r>
    </w:p>
    <w:p w14:paraId="227C8D37">
      <w:pPr>
        <w:pStyle w:val="86"/>
        <w:spacing w:line="360" w:lineRule="auto"/>
        <w:ind w:firstLine="720" w:firstLineChars="300"/>
        <w:contextualSpacing/>
        <w:jc w:val="both"/>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根据工艺流程进行自动运行，无人值守；</w:t>
      </w:r>
    </w:p>
    <w:p w14:paraId="44BCE56F">
      <w:pPr>
        <w:pStyle w:val="86"/>
        <w:spacing w:line="360" w:lineRule="auto"/>
        <w:ind w:firstLine="720" w:firstLineChars="300"/>
        <w:contextualSpacing/>
        <w:jc w:val="both"/>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手动模式</w:t>
      </w:r>
    </w:p>
    <w:p w14:paraId="275DDADB">
      <w:pPr>
        <w:pStyle w:val="86"/>
        <w:spacing w:line="360" w:lineRule="auto"/>
        <w:ind w:firstLine="720" w:firstLineChars="300"/>
        <w:contextualSpacing/>
        <w:jc w:val="both"/>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通过HMI手动操作各阀门和水泵，用于调试、维护或应急</w:t>
      </w:r>
      <w:r>
        <w:rPr>
          <w:rFonts w:hint="eastAsia" w:ascii="Times New Roman" w:hAnsi="Times New Roman" w:eastAsia="宋体"/>
          <w:color w:val="auto"/>
          <w:kern w:val="0"/>
          <w:sz w:val="24"/>
          <w:highlight w:val="none"/>
        </w:rPr>
        <w:t>；</w:t>
      </w:r>
    </w:p>
    <w:p w14:paraId="6A10D8DD">
      <w:pPr>
        <w:pStyle w:val="86"/>
        <w:spacing w:line="360" w:lineRule="auto"/>
        <w:ind w:firstLine="720" w:firstLineChars="300"/>
        <w:contextualSpacing/>
        <w:jc w:val="both"/>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远程</w:t>
      </w:r>
      <w:r>
        <w:rPr>
          <w:rFonts w:hint="eastAsia" w:ascii="Times New Roman" w:hAnsi="Times New Roman" w:eastAsia="宋体"/>
          <w:color w:val="auto"/>
          <w:kern w:val="0"/>
          <w:sz w:val="24"/>
          <w:highlight w:val="none"/>
          <w:lang w:val="en-US" w:eastAsia="zh-CN"/>
        </w:rPr>
        <w:t>自动控制</w:t>
      </w:r>
      <w:r>
        <w:rPr>
          <w:rFonts w:ascii="Times New Roman" w:hAnsi="Times New Roman" w:eastAsia="宋体"/>
          <w:color w:val="auto"/>
          <w:kern w:val="0"/>
          <w:sz w:val="24"/>
          <w:highlight w:val="none"/>
        </w:rPr>
        <w:t>模式</w:t>
      </w:r>
    </w:p>
    <w:p w14:paraId="086172C1">
      <w:pPr>
        <w:pStyle w:val="86"/>
        <w:spacing w:line="360" w:lineRule="auto"/>
        <w:ind w:firstLine="720" w:firstLineChars="300"/>
        <w:contextualSpacing/>
        <w:jc w:val="both"/>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通过</w:t>
      </w:r>
      <w:r>
        <w:rPr>
          <w:rFonts w:hint="eastAsia" w:ascii="Times New Roman" w:hAnsi="Times New Roman" w:eastAsia="宋体"/>
          <w:color w:val="auto"/>
          <w:kern w:val="0"/>
          <w:sz w:val="24"/>
          <w:highlight w:val="none"/>
        </w:rPr>
        <w:t>4G网络</w:t>
      </w:r>
      <w:r>
        <w:rPr>
          <w:rFonts w:hint="eastAsia" w:ascii="Times New Roman" w:hAnsi="Times New Roman" w:eastAsia="宋体"/>
          <w:color w:val="auto"/>
          <w:kern w:val="0"/>
          <w:sz w:val="24"/>
          <w:highlight w:val="none"/>
          <w:lang w:val="en-US" w:eastAsia="zh-CN"/>
        </w:rPr>
        <w:t>或工业交换机网络</w:t>
      </w:r>
      <w:r>
        <w:rPr>
          <w:rFonts w:ascii="Times New Roman" w:hAnsi="Times New Roman" w:eastAsia="宋体"/>
          <w:color w:val="auto"/>
          <w:kern w:val="0"/>
          <w:sz w:val="24"/>
          <w:highlight w:val="none"/>
        </w:rPr>
        <w:t>，</w:t>
      </w:r>
      <w:r>
        <w:rPr>
          <w:rFonts w:hint="eastAsia" w:ascii="Times New Roman" w:hAnsi="Times New Roman" w:eastAsia="宋体"/>
          <w:color w:val="auto"/>
          <w:kern w:val="0"/>
          <w:sz w:val="24"/>
          <w:highlight w:val="none"/>
        </w:rPr>
        <w:t>可以实时采集数据，</w:t>
      </w:r>
      <w:r>
        <w:rPr>
          <w:rFonts w:ascii="Times New Roman" w:hAnsi="Times New Roman" w:eastAsia="宋体"/>
          <w:color w:val="auto"/>
          <w:kern w:val="0"/>
          <w:sz w:val="24"/>
          <w:highlight w:val="none"/>
        </w:rPr>
        <w:t>实现远程监控与操作</w:t>
      </w:r>
      <w:r>
        <w:rPr>
          <w:rFonts w:hint="eastAsia" w:ascii="Times New Roman" w:hAnsi="Times New Roman" w:eastAsia="宋体"/>
          <w:color w:val="auto"/>
          <w:kern w:val="0"/>
          <w:sz w:val="24"/>
          <w:highlight w:val="none"/>
        </w:rPr>
        <w:t>；控制柜须具备GPRS/GSM无线远程通讯功能，使用Windows平台的PC端和主流的移动终端手机APP（支持Ios和Android系统），通过云监控平台，可实现远程控制和远程监测，使整个智能一体化泵站无人值守远程操控，确保的安全设备运行。</w:t>
      </w:r>
    </w:p>
    <w:p w14:paraId="5C05A95F">
      <w:pPr>
        <w:pStyle w:val="86"/>
        <w:spacing w:line="360" w:lineRule="auto"/>
        <w:ind w:firstLine="720" w:firstLineChars="300"/>
        <w:contextualSpacing/>
        <w:jc w:val="both"/>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4）</w:t>
      </w:r>
      <w:r>
        <w:rPr>
          <w:rFonts w:ascii="Times New Roman" w:hAnsi="Times New Roman" w:eastAsia="宋体"/>
          <w:color w:val="auto"/>
          <w:kern w:val="0"/>
          <w:sz w:val="24"/>
          <w:highlight w:val="none"/>
        </w:rPr>
        <w:t xml:space="preserve"> 安全保护与报警功能</w:t>
      </w:r>
    </w:p>
    <w:p w14:paraId="373325E4">
      <w:pPr>
        <w:pStyle w:val="86"/>
        <w:spacing w:line="360" w:lineRule="auto"/>
        <w:ind w:firstLine="720" w:firstLineChars="300"/>
        <w:contextualSpacing/>
        <w:jc w:val="both"/>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缺水保护：水源液位过低时，禁止启动水泵或立即停泵</w:t>
      </w:r>
      <w:r>
        <w:rPr>
          <w:rFonts w:hint="eastAsia" w:ascii="Times New Roman" w:hAnsi="Times New Roman" w:eastAsia="宋体"/>
          <w:color w:val="auto"/>
          <w:kern w:val="0"/>
          <w:sz w:val="24"/>
          <w:highlight w:val="none"/>
        </w:rPr>
        <w:t>；</w:t>
      </w:r>
    </w:p>
    <w:p w14:paraId="41A11DEC">
      <w:pPr>
        <w:pStyle w:val="86"/>
        <w:spacing w:line="360" w:lineRule="auto"/>
        <w:ind w:firstLine="720" w:firstLineChars="300"/>
        <w:contextualSpacing/>
        <w:jc w:val="both"/>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过载/过流保护：电机电流异常时，切断电源并报警</w:t>
      </w:r>
      <w:r>
        <w:rPr>
          <w:rFonts w:hint="eastAsia" w:ascii="Times New Roman" w:hAnsi="Times New Roman" w:eastAsia="宋体"/>
          <w:color w:val="auto"/>
          <w:kern w:val="0"/>
          <w:sz w:val="24"/>
          <w:highlight w:val="none"/>
        </w:rPr>
        <w:t>；</w:t>
      </w:r>
    </w:p>
    <w:p w14:paraId="185C0376">
      <w:pPr>
        <w:pStyle w:val="86"/>
        <w:spacing w:line="360" w:lineRule="auto"/>
        <w:ind w:firstLine="720" w:firstLineChars="300"/>
        <w:contextualSpacing/>
        <w:jc w:val="both"/>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过压/欠压保护：电网电压异常时保护设备</w:t>
      </w:r>
      <w:r>
        <w:rPr>
          <w:rFonts w:hint="eastAsia" w:ascii="Times New Roman" w:hAnsi="Times New Roman" w:eastAsia="宋体"/>
          <w:color w:val="auto"/>
          <w:kern w:val="0"/>
          <w:sz w:val="24"/>
          <w:highlight w:val="none"/>
        </w:rPr>
        <w:t>；</w:t>
      </w:r>
    </w:p>
    <w:p w14:paraId="3C0839C4">
      <w:pPr>
        <w:pStyle w:val="86"/>
        <w:spacing w:line="360" w:lineRule="auto"/>
        <w:ind w:firstLine="720" w:firstLineChars="300"/>
        <w:contextualSpacing/>
        <w:jc w:val="both"/>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干运转保护：水泵启动后未检测到水流（可通过流量开关或变频器输出判断），自动停泵</w:t>
      </w:r>
      <w:r>
        <w:rPr>
          <w:rFonts w:hint="eastAsia" w:ascii="Times New Roman" w:hAnsi="Times New Roman" w:eastAsia="宋体"/>
          <w:color w:val="auto"/>
          <w:kern w:val="0"/>
          <w:sz w:val="24"/>
          <w:highlight w:val="none"/>
        </w:rPr>
        <w:t>；</w:t>
      </w:r>
    </w:p>
    <w:p w14:paraId="123E0B8E">
      <w:pPr>
        <w:pStyle w:val="86"/>
        <w:spacing w:line="360" w:lineRule="auto"/>
        <w:ind w:firstLine="720" w:firstLineChars="300"/>
        <w:contextualSpacing/>
        <w:jc w:val="both"/>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故障联锁：任一水泵故障，自动切换到备用泵，并声光报警</w:t>
      </w:r>
      <w:r>
        <w:rPr>
          <w:rFonts w:hint="eastAsia" w:ascii="Times New Roman" w:hAnsi="Times New Roman" w:eastAsia="宋体"/>
          <w:color w:val="auto"/>
          <w:kern w:val="0"/>
          <w:sz w:val="24"/>
          <w:highlight w:val="none"/>
        </w:rPr>
        <w:t>；</w:t>
      </w:r>
    </w:p>
    <w:p w14:paraId="0ECF598B">
      <w:pPr>
        <w:pStyle w:val="86"/>
        <w:spacing w:line="360" w:lineRule="auto"/>
        <w:ind w:firstLine="720" w:firstLineChars="300"/>
        <w:contextualSpacing/>
        <w:jc w:val="both"/>
        <w:rPr>
          <w:rFonts w:hint="eastAsia" w:ascii="Times New Roman" w:hAnsi="Times New Roman" w:eastAsia="宋体"/>
          <w:color w:val="auto"/>
          <w:kern w:val="0"/>
          <w:sz w:val="24"/>
          <w:highlight w:val="none"/>
        </w:rPr>
      </w:pPr>
      <w:r>
        <w:rPr>
          <w:rFonts w:ascii="Times New Roman" w:hAnsi="Times New Roman" w:eastAsia="宋体"/>
          <w:color w:val="auto"/>
          <w:kern w:val="0"/>
          <w:sz w:val="24"/>
          <w:highlight w:val="none"/>
        </w:rPr>
        <w:t>通讯故障报警：PLC与关键设备（变频器、仪表）通讯中断时报警</w:t>
      </w:r>
      <w:r>
        <w:rPr>
          <w:rFonts w:hint="eastAsia" w:ascii="Times New Roman" w:hAnsi="Times New Roman" w:eastAsia="宋体"/>
          <w:color w:val="auto"/>
          <w:kern w:val="0"/>
          <w:sz w:val="24"/>
          <w:highlight w:val="none"/>
        </w:rPr>
        <w:t>；</w:t>
      </w:r>
    </w:p>
    <w:p w14:paraId="39373728">
      <w:pPr>
        <w:pStyle w:val="86"/>
        <w:spacing w:line="360" w:lineRule="auto"/>
        <w:ind w:firstLine="723" w:firstLineChars="300"/>
        <w:contextualSpacing/>
        <w:jc w:val="both"/>
        <w:rPr>
          <w:rFonts w:hint="default" w:ascii="Times New Roman" w:hAnsi="Times New Roman" w:eastAsia="宋体"/>
          <w:b/>
          <w:bCs/>
          <w:color w:val="auto"/>
          <w:kern w:val="0"/>
          <w:sz w:val="24"/>
          <w:highlight w:val="none"/>
          <w:lang w:val="en-US" w:eastAsia="zh-CN"/>
        </w:rPr>
      </w:pPr>
      <w:r>
        <w:rPr>
          <w:rFonts w:hint="eastAsia" w:ascii="Times New Roman" w:hAnsi="Times New Roman" w:eastAsia="宋体"/>
          <w:b/>
          <w:bCs/>
          <w:color w:val="auto"/>
          <w:kern w:val="0"/>
          <w:sz w:val="24"/>
          <w:highlight w:val="none"/>
          <w:lang w:val="en-US" w:eastAsia="zh-CN"/>
        </w:rPr>
        <w:t>控制柜要求</w:t>
      </w:r>
    </w:p>
    <w:tbl>
      <w:tblPr>
        <w:tblStyle w:val="27"/>
        <w:tblpPr w:leftFromText="180" w:rightFromText="180" w:vertAnchor="text" w:tblpXSpec="center" w:tblpY="1"/>
        <w:tblOverlap w:val="never"/>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28" w:type="dxa"/>
          <w:bottom w:w="0" w:type="dxa"/>
          <w:right w:w="28" w:type="dxa"/>
        </w:tblCellMar>
      </w:tblPr>
      <w:tblGrid>
        <w:gridCol w:w="3738"/>
        <w:gridCol w:w="1456"/>
        <w:gridCol w:w="4501"/>
      </w:tblGrid>
      <w:tr w14:paraId="4638CD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2679" w:type="pct"/>
            <w:gridSpan w:val="2"/>
            <w:noWrap w:val="0"/>
            <w:vAlign w:val="center"/>
          </w:tcPr>
          <w:p w14:paraId="4E856DD4">
            <w:pPr>
              <w:keepNext/>
              <w:snapToGrid w:val="0"/>
              <w:spacing w:line="480" w:lineRule="atLeast"/>
              <w:contextualSpacing/>
              <w:jc w:val="center"/>
              <w:rPr>
                <w:rFonts w:ascii="Times New Roman" w:hAnsi="Times New Roman" w:eastAsia="宋体"/>
                <w:snapToGrid w:val="0"/>
                <w:color w:val="auto"/>
                <w:kern w:val="0"/>
                <w:szCs w:val="21"/>
              </w:rPr>
            </w:pPr>
            <w:r>
              <w:rPr>
                <w:rFonts w:ascii="Times New Roman" w:hAnsi="Times New Roman" w:eastAsia="宋体"/>
                <w:snapToGrid w:val="0"/>
                <w:color w:val="auto"/>
                <w:kern w:val="0"/>
                <w:szCs w:val="21"/>
              </w:rPr>
              <w:t>设备名称：</w:t>
            </w:r>
          </w:p>
        </w:tc>
        <w:tc>
          <w:tcPr>
            <w:tcW w:w="2320" w:type="pct"/>
            <w:noWrap w:val="0"/>
            <w:vAlign w:val="center"/>
          </w:tcPr>
          <w:p w14:paraId="1ACE1A20">
            <w:pPr>
              <w:keepNext/>
              <w:snapToGrid w:val="0"/>
              <w:spacing w:line="480" w:lineRule="atLeast"/>
              <w:contextualSpacing/>
              <w:jc w:val="center"/>
              <w:rPr>
                <w:rFonts w:hint="default" w:ascii="Times New Roman" w:hAnsi="Times New Roman" w:eastAsia="宋体"/>
                <w:snapToGrid w:val="0"/>
                <w:color w:val="auto"/>
                <w:kern w:val="0"/>
                <w:szCs w:val="21"/>
                <w:lang w:val="en-US" w:eastAsia="zh-CN"/>
              </w:rPr>
            </w:pPr>
            <w:r>
              <w:rPr>
                <w:rFonts w:hint="eastAsia" w:ascii="Times New Roman" w:hAnsi="Times New Roman" w:eastAsia="宋体"/>
                <w:snapToGrid w:val="0"/>
                <w:color w:val="auto"/>
                <w:kern w:val="0"/>
                <w:szCs w:val="21"/>
                <w:lang w:val="en-US" w:eastAsia="zh-CN"/>
              </w:rPr>
              <w:t>现场控制柜</w:t>
            </w:r>
          </w:p>
        </w:tc>
      </w:tr>
      <w:tr w14:paraId="471051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2679" w:type="pct"/>
            <w:gridSpan w:val="2"/>
            <w:noWrap w:val="0"/>
            <w:vAlign w:val="center"/>
          </w:tcPr>
          <w:p w14:paraId="50146CB7">
            <w:pPr>
              <w:keepNext/>
              <w:snapToGrid w:val="0"/>
              <w:spacing w:line="480" w:lineRule="atLeast"/>
              <w:contextualSpacing/>
              <w:jc w:val="center"/>
              <w:rPr>
                <w:rFonts w:hint="default" w:ascii="Times New Roman" w:hAnsi="Times New Roman" w:eastAsia="宋体"/>
                <w:snapToGrid w:val="0"/>
                <w:color w:val="auto"/>
                <w:kern w:val="0"/>
                <w:szCs w:val="21"/>
                <w:lang w:val="en-US"/>
              </w:rPr>
            </w:pPr>
            <w:r>
              <w:rPr>
                <w:rFonts w:ascii="Times New Roman" w:hAnsi="Times New Roman" w:eastAsia="宋体"/>
                <w:snapToGrid w:val="0"/>
                <w:color w:val="auto"/>
                <w:kern w:val="0"/>
                <w:szCs w:val="21"/>
              </w:rPr>
              <w:t>设备位置：</w:t>
            </w:r>
          </w:p>
        </w:tc>
        <w:tc>
          <w:tcPr>
            <w:tcW w:w="2320" w:type="pct"/>
            <w:noWrap w:val="0"/>
            <w:vAlign w:val="center"/>
          </w:tcPr>
          <w:p w14:paraId="35DBA83F">
            <w:pPr>
              <w:keepNext/>
              <w:snapToGrid w:val="0"/>
              <w:spacing w:line="480" w:lineRule="atLeast"/>
              <w:contextualSpacing/>
              <w:jc w:val="center"/>
              <w:rPr>
                <w:rFonts w:ascii="Times New Roman" w:hAnsi="Times New Roman" w:eastAsia="宋体"/>
                <w:snapToGrid w:val="0"/>
                <w:color w:val="auto"/>
                <w:kern w:val="0"/>
                <w:szCs w:val="21"/>
              </w:rPr>
            </w:pPr>
            <w:r>
              <w:rPr>
                <w:rFonts w:hint="eastAsia"/>
                <w:snapToGrid w:val="0"/>
                <w:color w:val="auto"/>
                <w:kern w:val="0"/>
                <w:szCs w:val="21"/>
                <w:lang w:val="en-US" w:eastAsia="zh-CN"/>
              </w:rPr>
              <w:t>细格栅及精准除砂</w:t>
            </w:r>
          </w:p>
        </w:tc>
      </w:tr>
      <w:tr w14:paraId="7DA8D7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5000" w:type="pct"/>
            <w:gridSpan w:val="3"/>
            <w:noWrap w:val="0"/>
            <w:vAlign w:val="center"/>
          </w:tcPr>
          <w:p w14:paraId="3BCEBFF5">
            <w:pPr>
              <w:keepNext/>
              <w:snapToGrid w:val="0"/>
              <w:spacing w:line="480" w:lineRule="atLeast"/>
              <w:contextualSpacing/>
              <w:jc w:val="left"/>
              <w:rPr>
                <w:rFonts w:ascii="Times New Roman" w:hAnsi="Times New Roman" w:eastAsia="宋体"/>
                <w:snapToGrid w:val="0"/>
                <w:color w:val="auto"/>
                <w:kern w:val="0"/>
                <w:szCs w:val="21"/>
              </w:rPr>
            </w:pPr>
            <w:r>
              <w:rPr>
                <w:rFonts w:ascii="Times New Roman" w:hAnsi="Times New Roman" w:eastAsia="宋体"/>
                <w:snapToGrid w:val="0"/>
                <w:color w:val="auto"/>
                <w:kern w:val="0"/>
                <w:szCs w:val="21"/>
              </w:rPr>
              <w:t>主要功能：为</w:t>
            </w:r>
            <w:r>
              <w:rPr>
                <w:rFonts w:hint="eastAsia" w:ascii="Times New Roman" w:hAnsi="Times New Roman" w:eastAsia="宋体"/>
                <w:snapToGrid w:val="0"/>
                <w:color w:val="auto"/>
                <w:kern w:val="0"/>
                <w:szCs w:val="21"/>
                <w:lang w:val="en-US" w:eastAsia="zh-CN"/>
              </w:rPr>
              <w:t>细格栅及精准除砂装置</w:t>
            </w:r>
            <w:r>
              <w:rPr>
                <w:rFonts w:ascii="Times New Roman" w:hAnsi="Times New Roman" w:eastAsia="宋体"/>
                <w:snapToGrid w:val="0"/>
                <w:color w:val="auto"/>
                <w:kern w:val="0"/>
                <w:szCs w:val="21"/>
              </w:rPr>
              <w:t>提供供电、控制及保护</w:t>
            </w:r>
          </w:p>
          <w:p w14:paraId="0A098A00">
            <w:pPr>
              <w:keepNext/>
              <w:snapToGrid w:val="0"/>
              <w:spacing w:line="480" w:lineRule="atLeast"/>
              <w:contextualSpacing/>
              <w:jc w:val="left"/>
              <w:rPr>
                <w:rFonts w:ascii="Times New Roman" w:hAnsi="Times New Roman" w:eastAsia="宋体"/>
                <w:snapToGrid w:val="0"/>
                <w:color w:val="auto"/>
                <w:kern w:val="0"/>
                <w:szCs w:val="21"/>
              </w:rPr>
            </w:pPr>
            <w:r>
              <w:rPr>
                <w:rFonts w:ascii="Times New Roman" w:hAnsi="Times New Roman" w:eastAsia="宋体"/>
                <w:snapToGrid w:val="0"/>
                <w:color w:val="auto"/>
                <w:kern w:val="0"/>
                <w:szCs w:val="21"/>
              </w:rPr>
              <w:t>工作状态和参数信号送往PLC（无源触点）</w:t>
            </w:r>
          </w:p>
          <w:p w14:paraId="42892FD0">
            <w:pPr>
              <w:keepNext/>
              <w:snapToGrid w:val="0"/>
              <w:spacing w:line="480" w:lineRule="atLeast"/>
              <w:contextualSpacing/>
              <w:jc w:val="left"/>
              <w:rPr>
                <w:rFonts w:ascii="Times New Roman" w:hAnsi="Times New Roman" w:eastAsia="宋体"/>
                <w:snapToGrid w:val="0"/>
                <w:color w:val="auto"/>
                <w:kern w:val="0"/>
                <w:szCs w:val="21"/>
              </w:rPr>
            </w:pPr>
            <w:r>
              <w:rPr>
                <w:rFonts w:ascii="Times New Roman" w:hAnsi="Times New Roman" w:eastAsia="宋体"/>
                <w:snapToGrid w:val="0"/>
                <w:color w:val="auto"/>
                <w:kern w:val="0"/>
                <w:szCs w:val="21"/>
              </w:rPr>
              <w:t>接受PLC信号，控制电器设备的电气保护功能</w:t>
            </w:r>
          </w:p>
        </w:tc>
      </w:tr>
      <w:tr w14:paraId="08B0A7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5000" w:type="pct"/>
            <w:gridSpan w:val="3"/>
            <w:noWrap w:val="0"/>
            <w:vAlign w:val="center"/>
          </w:tcPr>
          <w:p w14:paraId="21B1B5DD">
            <w:pPr>
              <w:keepNext/>
              <w:snapToGrid w:val="0"/>
              <w:spacing w:line="480" w:lineRule="atLeast"/>
              <w:contextualSpacing/>
              <w:jc w:val="left"/>
              <w:rPr>
                <w:rFonts w:ascii="Times New Roman" w:hAnsi="Times New Roman" w:eastAsia="宋体"/>
                <w:snapToGrid w:val="0"/>
                <w:color w:val="auto"/>
                <w:kern w:val="0"/>
                <w:szCs w:val="21"/>
              </w:rPr>
            </w:pPr>
            <w:r>
              <w:rPr>
                <w:rFonts w:ascii="Times New Roman" w:hAnsi="Times New Roman" w:eastAsia="宋体"/>
                <w:snapToGrid w:val="0"/>
                <w:color w:val="auto"/>
                <w:kern w:val="0"/>
                <w:szCs w:val="21"/>
              </w:rPr>
              <w:t>保护要求：过载、缺相、短路、泄漏等</w:t>
            </w:r>
          </w:p>
        </w:tc>
      </w:tr>
      <w:tr w14:paraId="2C6BFF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5000" w:type="pct"/>
            <w:gridSpan w:val="3"/>
            <w:noWrap w:val="0"/>
            <w:vAlign w:val="center"/>
          </w:tcPr>
          <w:p w14:paraId="276253F5">
            <w:pPr>
              <w:keepNext/>
              <w:snapToGrid w:val="0"/>
              <w:spacing w:line="480" w:lineRule="atLeast"/>
              <w:contextualSpacing/>
              <w:jc w:val="left"/>
              <w:rPr>
                <w:rFonts w:ascii="Times New Roman" w:hAnsi="Times New Roman" w:eastAsia="宋体"/>
                <w:snapToGrid w:val="0"/>
                <w:color w:val="auto"/>
                <w:kern w:val="0"/>
                <w:szCs w:val="21"/>
              </w:rPr>
            </w:pPr>
            <w:r>
              <w:rPr>
                <w:rFonts w:ascii="Times New Roman" w:hAnsi="Times New Roman" w:eastAsia="宋体"/>
                <w:snapToGrid w:val="0"/>
                <w:color w:val="auto"/>
                <w:kern w:val="0"/>
                <w:szCs w:val="21"/>
              </w:rPr>
              <w:t>主要电气元件：断路器，接触器，热继电器，中间继电器，电涌保护器，水下电机保护模块，转换开关，按钮，指示灯等</w:t>
            </w:r>
          </w:p>
        </w:tc>
      </w:tr>
      <w:tr w14:paraId="5403F5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1928" w:type="pct"/>
            <w:noWrap w:val="0"/>
            <w:vAlign w:val="center"/>
          </w:tcPr>
          <w:p w14:paraId="67B0B7F5">
            <w:pPr>
              <w:keepNext/>
              <w:snapToGrid w:val="0"/>
              <w:spacing w:line="480" w:lineRule="atLeast"/>
              <w:contextualSpacing/>
              <w:jc w:val="center"/>
              <w:rPr>
                <w:rFonts w:ascii="Times New Roman" w:hAnsi="Times New Roman" w:eastAsia="宋体"/>
                <w:snapToGrid w:val="0"/>
                <w:color w:val="auto"/>
                <w:kern w:val="0"/>
                <w:szCs w:val="21"/>
              </w:rPr>
            </w:pPr>
            <w:r>
              <w:rPr>
                <w:rFonts w:ascii="Times New Roman" w:hAnsi="Times New Roman" w:eastAsia="宋体"/>
                <w:snapToGrid w:val="0"/>
                <w:color w:val="auto"/>
                <w:kern w:val="0"/>
                <w:szCs w:val="21"/>
              </w:rPr>
              <w:t>项目</w:t>
            </w:r>
          </w:p>
        </w:tc>
        <w:tc>
          <w:tcPr>
            <w:tcW w:w="3071" w:type="pct"/>
            <w:gridSpan w:val="2"/>
            <w:noWrap w:val="0"/>
            <w:vAlign w:val="center"/>
          </w:tcPr>
          <w:p w14:paraId="540B7CC4">
            <w:pPr>
              <w:keepNext/>
              <w:snapToGrid w:val="0"/>
              <w:spacing w:line="480" w:lineRule="atLeast"/>
              <w:contextualSpacing/>
              <w:jc w:val="center"/>
              <w:rPr>
                <w:rFonts w:ascii="Times New Roman" w:hAnsi="Times New Roman" w:eastAsia="宋体"/>
                <w:snapToGrid w:val="0"/>
                <w:color w:val="auto"/>
                <w:kern w:val="0"/>
                <w:szCs w:val="21"/>
              </w:rPr>
            </w:pPr>
            <w:r>
              <w:rPr>
                <w:rFonts w:ascii="Times New Roman" w:hAnsi="Times New Roman" w:eastAsia="宋体"/>
                <w:snapToGrid w:val="0"/>
                <w:color w:val="auto"/>
                <w:kern w:val="0"/>
                <w:szCs w:val="21"/>
              </w:rPr>
              <w:t>技术参数</w:t>
            </w:r>
          </w:p>
        </w:tc>
      </w:tr>
      <w:tr w14:paraId="786765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tblHeader/>
          <w:jc w:val="center"/>
        </w:trPr>
        <w:tc>
          <w:tcPr>
            <w:tcW w:w="1928" w:type="pct"/>
            <w:noWrap w:val="0"/>
            <w:vAlign w:val="center"/>
          </w:tcPr>
          <w:p w14:paraId="78C7EB9C">
            <w:pPr>
              <w:keepNext/>
              <w:snapToGrid w:val="0"/>
              <w:spacing w:line="480" w:lineRule="atLeast"/>
              <w:contextualSpacing/>
              <w:jc w:val="center"/>
              <w:rPr>
                <w:rFonts w:ascii="Times New Roman" w:hAnsi="Times New Roman" w:eastAsia="宋体"/>
                <w:snapToGrid w:val="0"/>
                <w:color w:val="auto"/>
                <w:kern w:val="0"/>
                <w:szCs w:val="21"/>
              </w:rPr>
            </w:pPr>
            <w:r>
              <w:rPr>
                <w:rFonts w:ascii="Segoe UI Symbol" w:hAnsi="Segoe UI Symbol" w:cs="Segoe UI Symbol"/>
                <w:snapToGrid w:val="0"/>
                <w:color w:val="auto"/>
                <w:kern w:val="0"/>
                <w:szCs w:val="21"/>
              </w:rPr>
              <w:t>★</w:t>
            </w:r>
            <w:r>
              <w:rPr>
                <w:rFonts w:ascii="Times New Roman" w:hAnsi="Times New Roman" w:eastAsia="宋体"/>
                <w:snapToGrid w:val="0"/>
                <w:color w:val="auto"/>
                <w:kern w:val="0"/>
                <w:szCs w:val="21"/>
              </w:rPr>
              <w:t>额定电压</w:t>
            </w:r>
          </w:p>
        </w:tc>
        <w:tc>
          <w:tcPr>
            <w:tcW w:w="3071" w:type="pct"/>
            <w:gridSpan w:val="2"/>
            <w:noWrap w:val="0"/>
            <w:vAlign w:val="center"/>
          </w:tcPr>
          <w:p w14:paraId="4DF60E5F">
            <w:pPr>
              <w:keepNext/>
              <w:snapToGrid w:val="0"/>
              <w:spacing w:line="480" w:lineRule="atLeast"/>
              <w:contextualSpacing/>
              <w:jc w:val="center"/>
              <w:rPr>
                <w:rFonts w:ascii="Times New Roman" w:hAnsi="Times New Roman" w:eastAsia="宋体"/>
                <w:snapToGrid w:val="0"/>
                <w:color w:val="auto"/>
                <w:kern w:val="0"/>
                <w:szCs w:val="21"/>
              </w:rPr>
            </w:pPr>
            <w:r>
              <w:rPr>
                <w:rFonts w:ascii="Times New Roman" w:hAnsi="Times New Roman" w:eastAsia="宋体"/>
                <w:snapToGrid w:val="0"/>
                <w:color w:val="auto"/>
                <w:kern w:val="0"/>
                <w:szCs w:val="21"/>
              </w:rPr>
              <w:t>AC 380V/220V、50Hz</w:t>
            </w:r>
          </w:p>
        </w:tc>
      </w:tr>
      <w:tr w14:paraId="37DB55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1928" w:type="pct"/>
            <w:noWrap w:val="0"/>
            <w:vAlign w:val="center"/>
          </w:tcPr>
          <w:p w14:paraId="16198236">
            <w:pPr>
              <w:keepNext/>
              <w:snapToGrid w:val="0"/>
              <w:spacing w:line="480" w:lineRule="atLeast"/>
              <w:contextualSpacing/>
              <w:jc w:val="center"/>
              <w:rPr>
                <w:rFonts w:ascii="Times New Roman" w:hAnsi="Times New Roman" w:eastAsia="宋体"/>
                <w:snapToGrid w:val="0"/>
                <w:color w:val="auto"/>
                <w:kern w:val="0"/>
                <w:szCs w:val="21"/>
              </w:rPr>
            </w:pPr>
            <w:r>
              <w:rPr>
                <w:rFonts w:ascii="Times New Roman" w:hAnsi="Times New Roman" w:eastAsia="宋体"/>
                <w:snapToGrid w:val="0"/>
                <w:color w:val="auto"/>
                <w:kern w:val="0"/>
                <w:szCs w:val="21"/>
              </w:rPr>
              <w:t>额定功率</w:t>
            </w:r>
          </w:p>
        </w:tc>
        <w:tc>
          <w:tcPr>
            <w:tcW w:w="3071" w:type="pct"/>
            <w:gridSpan w:val="2"/>
            <w:noWrap w:val="0"/>
            <w:vAlign w:val="center"/>
          </w:tcPr>
          <w:p w14:paraId="40126264">
            <w:pPr>
              <w:keepNext/>
              <w:snapToGrid w:val="0"/>
              <w:spacing w:line="480" w:lineRule="atLeast"/>
              <w:contextualSpacing/>
              <w:jc w:val="center"/>
              <w:rPr>
                <w:rFonts w:ascii="Times New Roman" w:hAnsi="Times New Roman" w:eastAsia="宋体"/>
                <w:snapToGrid w:val="0"/>
                <w:color w:val="auto"/>
                <w:kern w:val="0"/>
                <w:szCs w:val="21"/>
              </w:rPr>
            </w:pPr>
            <w:r>
              <w:rPr>
                <w:rFonts w:ascii="Times New Roman" w:hAnsi="Times New Roman" w:eastAsia="宋体"/>
                <w:snapToGrid w:val="0"/>
                <w:color w:val="auto"/>
                <w:kern w:val="0"/>
                <w:szCs w:val="21"/>
              </w:rPr>
              <w:t>详工艺设备数据表</w:t>
            </w:r>
          </w:p>
        </w:tc>
      </w:tr>
      <w:tr w14:paraId="167C8F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1928" w:type="pct"/>
            <w:noWrap w:val="0"/>
            <w:vAlign w:val="center"/>
          </w:tcPr>
          <w:p w14:paraId="3C350F27">
            <w:pPr>
              <w:keepNext/>
              <w:snapToGrid w:val="0"/>
              <w:spacing w:line="480" w:lineRule="atLeast"/>
              <w:contextualSpacing/>
              <w:jc w:val="center"/>
              <w:rPr>
                <w:rFonts w:ascii="Times New Roman" w:hAnsi="Times New Roman" w:eastAsia="宋体"/>
                <w:snapToGrid w:val="0"/>
                <w:color w:val="auto"/>
                <w:kern w:val="0"/>
                <w:szCs w:val="21"/>
              </w:rPr>
            </w:pPr>
            <w:r>
              <w:rPr>
                <w:rFonts w:ascii="Times New Roman" w:hAnsi="Times New Roman" w:eastAsia="宋体"/>
                <w:snapToGrid w:val="0"/>
                <w:color w:val="auto"/>
                <w:kern w:val="0"/>
                <w:szCs w:val="21"/>
              </w:rPr>
              <w:t>防护等级</w:t>
            </w:r>
          </w:p>
        </w:tc>
        <w:tc>
          <w:tcPr>
            <w:tcW w:w="3071" w:type="pct"/>
            <w:gridSpan w:val="2"/>
            <w:noWrap w:val="0"/>
            <w:vAlign w:val="center"/>
          </w:tcPr>
          <w:p w14:paraId="59CB344C">
            <w:pPr>
              <w:keepNext/>
              <w:snapToGrid w:val="0"/>
              <w:spacing w:line="480" w:lineRule="atLeast"/>
              <w:contextualSpacing/>
              <w:jc w:val="center"/>
              <w:rPr>
                <w:rFonts w:ascii="Times New Roman" w:hAnsi="Times New Roman" w:eastAsia="宋体"/>
                <w:snapToGrid w:val="0"/>
                <w:color w:val="auto"/>
                <w:kern w:val="0"/>
                <w:szCs w:val="21"/>
              </w:rPr>
            </w:pPr>
            <w:r>
              <w:rPr>
                <w:rFonts w:ascii="Times New Roman" w:hAnsi="Times New Roman" w:eastAsia="宋体"/>
                <w:snapToGrid w:val="0"/>
                <w:color w:val="auto"/>
                <w:kern w:val="0"/>
                <w:szCs w:val="21"/>
              </w:rPr>
              <w:t>IP</w:t>
            </w:r>
            <w:r>
              <w:rPr>
                <w:rFonts w:hint="eastAsia" w:ascii="Times New Roman" w:hAnsi="Times New Roman" w:eastAsia="宋体"/>
                <w:snapToGrid w:val="0"/>
                <w:color w:val="auto"/>
                <w:kern w:val="0"/>
                <w:szCs w:val="21"/>
                <w:lang w:val="en-US" w:eastAsia="zh-CN"/>
              </w:rPr>
              <w:t>6</w:t>
            </w:r>
            <w:r>
              <w:rPr>
                <w:rFonts w:ascii="Times New Roman" w:hAnsi="Times New Roman" w:eastAsia="宋体"/>
                <w:snapToGrid w:val="0"/>
                <w:color w:val="auto"/>
                <w:kern w:val="0"/>
                <w:szCs w:val="21"/>
              </w:rPr>
              <w:t>5</w:t>
            </w:r>
          </w:p>
        </w:tc>
      </w:tr>
      <w:tr w14:paraId="31213D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1928" w:type="pct"/>
            <w:noWrap w:val="0"/>
            <w:vAlign w:val="center"/>
          </w:tcPr>
          <w:p w14:paraId="7BAE83A8">
            <w:pPr>
              <w:keepNext/>
              <w:snapToGrid w:val="0"/>
              <w:spacing w:line="480" w:lineRule="atLeast"/>
              <w:contextualSpacing/>
              <w:jc w:val="center"/>
              <w:rPr>
                <w:rFonts w:ascii="Times New Roman" w:hAnsi="Times New Roman" w:eastAsia="宋体"/>
                <w:snapToGrid w:val="0"/>
                <w:color w:val="auto"/>
                <w:kern w:val="0"/>
                <w:szCs w:val="21"/>
              </w:rPr>
            </w:pPr>
            <w:r>
              <w:rPr>
                <w:rFonts w:ascii="Times New Roman" w:hAnsi="Times New Roman" w:eastAsia="宋体"/>
                <w:snapToGrid w:val="0"/>
                <w:color w:val="auto"/>
                <w:kern w:val="0"/>
                <w:szCs w:val="21"/>
              </w:rPr>
              <w:t>电涌保护器</w:t>
            </w:r>
          </w:p>
        </w:tc>
        <w:tc>
          <w:tcPr>
            <w:tcW w:w="3071" w:type="pct"/>
            <w:gridSpan w:val="2"/>
            <w:noWrap w:val="0"/>
            <w:vAlign w:val="center"/>
          </w:tcPr>
          <w:p w14:paraId="73DF59C3">
            <w:pPr>
              <w:keepNext/>
              <w:snapToGrid w:val="0"/>
              <w:spacing w:line="480" w:lineRule="atLeast"/>
              <w:contextualSpacing/>
              <w:jc w:val="center"/>
              <w:rPr>
                <w:rFonts w:ascii="Times New Roman" w:hAnsi="Times New Roman" w:eastAsia="宋体"/>
                <w:snapToGrid w:val="0"/>
                <w:color w:val="auto"/>
                <w:kern w:val="0"/>
                <w:szCs w:val="21"/>
              </w:rPr>
            </w:pPr>
            <w:r>
              <w:rPr>
                <w:rFonts w:ascii="Times New Roman" w:hAnsi="Times New Roman" w:eastAsia="宋体"/>
                <w:snapToGrid w:val="0"/>
                <w:color w:val="auto"/>
                <w:kern w:val="0"/>
                <w:szCs w:val="21"/>
              </w:rPr>
              <w:t>Iimp≥12.5kA(10/350μs)，Up≤2.5kV</w:t>
            </w:r>
          </w:p>
        </w:tc>
      </w:tr>
      <w:tr w14:paraId="74E596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1928" w:type="pct"/>
            <w:noWrap w:val="0"/>
            <w:vAlign w:val="center"/>
          </w:tcPr>
          <w:p w14:paraId="6D4AE5B3">
            <w:pPr>
              <w:keepNext/>
              <w:snapToGrid w:val="0"/>
              <w:spacing w:line="480" w:lineRule="atLeast"/>
              <w:contextualSpacing/>
              <w:jc w:val="center"/>
              <w:rPr>
                <w:rFonts w:ascii="Times New Roman" w:hAnsi="Times New Roman" w:eastAsia="宋体"/>
                <w:snapToGrid w:val="0"/>
                <w:color w:val="auto"/>
                <w:kern w:val="0"/>
                <w:szCs w:val="21"/>
              </w:rPr>
            </w:pPr>
            <w:r>
              <w:rPr>
                <w:rFonts w:ascii="Segoe UI Symbol" w:hAnsi="Segoe UI Symbol" w:cs="Segoe UI Symbol"/>
                <w:snapToGrid w:val="0"/>
                <w:color w:val="auto"/>
                <w:kern w:val="0"/>
                <w:szCs w:val="21"/>
              </w:rPr>
              <w:t>★</w:t>
            </w:r>
            <w:r>
              <w:rPr>
                <w:rFonts w:ascii="Times New Roman" w:hAnsi="Times New Roman" w:eastAsia="宋体"/>
                <w:snapToGrid w:val="0"/>
                <w:color w:val="auto"/>
                <w:kern w:val="0"/>
                <w:szCs w:val="21"/>
              </w:rPr>
              <w:t>漏电保护</w:t>
            </w:r>
          </w:p>
        </w:tc>
        <w:tc>
          <w:tcPr>
            <w:tcW w:w="3071" w:type="pct"/>
            <w:gridSpan w:val="2"/>
            <w:noWrap w:val="0"/>
            <w:vAlign w:val="center"/>
          </w:tcPr>
          <w:p w14:paraId="3F87D321">
            <w:pPr>
              <w:keepNext/>
              <w:snapToGrid w:val="0"/>
              <w:spacing w:line="480" w:lineRule="atLeast"/>
              <w:contextualSpacing/>
              <w:jc w:val="center"/>
              <w:rPr>
                <w:rFonts w:ascii="Times New Roman" w:hAnsi="Times New Roman" w:eastAsia="宋体"/>
                <w:snapToGrid w:val="0"/>
                <w:color w:val="auto"/>
                <w:kern w:val="0"/>
                <w:szCs w:val="21"/>
              </w:rPr>
            </w:pPr>
            <w:r>
              <w:rPr>
                <w:rFonts w:ascii="Times New Roman" w:hAnsi="Times New Roman" w:eastAsia="宋体"/>
                <w:snapToGrid w:val="0"/>
                <w:color w:val="auto"/>
                <w:kern w:val="0"/>
                <w:szCs w:val="21"/>
              </w:rPr>
              <w:t>装设，漏电动作电流为30mA</w:t>
            </w:r>
          </w:p>
        </w:tc>
      </w:tr>
      <w:tr w14:paraId="4E1315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1928" w:type="pct"/>
            <w:noWrap w:val="0"/>
            <w:vAlign w:val="center"/>
          </w:tcPr>
          <w:p w14:paraId="39B72C9F">
            <w:pPr>
              <w:keepNext/>
              <w:snapToGrid w:val="0"/>
              <w:spacing w:line="480" w:lineRule="atLeast"/>
              <w:contextualSpacing/>
              <w:jc w:val="center"/>
              <w:rPr>
                <w:rFonts w:ascii="Times New Roman" w:hAnsi="Times New Roman" w:eastAsia="宋体"/>
                <w:snapToGrid w:val="0"/>
                <w:color w:val="auto"/>
                <w:kern w:val="0"/>
                <w:szCs w:val="21"/>
              </w:rPr>
            </w:pPr>
            <w:r>
              <w:rPr>
                <w:rFonts w:ascii="Times New Roman" w:hAnsi="Times New Roman" w:eastAsia="宋体"/>
                <w:snapToGrid w:val="0"/>
                <w:color w:val="auto"/>
                <w:kern w:val="0"/>
                <w:szCs w:val="21"/>
              </w:rPr>
              <w:t>安装方式</w:t>
            </w:r>
          </w:p>
        </w:tc>
        <w:tc>
          <w:tcPr>
            <w:tcW w:w="3071" w:type="pct"/>
            <w:gridSpan w:val="2"/>
            <w:noWrap w:val="0"/>
            <w:vAlign w:val="center"/>
          </w:tcPr>
          <w:p w14:paraId="64F77F8E">
            <w:pPr>
              <w:keepNext/>
              <w:snapToGrid w:val="0"/>
              <w:spacing w:line="480" w:lineRule="atLeast"/>
              <w:contextualSpacing/>
              <w:jc w:val="center"/>
              <w:rPr>
                <w:rFonts w:ascii="Times New Roman" w:hAnsi="Times New Roman" w:eastAsia="宋体"/>
                <w:snapToGrid w:val="0"/>
                <w:color w:val="auto"/>
                <w:kern w:val="0"/>
                <w:szCs w:val="21"/>
              </w:rPr>
            </w:pPr>
            <w:r>
              <w:rPr>
                <w:rFonts w:ascii="Times New Roman" w:hAnsi="Times New Roman" w:eastAsia="宋体"/>
                <w:snapToGrid w:val="0"/>
                <w:color w:val="auto"/>
                <w:kern w:val="0"/>
                <w:szCs w:val="21"/>
              </w:rPr>
              <w:t>热镀锌角钢支架安装</w:t>
            </w:r>
          </w:p>
        </w:tc>
      </w:tr>
      <w:tr w14:paraId="711BFD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1928" w:type="pct"/>
            <w:noWrap w:val="0"/>
            <w:vAlign w:val="center"/>
          </w:tcPr>
          <w:p w14:paraId="370C9F8F">
            <w:pPr>
              <w:keepNext/>
              <w:snapToGrid w:val="0"/>
              <w:spacing w:line="480" w:lineRule="atLeast"/>
              <w:contextualSpacing/>
              <w:jc w:val="center"/>
              <w:rPr>
                <w:rFonts w:ascii="Times New Roman" w:hAnsi="Times New Roman" w:eastAsia="宋体"/>
                <w:snapToGrid w:val="0"/>
                <w:color w:val="auto"/>
                <w:kern w:val="0"/>
                <w:szCs w:val="21"/>
              </w:rPr>
            </w:pPr>
            <w:r>
              <w:rPr>
                <w:rFonts w:ascii="Times New Roman" w:hAnsi="Times New Roman" w:eastAsia="宋体"/>
                <w:snapToGrid w:val="0"/>
                <w:color w:val="auto"/>
                <w:kern w:val="0"/>
                <w:szCs w:val="21"/>
              </w:rPr>
              <w:t>箱体材质</w:t>
            </w:r>
          </w:p>
        </w:tc>
        <w:tc>
          <w:tcPr>
            <w:tcW w:w="3071" w:type="pct"/>
            <w:gridSpan w:val="2"/>
            <w:noWrap w:val="0"/>
            <w:vAlign w:val="center"/>
          </w:tcPr>
          <w:p w14:paraId="76C2CDA7">
            <w:pPr>
              <w:keepNext/>
              <w:snapToGrid w:val="0"/>
              <w:spacing w:line="480" w:lineRule="atLeast"/>
              <w:contextualSpacing/>
              <w:jc w:val="center"/>
              <w:rPr>
                <w:rFonts w:ascii="Times New Roman" w:hAnsi="Times New Roman" w:eastAsia="宋体"/>
                <w:snapToGrid w:val="0"/>
                <w:color w:val="auto"/>
                <w:kern w:val="0"/>
                <w:szCs w:val="21"/>
              </w:rPr>
            </w:pPr>
            <w:r>
              <w:rPr>
                <w:rFonts w:ascii="Times New Roman" w:hAnsi="Times New Roman" w:eastAsia="宋体"/>
                <w:snapToGrid w:val="0"/>
                <w:color w:val="auto"/>
                <w:kern w:val="0"/>
                <w:szCs w:val="21"/>
              </w:rPr>
              <w:t>不锈钢304</w:t>
            </w:r>
          </w:p>
        </w:tc>
      </w:tr>
    </w:tbl>
    <w:p w14:paraId="45E865F5">
      <w:pPr>
        <w:snapToGrid w:val="0"/>
        <w:spacing w:line="480" w:lineRule="atLeast"/>
        <w:ind w:firstLine="420" w:firstLineChars="0"/>
        <w:contextualSpacing/>
        <w:rPr>
          <w:rFonts w:ascii="Times New Roman" w:hAnsi="Times New Roman" w:eastAsia="宋体"/>
          <w:snapToGrid w:val="0"/>
          <w:color w:val="auto"/>
          <w:kern w:val="0"/>
          <w:sz w:val="24"/>
          <w:szCs w:val="24"/>
        </w:rPr>
      </w:pPr>
      <w:r>
        <w:rPr>
          <w:rFonts w:ascii="Times New Roman" w:hAnsi="Times New Roman" w:eastAsia="宋体"/>
          <w:snapToGrid w:val="0"/>
          <w:color w:val="auto"/>
          <w:kern w:val="0"/>
          <w:sz w:val="24"/>
          <w:szCs w:val="24"/>
        </w:rPr>
        <w:t>现场</w:t>
      </w:r>
      <w:r>
        <w:rPr>
          <w:rFonts w:hint="eastAsia" w:ascii="Times New Roman" w:hAnsi="Times New Roman" w:eastAsia="宋体"/>
          <w:snapToGrid w:val="0"/>
          <w:color w:val="auto"/>
          <w:kern w:val="0"/>
          <w:sz w:val="24"/>
          <w:szCs w:val="24"/>
          <w:lang w:eastAsia="zh-CN"/>
        </w:rPr>
        <w:t>控制柜</w:t>
      </w:r>
      <w:r>
        <w:rPr>
          <w:rFonts w:ascii="Times New Roman" w:hAnsi="Times New Roman" w:eastAsia="宋体"/>
          <w:snapToGrid w:val="0"/>
          <w:color w:val="auto"/>
          <w:kern w:val="0"/>
          <w:sz w:val="24"/>
          <w:szCs w:val="24"/>
        </w:rPr>
        <w:t>必须采用可编程序控制器，并配置10/100M自适应工业以太网接口模块，预留工业以太网交换机的安装位置，并提供工作电源。</w:t>
      </w:r>
    </w:p>
    <w:p w14:paraId="526E2450">
      <w:pPr>
        <w:snapToGrid w:val="0"/>
        <w:spacing w:line="480" w:lineRule="atLeast"/>
        <w:ind w:firstLine="480"/>
        <w:contextualSpacing/>
        <w:rPr>
          <w:rFonts w:ascii="Times New Roman" w:hAnsi="Times New Roman" w:eastAsia="宋体"/>
          <w:snapToGrid w:val="0"/>
          <w:color w:val="auto"/>
          <w:kern w:val="0"/>
          <w:sz w:val="24"/>
          <w:szCs w:val="24"/>
        </w:rPr>
      </w:pPr>
      <w:r>
        <w:rPr>
          <w:rFonts w:ascii="Times New Roman" w:hAnsi="Times New Roman" w:eastAsia="宋体"/>
          <w:snapToGrid w:val="0"/>
          <w:color w:val="auto"/>
          <w:kern w:val="0"/>
          <w:sz w:val="24"/>
          <w:szCs w:val="24"/>
        </w:rPr>
        <w:t>现场</w:t>
      </w:r>
      <w:r>
        <w:rPr>
          <w:rFonts w:hint="eastAsia" w:ascii="Times New Roman" w:hAnsi="Times New Roman" w:eastAsia="宋体"/>
          <w:snapToGrid w:val="0"/>
          <w:color w:val="auto"/>
          <w:kern w:val="0"/>
          <w:sz w:val="24"/>
          <w:szCs w:val="24"/>
          <w:lang w:eastAsia="zh-CN"/>
        </w:rPr>
        <w:t>控制柜</w:t>
      </w:r>
      <w:r>
        <w:rPr>
          <w:rFonts w:ascii="Times New Roman" w:hAnsi="Times New Roman" w:eastAsia="宋体"/>
          <w:snapToGrid w:val="0"/>
          <w:color w:val="auto"/>
          <w:kern w:val="0"/>
          <w:sz w:val="24"/>
          <w:szCs w:val="24"/>
        </w:rPr>
        <w:t>内PLC</w:t>
      </w:r>
      <w:r>
        <w:rPr>
          <w:rFonts w:hint="eastAsia"/>
          <w:snapToGrid w:val="0"/>
          <w:color w:val="auto"/>
          <w:kern w:val="0"/>
          <w:sz w:val="24"/>
          <w:szCs w:val="24"/>
          <w:lang w:val="en-US" w:eastAsia="zh-CN"/>
        </w:rPr>
        <w:t>在选型时</w:t>
      </w:r>
      <w:r>
        <w:rPr>
          <w:rFonts w:ascii="Times New Roman" w:hAnsi="Times New Roman" w:eastAsia="宋体"/>
          <w:snapToGrid w:val="0"/>
          <w:color w:val="auto"/>
          <w:kern w:val="0"/>
          <w:sz w:val="24"/>
          <w:szCs w:val="24"/>
        </w:rPr>
        <w:t>器</w:t>
      </w:r>
      <w:r>
        <w:rPr>
          <w:rFonts w:hint="eastAsia"/>
          <w:snapToGrid w:val="0"/>
          <w:color w:val="auto"/>
          <w:kern w:val="0"/>
          <w:sz w:val="24"/>
          <w:szCs w:val="24"/>
          <w:lang w:val="en-US" w:eastAsia="zh-CN"/>
        </w:rPr>
        <w:t>需</w:t>
      </w:r>
      <w:r>
        <w:rPr>
          <w:rFonts w:ascii="Times New Roman" w:hAnsi="Times New Roman" w:eastAsia="宋体"/>
          <w:snapToGrid w:val="0"/>
          <w:color w:val="auto"/>
          <w:kern w:val="0"/>
          <w:sz w:val="24"/>
          <w:szCs w:val="24"/>
        </w:rPr>
        <w:t>与污水厂自控系统</w:t>
      </w:r>
      <w:r>
        <w:rPr>
          <w:rFonts w:hint="eastAsia"/>
          <w:snapToGrid w:val="0"/>
          <w:color w:val="auto"/>
          <w:kern w:val="0"/>
          <w:sz w:val="24"/>
          <w:szCs w:val="24"/>
          <w:lang w:val="en-US" w:eastAsia="zh-CN"/>
        </w:rPr>
        <w:t>兼容</w:t>
      </w:r>
      <w:r>
        <w:rPr>
          <w:rFonts w:ascii="Times New Roman" w:hAnsi="Times New Roman" w:eastAsia="宋体"/>
          <w:snapToGrid w:val="0"/>
          <w:color w:val="auto"/>
          <w:kern w:val="0"/>
          <w:sz w:val="24"/>
          <w:szCs w:val="24"/>
        </w:rPr>
        <w:t>，保证通信的兼容、可靠。</w:t>
      </w:r>
    </w:p>
    <w:p w14:paraId="4E5EAA28">
      <w:pPr>
        <w:snapToGrid w:val="0"/>
        <w:spacing w:line="480" w:lineRule="atLeast"/>
        <w:ind w:firstLine="480"/>
        <w:contextualSpacing/>
        <w:rPr>
          <w:rFonts w:ascii="Times New Roman" w:hAnsi="Times New Roman" w:eastAsia="宋体"/>
          <w:snapToGrid w:val="0"/>
          <w:color w:val="auto"/>
          <w:kern w:val="0"/>
          <w:sz w:val="24"/>
          <w:szCs w:val="24"/>
        </w:rPr>
      </w:pPr>
      <w:r>
        <w:rPr>
          <w:rFonts w:hint="eastAsia" w:ascii="Times New Roman" w:hAnsi="Times New Roman" w:eastAsia="宋体"/>
          <w:snapToGrid w:val="0"/>
          <w:color w:val="auto"/>
          <w:spacing w:val="-4"/>
          <w:kern w:val="0"/>
          <w:sz w:val="24"/>
          <w:szCs w:val="24"/>
          <w:lang w:eastAsia="zh-CN"/>
        </w:rPr>
        <w:t>控制柜</w:t>
      </w:r>
      <w:r>
        <w:rPr>
          <w:rFonts w:hint="eastAsia"/>
          <w:snapToGrid w:val="0"/>
          <w:color w:val="auto"/>
          <w:spacing w:val="-4"/>
          <w:kern w:val="0"/>
          <w:sz w:val="24"/>
          <w:szCs w:val="24"/>
          <w:lang w:val="en-US" w:eastAsia="zh-CN"/>
        </w:rPr>
        <w:t>可</w:t>
      </w:r>
      <w:r>
        <w:rPr>
          <w:rFonts w:ascii="Times New Roman" w:hAnsi="Times New Roman" w:eastAsia="宋体"/>
          <w:snapToGrid w:val="0"/>
          <w:color w:val="auto"/>
          <w:spacing w:val="-4"/>
          <w:kern w:val="0"/>
          <w:sz w:val="24"/>
          <w:szCs w:val="24"/>
        </w:rPr>
        <w:t>通过工业以太网接口模块</w:t>
      </w:r>
      <w:r>
        <w:rPr>
          <w:rFonts w:hint="eastAsia"/>
          <w:snapToGrid w:val="0"/>
          <w:color w:val="auto"/>
          <w:spacing w:val="-4"/>
          <w:kern w:val="0"/>
          <w:sz w:val="24"/>
          <w:szCs w:val="24"/>
          <w:lang w:val="en-US" w:eastAsia="zh-CN"/>
        </w:rPr>
        <w:t>或4G模块</w:t>
      </w:r>
      <w:r>
        <w:rPr>
          <w:rFonts w:ascii="Times New Roman" w:hAnsi="Times New Roman" w:eastAsia="宋体"/>
          <w:snapToGrid w:val="0"/>
          <w:color w:val="auto"/>
          <w:spacing w:val="-4"/>
          <w:kern w:val="0"/>
          <w:sz w:val="24"/>
          <w:szCs w:val="24"/>
        </w:rPr>
        <w:t>与污水厂现场分控站通信，实现对多层旋流沉砂器、撇渣管、气提除砂设备、曝气系统、渣水分离器、</w:t>
      </w:r>
      <w:r>
        <w:rPr>
          <w:rFonts w:hint="eastAsia" w:ascii="Times New Roman" w:hAnsi="Times New Roman" w:eastAsia="宋体"/>
          <w:snapToGrid w:val="0"/>
          <w:color w:val="auto"/>
          <w:spacing w:val="-4"/>
          <w:kern w:val="0"/>
          <w:sz w:val="24"/>
          <w:szCs w:val="24"/>
        </w:rPr>
        <w:t>分砂机</w:t>
      </w:r>
      <w:r>
        <w:rPr>
          <w:rFonts w:ascii="Times New Roman" w:hAnsi="Times New Roman" w:eastAsia="宋体"/>
          <w:snapToGrid w:val="0"/>
          <w:color w:val="auto"/>
          <w:spacing w:val="-4"/>
          <w:kern w:val="0"/>
          <w:sz w:val="24"/>
          <w:szCs w:val="24"/>
        </w:rPr>
        <w:t>的远程控</w:t>
      </w:r>
      <w:r>
        <w:rPr>
          <w:rFonts w:ascii="Times New Roman" w:hAnsi="Times New Roman" w:eastAsia="宋体"/>
          <w:snapToGrid w:val="0"/>
          <w:color w:val="auto"/>
          <w:kern w:val="0"/>
          <w:sz w:val="24"/>
          <w:szCs w:val="24"/>
        </w:rPr>
        <w:t>制：</w:t>
      </w:r>
    </w:p>
    <w:p w14:paraId="77A5B87A">
      <w:pPr>
        <w:snapToGrid w:val="0"/>
        <w:spacing w:line="480" w:lineRule="atLeast"/>
        <w:ind w:firstLine="480"/>
        <w:contextualSpacing/>
        <w:rPr>
          <w:rFonts w:ascii="Times New Roman" w:hAnsi="Times New Roman" w:eastAsia="宋体"/>
          <w:snapToGrid w:val="0"/>
          <w:color w:val="auto"/>
          <w:kern w:val="0"/>
          <w:sz w:val="24"/>
          <w:szCs w:val="24"/>
        </w:rPr>
      </w:pPr>
      <w:r>
        <w:rPr>
          <w:rFonts w:ascii="Times New Roman" w:hAnsi="Times New Roman" w:eastAsia="宋体"/>
          <w:snapToGrid w:val="0"/>
          <w:color w:val="auto"/>
          <w:kern w:val="0"/>
          <w:sz w:val="24"/>
          <w:szCs w:val="24"/>
        </w:rPr>
        <w:t>（1）通过工业以太网接口模块向污水厂现场分控站提供</w:t>
      </w:r>
      <w:r>
        <w:rPr>
          <w:rFonts w:ascii="Times New Roman" w:hAnsi="Times New Roman" w:eastAsia="宋体"/>
          <w:snapToGrid w:val="0"/>
          <w:color w:val="auto"/>
          <w:kern w:val="0"/>
          <w:sz w:val="24"/>
          <w:szCs w:val="24"/>
          <w:highlight w:val="none"/>
        </w:rPr>
        <w:t>除砂</w:t>
      </w:r>
      <w:r>
        <w:rPr>
          <w:rFonts w:hint="eastAsia" w:ascii="Times New Roman" w:hAnsi="Times New Roman"/>
          <w:snapToGrid w:val="0"/>
          <w:color w:val="auto"/>
          <w:kern w:val="0"/>
          <w:sz w:val="24"/>
          <w:szCs w:val="24"/>
          <w:highlight w:val="none"/>
          <w:lang w:val="en-US" w:eastAsia="zh-CN"/>
        </w:rPr>
        <w:t>系统</w:t>
      </w:r>
      <w:r>
        <w:rPr>
          <w:rFonts w:ascii="Times New Roman" w:hAnsi="Times New Roman" w:eastAsia="宋体"/>
          <w:snapToGrid w:val="0"/>
          <w:color w:val="auto"/>
          <w:kern w:val="0"/>
          <w:sz w:val="24"/>
          <w:szCs w:val="24"/>
          <w:highlight w:val="none"/>
        </w:rPr>
        <w:t>（多层旋流沉砂器、</w:t>
      </w:r>
      <w:r>
        <w:rPr>
          <w:rFonts w:hint="eastAsia" w:ascii="Times New Roman" w:hAnsi="Times New Roman" w:eastAsia="宋体"/>
          <w:snapToGrid w:val="0"/>
          <w:color w:val="auto"/>
          <w:kern w:val="0"/>
          <w:sz w:val="24"/>
          <w:szCs w:val="24"/>
          <w:highlight w:val="none"/>
        </w:rPr>
        <w:t>排砂泵</w:t>
      </w:r>
      <w:r>
        <w:rPr>
          <w:rFonts w:ascii="Times New Roman" w:hAnsi="Times New Roman" w:eastAsia="宋体"/>
          <w:snapToGrid w:val="0"/>
          <w:color w:val="auto"/>
          <w:kern w:val="0"/>
          <w:sz w:val="24"/>
          <w:szCs w:val="24"/>
          <w:highlight w:val="none"/>
        </w:rPr>
        <w:t>）</w:t>
      </w:r>
      <w:r>
        <w:rPr>
          <w:rFonts w:hint="eastAsia" w:ascii="Times New Roman" w:hAnsi="Times New Roman"/>
          <w:snapToGrid w:val="0"/>
          <w:color w:val="auto"/>
          <w:kern w:val="0"/>
          <w:sz w:val="24"/>
          <w:szCs w:val="24"/>
          <w:highlight w:val="none"/>
          <w:lang w:val="en-US" w:eastAsia="zh-CN"/>
        </w:rPr>
        <w:t>流化系统（反冲洗流化系统增压泵、流量计、压力表、液位计）</w:t>
      </w:r>
      <w:r>
        <w:rPr>
          <w:rFonts w:ascii="Times New Roman" w:hAnsi="Times New Roman" w:eastAsia="宋体"/>
          <w:snapToGrid w:val="0"/>
          <w:color w:val="auto"/>
          <w:kern w:val="0"/>
          <w:sz w:val="24"/>
          <w:szCs w:val="24"/>
          <w:highlight w:val="none"/>
        </w:rPr>
        <w:t>及</w:t>
      </w:r>
      <w:r>
        <w:rPr>
          <w:rFonts w:hint="eastAsia" w:ascii="Times New Roman" w:hAnsi="Times New Roman"/>
          <w:snapToGrid w:val="0"/>
          <w:color w:val="auto"/>
          <w:kern w:val="0"/>
          <w:sz w:val="24"/>
          <w:szCs w:val="24"/>
          <w:highlight w:val="none"/>
          <w:lang w:val="en-US" w:eastAsia="zh-CN"/>
        </w:rPr>
        <w:t>洗砂</w:t>
      </w:r>
      <w:r>
        <w:rPr>
          <w:rFonts w:hint="eastAsia" w:ascii="Times New Roman" w:hAnsi="Times New Roman" w:eastAsia="宋体"/>
          <w:snapToGrid w:val="0"/>
          <w:color w:val="auto"/>
          <w:kern w:val="0"/>
          <w:sz w:val="24"/>
          <w:szCs w:val="24"/>
          <w:highlight w:val="none"/>
        </w:rPr>
        <w:t>分砂</w:t>
      </w:r>
      <w:r>
        <w:rPr>
          <w:rFonts w:hint="eastAsia" w:ascii="Times New Roman" w:hAnsi="Times New Roman" w:eastAsia="宋体"/>
          <w:snapToGrid w:val="0"/>
          <w:color w:val="auto"/>
          <w:kern w:val="0"/>
          <w:sz w:val="24"/>
          <w:szCs w:val="24"/>
          <w:highlight w:val="none"/>
          <w:lang w:val="en-US" w:eastAsia="zh-CN"/>
        </w:rPr>
        <w:t>脱水</w:t>
      </w:r>
      <w:r>
        <w:rPr>
          <w:rFonts w:hint="eastAsia" w:ascii="Times New Roman" w:hAnsi="Times New Roman"/>
          <w:snapToGrid w:val="0"/>
          <w:color w:val="auto"/>
          <w:kern w:val="0"/>
          <w:sz w:val="24"/>
          <w:szCs w:val="24"/>
          <w:highlight w:val="none"/>
          <w:lang w:val="en-US" w:eastAsia="zh-CN"/>
        </w:rPr>
        <w:t>系统</w:t>
      </w:r>
      <w:r>
        <w:rPr>
          <w:rFonts w:ascii="Times New Roman" w:hAnsi="Times New Roman" w:eastAsia="宋体"/>
          <w:snapToGrid w:val="0"/>
          <w:color w:val="auto"/>
          <w:kern w:val="0"/>
          <w:sz w:val="24"/>
          <w:szCs w:val="24"/>
          <w:highlight w:val="none"/>
        </w:rPr>
        <w:t>（</w:t>
      </w:r>
      <w:r>
        <w:rPr>
          <w:rFonts w:hint="eastAsia" w:ascii="Times New Roman" w:hAnsi="Times New Roman"/>
          <w:snapToGrid w:val="0"/>
          <w:color w:val="auto"/>
          <w:kern w:val="0"/>
          <w:sz w:val="24"/>
          <w:szCs w:val="24"/>
          <w:highlight w:val="none"/>
          <w:lang w:val="en-US" w:eastAsia="zh-CN"/>
        </w:rPr>
        <w:t>洗</w:t>
      </w:r>
      <w:r>
        <w:rPr>
          <w:rFonts w:hint="eastAsia" w:ascii="Times New Roman" w:hAnsi="Times New Roman" w:eastAsia="宋体"/>
          <w:snapToGrid w:val="0"/>
          <w:color w:val="auto"/>
          <w:kern w:val="0"/>
          <w:sz w:val="24"/>
          <w:szCs w:val="24"/>
          <w:highlight w:val="none"/>
        </w:rPr>
        <w:t>砂</w:t>
      </w:r>
      <w:r>
        <w:rPr>
          <w:rFonts w:hint="eastAsia" w:ascii="Times New Roman" w:hAnsi="Times New Roman"/>
          <w:snapToGrid w:val="0"/>
          <w:color w:val="auto"/>
          <w:kern w:val="0"/>
          <w:sz w:val="24"/>
          <w:szCs w:val="24"/>
          <w:highlight w:val="none"/>
          <w:lang w:eastAsia="zh-CN"/>
        </w:rPr>
        <w:t>分砂脱水一体机</w:t>
      </w:r>
      <w:r>
        <w:rPr>
          <w:rFonts w:ascii="Times New Roman" w:hAnsi="Times New Roman" w:eastAsia="宋体"/>
          <w:snapToGrid w:val="0"/>
          <w:color w:val="auto"/>
          <w:kern w:val="0"/>
          <w:sz w:val="24"/>
          <w:szCs w:val="24"/>
          <w:highlight w:val="none"/>
        </w:rPr>
        <w:t>）</w:t>
      </w:r>
      <w:r>
        <w:rPr>
          <w:rFonts w:hint="eastAsia" w:ascii="Times New Roman" w:hAnsi="Times New Roman" w:eastAsia="宋体"/>
          <w:snapToGrid w:val="0"/>
          <w:color w:val="auto"/>
          <w:kern w:val="0"/>
          <w:sz w:val="24"/>
          <w:szCs w:val="24"/>
          <w:highlight w:val="none"/>
          <w:lang w:val="en-US" w:eastAsia="zh-CN"/>
        </w:rPr>
        <w:t>的</w:t>
      </w:r>
      <w:r>
        <w:rPr>
          <w:rFonts w:ascii="Times New Roman" w:hAnsi="Times New Roman" w:eastAsia="宋体"/>
          <w:snapToGrid w:val="0"/>
          <w:color w:val="auto"/>
          <w:kern w:val="0"/>
          <w:sz w:val="24"/>
          <w:szCs w:val="24"/>
          <w:highlight w:val="none"/>
        </w:rPr>
        <w:t>如下基本信号</w:t>
      </w:r>
      <w:r>
        <w:rPr>
          <w:rFonts w:ascii="Times New Roman" w:hAnsi="Times New Roman" w:eastAsia="宋体"/>
          <w:snapToGrid w:val="0"/>
          <w:color w:val="auto"/>
          <w:kern w:val="0"/>
          <w:sz w:val="24"/>
          <w:szCs w:val="24"/>
        </w:rPr>
        <w:t>：</w:t>
      </w:r>
    </w:p>
    <w:p w14:paraId="179D7CA3">
      <w:pPr>
        <w:snapToGrid w:val="0"/>
        <w:spacing w:line="480" w:lineRule="atLeast"/>
        <w:ind w:firstLine="720" w:firstLineChars="300"/>
        <w:contextualSpacing/>
        <w:rPr>
          <w:rFonts w:ascii="Times New Roman" w:hAnsi="Times New Roman" w:eastAsia="宋体"/>
          <w:snapToGrid w:val="0"/>
          <w:color w:val="auto"/>
          <w:kern w:val="0"/>
          <w:sz w:val="24"/>
          <w:szCs w:val="24"/>
        </w:rPr>
      </w:pPr>
      <w:r>
        <w:rPr>
          <w:rFonts w:hint="eastAsia" w:ascii="宋体" w:hAnsi="宋体" w:cs="宋体"/>
          <w:snapToGrid w:val="0"/>
          <w:color w:val="auto"/>
          <w:kern w:val="0"/>
          <w:sz w:val="24"/>
          <w:szCs w:val="24"/>
        </w:rPr>
        <w:t>①</w:t>
      </w:r>
      <w:r>
        <w:rPr>
          <w:rFonts w:ascii="Times New Roman" w:hAnsi="Times New Roman" w:eastAsia="宋体"/>
          <w:snapToGrid w:val="0"/>
          <w:color w:val="auto"/>
          <w:kern w:val="0"/>
          <w:sz w:val="24"/>
          <w:szCs w:val="24"/>
        </w:rPr>
        <w:t>就地手动/自动操作方式</w:t>
      </w:r>
    </w:p>
    <w:p w14:paraId="4F724C37">
      <w:pPr>
        <w:snapToGrid w:val="0"/>
        <w:spacing w:line="480" w:lineRule="atLeast"/>
        <w:ind w:left="210" w:leftChars="100" w:firstLine="480"/>
        <w:contextualSpacing/>
        <w:rPr>
          <w:rFonts w:ascii="Times New Roman" w:hAnsi="Times New Roman" w:eastAsia="宋体"/>
          <w:snapToGrid w:val="0"/>
          <w:color w:val="auto"/>
          <w:kern w:val="0"/>
          <w:sz w:val="24"/>
          <w:szCs w:val="24"/>
        </w:rPr>
      </w:pPr>
      <w:r>
        <w:rPr>
          <w:rFonts w:hint="eastAsia" w:ascii="宋体" w:hAnsi="宋体" w:cs="宋体"/>
          <w:snapToGrid w:val="0"/>
          <w:color w:val="auto"/>
          <w:kern w:val="0"/>
          <w:sz w:val="24"/>
          <w:szCs w:val="24"/>
        </w:rPr>
        <w:t>②</w:t>
      </w:r>
      <w:r>
        <w:rPr>
          <w:rFonts w:ascii="Times New Roman" w:hAnsi="Times New Roman" w:eastAsia="宋体"/>
          <w:snapToGrid w:val="0"/>
          <w:color w:val="auto"/>
          <w:kern w:val="0"/>
          <w:sz w:val="24"/>
          <w:szCs w:val="24"/>
        </w:rPr>
        <w:t>就地/远程控制方式——即：允许远程自动控制或远程自控准备好信号</w:t>
      </w:r>
    </w:p>
    <w:p w14:paraId="57C4718B">
      <w:pPr>
        <w:snapToGrid w:val="0"/>
        <w:spacing w:line="480" w:lineRule="atLeast"/>
        <w:ind w:left="210" w:leftChars="100" w:firstLine="480"/>
        <w:contextualSpacing/>
        <w:rPr>
          <w:rFonts w:ascii="Times New Roman" w:hAnsi="Times New Roman" w:eastAsia="宋体"/>
          <w:snapToGrid w:val="0"/>
          <w:color w:val="auto"/>
          <w:kern w:val="0"/>
          <w:sz w:val="24"/>
          <w:szCs w:val="24"/>
        </w:rPr>
      </w:pPr>
      <w:r>
        <w:rPr>
          <w:rFonts w:hint="eastAsia" w:ascii="宋体" w:hAnsi="宋体" w:cs="宋体"/>
          <w:snapToGrid w:val="0"/>
          <w:color w:val="auto"/>
          <w:kern w:val="0"/>
          <w:sz w:val="24"/>
          <w:szCs w:val="24"/>
        </w:rPr>
        <w:t>③</w:t>
      </w:r>
      <w:r>
        <w:rPr>
          <w:rFonts w:ascii="Times New Roman" w:hAnsi="Times New Roman" w:eastAsia="宋体"/>
          <w:snapToGrid w:val="0"/>
          <w:color w:val="auto"/>
          <w:kern w:val="0"/>
          <w:sz w:val="24"/>
          <w:szCs w:val="24"/>
        </w:rPr>
        <w:t>（机组）运行/停止（或开/关）状态</w:t>
      </w:r>
    </w:p>
    <w:p w14:paraId="1E07880A">
      <w:pPr>
        <w:snapToGrid w:val="0"/>
        <w:spacing w:line="480" w:lineRule="atLeast"/>
        <w:ind w:left="210" w:leftChars="100" w:firstLine="480"/>
        <w:contextualSpacing/>
        <w:rPr>
          <w:rFonts w:ascii="Times New Roman" w:hAnsi="Times New Roman" w:eastAsia="宋体"/>
          <w:snapToGrid w:val="0"/>
          <w:color w:val="auto"/>
          <w:kern w:val="0"/>
          <w:sz w:val="24"/>
          <w:szCs w:val="24"/>
        </w:rPr>
      </w:pPr>
      <w:r>
        <w:rPr>
          <w:rFonts w:hint="eastAsia" w:ascii="宋体" w:hAnsi="宋体" w:cs="宋体"/>
          <w:snapToGrid w:val="0"/>
          <w:color w:val="auto"/>
          <w:kern w:val="0"/>
          <w:sz w:val="24"/>
          <w:szCs w:val="24"/>
        </w:rPr>
        <w:t>④</w:t>
      </w:r>
      <w:r>
        <w:rPr>
          <w:rFonts w:ascii="Times New Roman" w:hAnsi="Times New Roman" w:eastAsia="宋体"/>
          <w:snapToGrid w:val="0"/>
          <w:color w:val="auto"/>
          <w:kern w:val="0"/>
          <w:sz w:val="24"/>
          <w:szCs w:val="24"/>
        </w:rPr>
        <w:t>（机组）急停信号</w:t>
      </w:r>
    </w:p>
    <w:p w14:paraId="51855F30">
      <w:pPr>
        <w:snapToGrid w:val="0"/>
        <w:spacing w:line="480" w:lineRule="atLeast"/>
        <w:ind w:left="210" w:leftChars="100" w:firstLine="480"/>
        <w:contextualSpacing/>
        <w:rPr>
          <w:rFonts w:ascii="Times New Roman" w:hAnsi="Times New Roman" w:eastAsia="宋体"/>
          <w:snapToGrid w:val="0"/>
          <w:color w:val="auto"/>
          <w:kern w:val="0"/>
          <w:sz w:val="24"/>
          <w:szCs w:val="24"/>
        </w:rPr>
      </w:pPr>
      <w:r>
        <w:rPr>
          <w:rFonts w:hint="eastAsia" w:ascii="宋体" w:hAnsi="宋体" w:cs="宋体"/>
          <w:snapToGrid w:val="0"/>
          <w:color w:val="auto"/>
          <w:kern w:val="0"/>
          <w:sz w:val="24"/>
          <w:szCs w:val="24"/>
        </w:rPr>
        <w:t>⑤</w:t>
      </w:r>
      <w:r>
        <w:rPr>
          <w:rFonts w:ascii="Times New Roman" w:hAnsi="Times New Roman" w:eastAsia="宋体"/>
          <w:snapToGrid w:val="0"/>
          <w:color w:val="auto"/>
          <w:kern w:val="0"/>
          <w:sz w:val="24"/>
          <w:szCs w:val="24"/>
        </w:rPr>
        <w:t>（机组）故障状态</w:t>
      </w:r>
    </w:p>
    <w:p w14:paraId="24BC8E38">
      <w:pPr>
        <w:snapToGrid w:val="0"/>
        <w:spacing w:line="480" w:lineRule="atLeast"/>
        <w:ind w:left="210" w:leftChars="100" w:firstLine="480"/>
        <w:contextualSpacing/>
        <w:rPr>
          <w:rFonts w:ascii="Times New Roman" w:hAnsi="Times New Roman" w:eastAsia="宋体"/>
          <w:snapToGrid w:val="0"/>
          <w:color w:val="auto"/>
          <w:kern w:val="0"/>
          <w:sz w:val="24"/>
          <w:szCs w:val="24"/>
        </w:rPr>
      </w:pPr>
      <w:r>
        <w:rPr>
          <w:rFonts w:hint="eastAsia" w:ascii="宋体" w:hAnsi="宋体" w:cs="宋体"/>
          <w:snapToGrid w:val="0"/>
          <w:color w:val="auto"/>
          <w:kern w:val="0"/>
          <w:sz w:val="24"/>
          <w:szCs w:val="24"/>
        </w:rPr>
        <w:t>⑥</w:t>
      </w:r>
      <w:r>
        <w:rPr>
          <w:rFonts w:ascii="Times New Roman" w:hAnsi="Times New Roman" w:eastAsia="宋体"/>
          <w:snapToGrid w:val="0"/>
          <w:color w:val="auto"/>
          <w:kern w:val="0"/>
          <w:sz w:val="24"/>
          <w:szCs w:val="24"/>
        </w:rPr>
        <w:t>（各主要设备）运行/停止（或开/关）状态</w:t>
      </w:r>
    </w:p>
    <w:p w14:paraId="2CB1CA25">
      <w:pPr>
        <w:snapToGrid w:val="0"/>
        <w:spacing w:line="480" w:lineRule="atLeast"/>
        <w:ind w:left="210" w:leftChars="100" w:firstLine="480"/>
        <w:contextualSpacing/>
        <w:rPr>
          <w:rFonts w:ascii="Times New Roman" w:hAnsi="Times New Roman" w:eastAsia="宋体"/>
          <w:snapToGrid w:val="0"/>
          <w:color w:val="auto"/>
          <w:kern w:val="0"/>
          <w:sz w:val="24"/>
          <w:szCs w:val="24"/>
        </w:rPr>
      </w:pPr>
      <w:r>
        <w:rPr>
          <w:rFonts w:hint="eastAsia" w:ascii="宋体" w:hAnsi="宋体" w:cs="宋体"/>
          <w:snapToGrid w:val="0"/>
          <w:color w:val="auto"/>
          <w:kern w:val="0"/>
          <w:sz w:val="24"/>
          <w:szCs w:val="24"/>
        </w:rPr>
        <w:t>⑦</w:t>
      </w:r>
      <w:r>
        <w:rPr>
          <w:rFonts w:ascii="Times New Roman" w:hAnsi="Times New Roman" w:eastAsia="宋体"/>
          <w:snapToGrid w:val="0"/>
          <w:color w:val="auto"/>
          <w:kern w:val="0"/>
          <w:sz w:val="24"/>
          <w:szCs w:val="24"/>
        </w:rPr>
        <w:t>（各主要设备）故障或报警状态</w:t>
      </w:r>
    </w:p>
    <w:p w14:paraId="18A95124">
      <w:pPr>
        <w:snapToGrid w:val="0"/>
        <w:spacing w:line="480" w:lineRule="atLeast"/>
        <w:ind w:left="210" w:leftChars="100" w:firstLine="480"/>
        <w:contextualSpacing/>
        <w:rPr>
          <w:rFonts w:ascii="Times New Roman" w:hAnsi="Times New Roman" w:eastAsia="宋体"/>
          <w:snapToGrid w:val="0"/>
          <w:color w:val="auto"/>
          <w:kern w:val="0"/>
          <w:sz w:val="24"/>
          <w:szCs w:val="24"/>
        </w:rPr>
      </w:pPr>
      <w:r>
        <w:rPr>
          <w:rFonts w:hint="eastAsia" w:ascii="宋体" w:hAnsi="宋体" w:cs="宋体"/>
          <w:snapToGrid w:val="0"/>
          <w:color w:val="auto"/>
          <w:kern w:val="0"/>
          <w:sz w:val="24"/>
          <w:szCs w:val="24"/>
        </w:rPr>
        <w:t>⑧</w:t>
      </w:r>
      <w:r>
        <w:rPr>
          <w:rFonts w:hint="eastAsia" w:ascii="宋体" w:hAnsi="宋体" w:cs="宋体"/>
          <w:snapToGrid w:val="0"/>
          <w:color w:val="auto"/>
          <w:kern w:val="0"/>
          <w:sz w:val="24"/>
          <w:szCs w:val="24"/>
          <w:lang w:val="en-US" w:eastAsia="zh-CN"/>
        </w:rPr>
        <w:t xml:space="preserve"> </w:t>
      </w:r>
      <w:r>
        <w:rPr>
          <w:rFonts w:ascii="Times New Roman" w:hAnsi="Times New Roman" w:eastAsia="宋体"/>
          <w:snapToGrid w:val="0"/>
          <w:color w:val="auto"/>
          <w:kern w:val="0"/>
          <w:sz w:val="24"/>
          <w:szCs w:val="24"/>
        </w:rPr>
        <w:t>PLC的运行、停止、故障、自检等状态及数据</w:t>
      </w:r>
    </w:p>
    <w:p w14:paraId="50B1C5F7">
      <w:pPr>
        <w:snapToGrid w:val="0"/>
        <w:spacing w:line="480" w:lineRule="atLeast"/>
        <w:ind w:firstLine="480"/>
        <w:contextualSpacing/>
        <w:rPr>
          <w:rFonts w:ascii="Times New Roman" w:hAnsi="Times New Roman" w:eastAsia="宋体"/>
          <w:snapToGrid w:val="0"/>
          <w:color w:val="auto"/>
          <w:kern w:val="0"/>
          <w:sz w:val="24"/>
          <w:szCs w:val="24"/>
        </w:rPr>
      </w:pPr>
      <w:r>
        <w:rPr>
          <w:rFonts w:ascii="Times New Roman" w:hAnsi="Times New Roman" w:eastAsia="宋体"/>
          <w:snapToGrid w:val="0"/>
          <w:color w:val="auto"/>
          <w:kern w:val="0"/>
          <w:sz w:val="24"/>
          <w:szCs w:val="24"/>
        </w:rPr>
        <w:t>（2）接受污水厂现场分控站提供的远程控制信号：</w:t>
      </w:r>
    </w:p>
    <w:p w14:paraId="3FC3A881">
      <w:pPr>
        <w:snapToGrid w:val="0"/>
        <w:spacing w:line="480" w:lineRule="atLeast"/>
        <w:ind w:left="210" w:leftChars="100" w:firstLine="480"/>
        <w:contextualSpacing/>
        <w:rPr>
          <w:rFonts w:ascii="Times New Roman" w:hAnsi="Times New Roman" w:eastAsia="宋体"/>
          <w:snapToGrid w:val="0"/>
          <w:color w:val="auto"/>
          <w:kern w:val="0"/>
          <w:sz w:val="24"/>
          <w:szCs w:val="24"/>
        </w:rPr>
      </w:pPr>
      <w:r>
        <w:rPr>
          <w:rFonts w:hint="eastAsia" w:ascii="宋体" w:hAnsi="宋体" w:cs="宋体"/>
          <w:snapToGrid w:val="0"/>
          <w:color w:val="auto"/>
          <w:kern w:val="0"/>
          <w:sz w:val="24"/>
          <w:szCs w:val="24"/>
        </w:rPr>
        <w:t>①</w:t>
      </w:r>
      <w:r>
        <w:rPr>
          <w:rFonts w:ascii="Times New Roman" w:hAnsi="Times New Roman" w:eastAsia="宋体"/>
          <w:snapToGrid w:val="0"/>
          <w:color w:val="auto"/>
          <w:kern w:val="0"/>
          <w:sz w:val="24"/>
          <w:szCs w:val="24"/>
        </w:rPr>
        <w:t>运行（或开）命令</w:t>
      </w:r>
    </w:p>
    <w:p w14:paraId="4160F7D6">
      <w:pPr>
        <w:snapToGrid w:val="0"/>
        <w:spacing w:line="480" w:lineRule="atLeast"/>
        <w:ind w:left="210" w:leftChars="100" w:firstLine="480"/>
        <w:contextualSpacing/>
        <w:rPr>
          <w:rFonts w:ascii="Times New Roman" w:hAnsi="Times New Roman" w:eastAsia="宋体"/>
          <w:snapToGrid w:val="0"/>
          <w:color w:val="auto"/>
          <w:kern w:val="0"/>
          <w:sz w:val="24"/>
          <w:szCs w:val="24"/>
        </w:rPr>
      </w:pPr>
      <w:r>
        <w:rPr>
          <w:rFonts w:hint="eastAsia" w:ascii="宋体" w:hAnsi="宋体" w:cs="宋体"/>
          <w:snapToGrid w:val="0"/>
          <w:color w:val="auto"/>
          <w:kern w:val="0"/>
          <w:sz w:val="24"/>
          <w:szCs w:val="24"/>
        </w:rPr>
        <w:t>②</w:t>
      </w:r>
      <w:r>
        <w:rPr>
          <w:rFonts w:ascii="Times New Roman" w:hAnsi="Times New Roman" w:eastAsia="宋体"/>
          <w:snapToGrid w:val="0"/>
          <w:color w:val="auto"/>
          <w:kern w:val="0"/>
          <w:sz w:val="24"/>
          <w:szCs w:val="24"/>
        </w:rPr>
        <w:t>停止（或关）命令</w:t>
      </w:r>
      <w:bookmarkStart w:id="34" w:name="_Toc51605861"/>
      <w:bookmarkStart w:id="35" w:name="_Toc51606330"/>
      <w:bookmarkStart w:id="36" w:name="_Toc19517"/>
    </w:p>
    <w:p w14:paraId="40114560">
      <w:pPr>
        <w:snapToGrid w:val="0"/>
        <w:spacing w:line="480" w:lineRule="atLeast"/>
        <w:ind w:left="210" w:leftChars="100" w:firstLine="480"/>
        <w:contextualSpacing/>
        <w:rPr>
          <w:rFonts w:ascii="Times New Roman" w:hAnsi="Times New Roman" w:eastAsia="宋体" w:cs="Times New Roman"/>
          <w:snapToGrid w:val="0"/>
          <w:color w:val="auto"/>
          <w:kern w:val="0"/>
          <w:sz w:val="24"/>
          <w:szCs w:val="24"/>
        </w:rPr>
      </w:pPr>
      <w:r>
        <w:rPr>
          <w:rFonts w:ascii="Times New Roman" w:hAnsi="Times New Roman" w:eastAsia="宋体" w:cs="Times New Roman"/>
          <w:snapToGrid w:val="0"/>
          <w:color w:val="auto"/>
          <w:kern w:val="0"/>
          <w:sz w:val="24"/>
          <w:szCs w:val="24"/>
        </w:rPr>
        <w:t>主要材料</w:t>
      </w:r>
      <w:bookmarkEnd w:id="34"/>
      <w:bookmarkEnd w:id="35"/>
      <w:bookmarkEnd w:id="36"/>
    </w:p>
    <w:p w14:paraId="2A9791E6">
      <w:pPr>
        <w:pStyle w:val="86"/>
        <w:jc w:val="both"/>
        <w:rPr>
          <w:rFonts w:hint="eastAsia" w:ascii="宋体" w:hAnsi="宋体" w:eastAsia="宋体" w:cs="宋体"/>
          <w:color w:val="auto"/>
          <w:sz w:val="24"/>
          <w:szCs w:val="24"/>
        </w:rPr>
      </w:pPr>
      <w:bookmarkStart w:id="37" w:name="_Toc57386641"/>
      <w:r>
        <w:rPr>
          <w:rFonts w:hint="eastAsia" w:ascii="宋体" w:hAnsi="宋体" w:eastAsia="宋体" w:cs="宋体"/>
          <w:color w:val="auto"/>
          <w:sz w:val="24"/>
          <w:szCs w:val="24"/>
        </w:rPr>
        <w:t xml:space="preserve">1. </w:t>
      </w:r>
      <w:bookmarkEnd w:id="37"/>
      <w:r>
        <w:rPr>
          <w:rFonts w:hint="eastAsia" w:ascii="宋体" w:hAnsi="宋体" w:eastAsia="宋体" w:cs="宋体"/>
          <w:color w:val="auto"/>
          <w:sz w:val="24"/>
          <w:szCs w:val="24"/>
        </w:rPr>
        <w:t>多层旋流沉砂器</w:t>
      </w:r>
    </w:p>
    <w:p w14:paraId="4E4DE302">
      <w:pPr>
        <w:pStyle w:val="86"/>
        <w:jc w:val="both"/>
        <w:rPr>
          <w:rFonts w:hint="eastAsia" w:ascii="宋体" w:hAnsi="宋体" w:eastAsia="宋体" w:cs="宋体"/>
          <w:color w:val="auto"/>
          <w:sz w:val="24"/>
          <w:szCs w:val="24"/>
        </w:rPr>
      </w:pPr>
    </w:p>
    <w:tbl>
      <w:tblPr>
        <w:tblStyle w:val="27"/>
        <w:tblpPr w:leftFromText="180" w:rightFromText="180" w:vertAnchor="text" w:horzAnchor="page" w:tblpX="1873" w:tblpY="62"/>
        <w:tblOverlap w:val="never"/>
        <w:tblW w:w="4138"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891"/>
        <w:gridCol w:w="5265"/>
      </w:tblGrid>
      <w:tr w14:paraId="4363D9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6" w:hRule="atLeast"/>
          <w:tblHeader/>
        </w:trPr>
        <w:tc>
          <w:tcPr>
            <w:tcW w:w="1772" w:type="pct"/>
            <w:noWrap w:val="0"/>
            <w:vAlign w:val="center"/>
          </w:tcPr>
          <w:p w14:paraId="3DF7AD95">
            <w:pPr>
              <w:pStyle w:val="86"/>
              <w:rPr>
                <w:rFonts w:hint="eastAsia" w:ascii="宋体" w:hAnsi="宋体" w:eastAsia="宋体" w:cs="宋体"/>
                <w:color w:val="auto"/>
                <w:sz w:val="24"/>
                <w:szCs w:val="24"/>
              </w:rPr>
            </w:pPr>
            <w:r>
              <w:rPr>
                <w:rFonts w:hint="eastAsia" w:ascii="宋体" w:hAnsi="宋体" w:eastAsia="宋体" w:cs="宋体"/>
                <w:color w:val="auto"/>
                <w:sz w:val="24"/>
                <w:szCs w:val="24"/>
              </w:rPr>
              <w:t>布水器</w:t>
            </w:r>
          </w:p>
        </w:tc>
        <w:tc>
          <w:tcPr>
            <w:tcW w:w="3227" w:type="pct"/>
            <w:noWrap w:val="0"/>
            <w:vAlign w:val="center"/>
          </w:tcPr>
          <w:p w14:paraId="2AE86FAF">
            <w:pPr>
              <w:pStyle w:val="86"/>
              <w:rPr>
                <w:rFonts w:hint="eastAsia" w:ascii="宋体" w:hAnsi="宋体" w:eastAsia="宋体" w:cs="宋体"/>
                <w:color w:val="auto"/>
                <w:sz w:val="24"/>
                <w:szCs w:val="24"/>
              </w:rPr>
            </w:pPr>
            <w:r>
              <w:rPr>
                <w:rFonts w:hint="eastAsia" w:ascii="宋体" w:hAnsi="宋体" w:eastAsia="宋体" w:cs="宋体"/>
                <w:color w:val="auto"/>
                <w:sz w:val="24"/>
                <w:szCs w:val="24"/>
              </w:rPr>
              <w:t>06Cr19Ni10不锈钢</w:t>
            </w:r>
          </w:p>
        </w:tc>
      </w:tr>
      <w:tr w14:paraId="59F3E8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6" w:hRule="atLeast"/>
          <w:tblHeader/>
        </w:trPr>
        <w:tc>
          <w:tcPr>
            <w:tcW w:w="1772" w:type="pct"/>
            <w:noWrap w:val="0"/>
            <w:vAlign w:val="center"/>
          </w:tcPr>
          <w:p w14:paraId="33E02775">
            <w:pPr>
              <w:pStyle w:val="86"/>
              <w:rPr>
                <w:rFonts w:hint="eastAsia" w:ascii="宋体" w:hAnsi="宋体" w:eastAsia="宋体" w:cs="宋体"/>
                <w:color w:val="auto"/>
                <w:sz w:val="24"/>
                <w:szCs w:val="24"/>
              </w:rPr>
            </w:pPr>
            <w:r>
              <w:rPr>
                <w:rFonts w:hint="eastAsia" w:ascii="宋体" w:hAnsi="宋体" w:eastAsia="宋体" w:cs="宋体"/>
                <w:color w:val="auto"/>
                <w:sz w:val="24"/>
                <w:szCs w:val="24"/>
              </w:rPr>
              <w:t>支架</w:t>
            </w:r>
          </w:p>
        </w:tc>
        <w:tc>
          <w:tcPr>
            <w:tcW w:w="3227" w:type="pct"/>
            <w:noWrap w:val="0"/>
            <w:vAlign w:val="center"/>
          </w:tcPr>
          <w:p w14:paraId="48AEB601">
            <w:pPr>
              <w:pStyle w:val="86"/>
              <w:rPr>
                <w:rFonts w:hint="eastAsia" w:ascii="宋体" w:hAnsi="宋体" w:eastAsia="宋体" w:cs="宋体"/>
                <w:color w:val="auto"/>
                <w:sz w:val="24"/>
                <w:szCs w:val="24"/>
              </w:rPr>
            </w:pPr>
            <w:r>
              <w:rPr>
                <w:rFonts w:hint="eastAsia" w:ascii="宋体" w:hAnsi="宋体" w:eastAsia="宋体" w:cs="宋体"/>
                <w:color w:val="auto"/>
                <w:sz w:val="24"/>
                <w:szCs w:val="24"/>
              </w:rPr>
              <w:t>06Cr19Ni10不锈钢</w:t>
            </w:r>
          </w:p>
        </w:tc>
      </w:tr>
      <w:tr w14:paraId="45778C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trPr>
        <w:tc>
          <w:tcPr>
            <w:tcW w:w="1772" w:type="pct"/>
            <w:noWrap w:val="0"/>
            <w:vAlign w:val="center"/>
          </w:tcPr>
          <w:p w14:paraId="632A0E11">
            <w:pPr>
              <w:pStyle w:val="86"/>
              <w:rPr>
                <w:rFonts w:hint="eastAsia" w:ascii="宋体" w:hAnsi="宋体" w:eastAsia="宋体" w:cs="宋体"/>
                <w:color w:val="auto"/>
                <w:sz w:val="24"/>
                <w:szCs w:val="24"/>
              </w:rPr>
            </w:pPr>
            <w:r>
              <w:rPr>
                <w:rFonts w:hint="eastAsia" w:ascii="宋体" w:hAnsi="宋体" w:eastAsia="宋体" w:cs="宋体"/>
                <w:color w:val="auto"/>
                <w:sz w:val="24"/>
                <w:szCs w:val="24"/>
              </w:rPr>
              <w:t>碟盘</w:t>
            </w:r>
          </w:p>
        </w:tc>
        <w:tc>
          <w:tcPr>
            <w:tcW w:w="3227" w:type="pct"/>
            <w:noWrap w:val="0"/>
            <w:vAlign w:val="center"/>
          </w:tcPr>
          <w:p w14:paraId="6B41EA46">
            <w:pPr>
              <w:pStyle w:val="86"/>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进口LDPE或M</w:t>
            </w:r>
            <w:r>
              <w:rPr>
                <w:rFonts w:hint="eastAsia" w:ascii="宋体" w:hAnsi="宋体" w:eastAsia="宋体" w:cs="宋体"/>
                <w:color w:val="auto"/>
                <w:sz w:val="24"/>
                <w:szCs w:val="24"/>
                <w:highlight w:val="none"/>
              </w:rPr>
              <w:t>DPE</w:t>
            </w:r>
            <w:r>
              <w:rPr>
                <w:rFonts w:hint="eastAsia" w:ascii="宋体" w:hAnsi="宋体" w:eastAsia="宋体" w:cs="宋体"/>
                <w:color w:val="auto"/>
                <w:sz w:val="24"/>
                <w:szCs w:val="24"/>
                <w:highlight w:val="none"/>
                <w:lang w:val="en-US" w:eastAsia="zh-CN"/>
              </w:rPr>
              <w:t>或304</w:t>
            </w:r>
            <w:r>
              <w:rPr>
                <w:rFonts w:hint="eastAsia" w:ascii="宋体" w:hAnsi="宋体" w:eastAsia="宋体" w:cs="宋体"/>
                <w:color w:val="auto"/>
                <w:sz w:val="24"/>
                <w:szCs w:val="24"/>
              </w:rPr>
              <w:t>不锈钢</w:t>
            </w:r>
          </w:p>
          <w:p w14:paraId="14F8A832">
            <w:pPr>
              <w:pStyle w:val="86"/>
              <w:rPr>
                <w:rFonts w:hint="eastAsia" w:ascii="宋体" w:hAnsi="宋体" w:eastAsia="宋体" w:cs="宋体"/>
                <w:color w:val="auto"/>
                <w:sz w:val="24"/>
                <w:szCs w:val="24"/>
              </w:rPr>
            </w:pPr>
            <w:r>
              <w:rPr>
                <w:rFonts w:hint="eastAsia" w:ascii="宋体" w:hAnsi="宋体" w:eastAsia="宋体" w:cs="宋体"/>
                <w:color w:val="auto"/>
                <w:sz w:val="24"/>
                <w:szCs w:val="24"/>
                <w:highlight w:val="none"/>
              </w:rPr>
              <w:t>表面防腐、耐磨涂层处理</w:t>
            </w:r>
          </w:p>
        </w:tc>
      </w:tr>
    </w:tbl>
    <w:p w14:paraId="74276D66">
      <w:pPr>
        <w:pStyle w:val="86"/>
        <w:jc w:val="both"/>
        <w:rPr>
          <w:rFonts w:hint="eastAsia" w:ascii="宋体" w:hAnsi="宋体" w:eastAsia="宋体" w:cs="宋体"/>
          <w:color w:val="auto"/>
          <w:sz w:val="24"/>
          <w:szCs w:val="24"/>
        </w:rPr>
      </w:pPr>
    </w:p>
    <w:p w14:paraId="5D33BA03">
      <w:pPr>
        <w:pStyle w:val="86"/>
        <w:jc w:val="both"/>
        <w:rPr>
          <w:rFonts w:hint="eastAsia" w:ascii="宋体" w:hAnsi="宋体" w:eastAsia="宋体" w:cs="宋体"/>
          <w:color w:val="auto"/>
          <w:sz w:val="24"/>
          <w:szCs w:val="24"/>
        </w:rPr>
      </w:pPr>
    </w:p>
    <w:p w14:paraId="0FF237F6">
      <w:pPr>
        <w:pStyle w:val="86"/>
        <w:jc w:val="both"/>
        <w:rPr>
          <w:rFonts w:hint="eastAsia" w:ascii="宋体" w:hAnsi="宋体" w:eastAsia="宋体" w:cs="宋体"/>
          <w:color w:val="auto"/>
          <w:sz w:val="24"/>
          <w:szCs w:val="24"/>
        </w:rPr>
      </w:pPr>
    </w:p>
    <w:p w14:paraId="45F1E9AB">
      <w:pPr>
        <w:pStyle w:val="86"/>
        <w:jc w:val="both"/>
        <w:rPr>
          <w:rFonts w:hint="eastAsia" w:ascii="宋体" w:hAnsi="宋体" w:eastAsia="宋体" w:cs="宋体"/>
          <w:color w:val="auto"/>
          <w:sz w:val="24"/>
          <w:szCs w:val="24"/>
        </w:rPr>
      </w:pPr>
    </w:p>
    <w:p w14:paraId="2BECCDEF">
      <w:pPr>
        <w:pStyle w:val="86"/>
        <w:jc w:val="both"/>
        <w:rPr>
          <w:rFonts w:hint="eastAsia" w:ascii="宋体" w:hAnsi="宋体" w:eastAsia="宋体" w:cs="宋体"/>
          <w:color w:val="auto"/>
          <w:sz w:val="24"/>
          <w:szCs w:val="24"/>
        </w:rPr>
      </w:pPr>
    </w:p>
    <w:p w14:paraId="72D32B47">
      <w:pPr>
        <w:pStyle w:val="86"/>
        <w:jc w:val="both"/>
        <w:rPr>
          <w:rFonts w:hint="eastAsia" w:ascii="宋体" w:hAnsi="宋体" w:eastAsia="宋体" w:cs="宋体"/>
          <w:color w:val="auto"/>
          <w:sz w:val="24"/>
          <w:szCs w:val="24"/>
        </w:rPr>
      </w:pPr>
    </w:p>
    <w:p w14:paraId="7CC7697C">
      <w:pPr>
        <w:pStyle w:val="86"/>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2. </w:t>
      </w:r>
      <w:r>
        <w:rPr>
          <w:rFonts w:hint="eastAsia" w:ascii="宋体" w:hAnsi="宋体" w:eastAsia="宋体" w:cs="宋体"/>
          <w:color w:val="auto"/>
          <w:sz w:val="24"/>
          <w:szCs w:val="24"/>
          <w:lang w:val="en-US" w:eastAsia="zh-CN"/>
        </w:rPr>
        <w:t>洗砂</w:t>
      </w:r>
      <w:r>
        <w:rPr>
          <w:rFonts w:hint="eastAsia" w:ascii="宋体" w:hAnsi="宋体" w:eastAsia="宋体" w:cs="宋体"/>
          <w:color w:val="auto"/>
          <w:sz w:val="24"/>
          <w:szCs w:val="24"/>
          <w:lang w:eastAsia="zh-CN"/>
        </w:rPr>
        <w:t>分砂脱水一体机</w:t>
      </w:r>
    </w:p>
    <w:tbl>
      <w:tblPr>
        <w:tblStyle w:val="27"/>
        <w:tblW w:w="421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7037"/>
      </w:tblGrid>
      <w:tr w14:paraId="35DED5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1" w:hRule="atLeast"/>
          <w:tblHeader/>
          <w:jc w:val="center"/>
        </w:trPr>
        <w:tc>
          <w:tcPr>
            <w:tcW w:w="768" w:type="pct"/>
            <w:noWrap w:val="0"/>
            <w:vAlign w:val="center"/>
          </w:tcPr>
          <w:p w14:paraId="7224B2E5">
            <w:pPr>
              <w:pStyle w:val="86"/>
              <w:rPr>
                <w:rFonts w:hint="eastAsia" w:ascii="宋体" w:hAnsi="宋体" w:eastAsia="宋体" w:cs="宋体"/>
                <w:color w:val="auto"/>
                <w:sz w:val="24"/>
                <w:szCs w:val="24"/>
              </w:rPr>
            </w:pPr>
            <w:r>
              <w:rPr>
                <w:rFonts w:hint="eastAsia" w:ascii="宋体" w:hAnsi="宋体" w:eastAsia="宋体" w:cs="宋体"/>
                <w:color w:val="auto"/>
                <w:sz w:val="24"/>
                <w:szCs w:val="24"/>
              </w:rPr>
              <w:t>腔体</w:t>
            </w:r>
          </w:p>
        </w:tc>
        <w:tc>
          <w:tcPr>
            <w:tcW w:w="4231" w:type="pct"/>
            <w:noWrap w:val="0"/>
            <w:vAlign w:val="center"/>
          </w:tcPr>
          <w:p w14:paraId="24E917DF">
            <w:pPr>
              <w:pStyle w:val="86"/>
              <w:rPr>
                <w:rFonts w:hint="eastAsia" w:ascii="宋体" w:hAnsi="宋体" w:eastAsia="宋体" w:cs="宋体"/>
                <w:color w:val="auto"/>
                <w:sz w:val="24"/>
                <w:szCs w:val="24"/>
              </w:rPr>
            </w:pPr>
            <w:r>
              <w:rPr>
                <w:rFonts w:hint="eastAsia" w:ascii="宋体" w:hAnsi="宋体" w:eastAsia="宋体" w:cs="宋体"/>
                <w:color w:val="auto"/>
                <w:sz w:val="24"/>
                <w:szCs w:val="24"/>
              </w:rPr>
              <w:t>06Cr19Ni10不锈钢</w:t>
            </w:r>
          </w:p>
        </w:tc>
      </w:tr>
      <w:tr w14:paraId="44EB3E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6" w:hRule="atLeast"/>
          <w:tblHeader/>
          <w:jc w:val="center"/>
        </w:trPr>
        <w:tc>
          <w:tcPr>
            <w:tcW w:w="768" w:type="pct"/>
            <w:noWrap w:val="0"/>
            <w:vAlign w:val="center"/>
          </w:tcPr>
          <w:p w14:paraId="3AD9F77F">
            <w:pPr>
              <w:pStyle w:val="86"/>
              <w:rPr>
                <w:rFonts w:hint="eastAsia" w:ascii="宋体" w:hAnsi="宋体" w:eastAsia="宋体" w:cs="宋体"/>
                <w:color w:val="auto"/>
                <w:sz w:val="24"/>
                <w:szCs w:val="24"/>
              </w:rPr>
            </w:pPr>
            <w:r>
              <w:rPr>
                <w:rFonts w:hint="eastAsia" w:ascii="宋体" w:hAnsi="宋体" w:eastAsia="宋体" w:cs="宋体"/>
                <w:color w:val="auto"/>
                <w:sz w:val="24"/>
                <w:szCs w:val="24"/>
              </w:rPr>
              <w:t>支架</w:t>
            </w:r>
          </w:p>
        </w:tc>
        <w:tc>
          <w:tcPr>
            <w:tcW w:w="4231" w:type="pct"/>
            <w:noWrap w:val="0"/>
            <w:vAlign w:val="center"/>
          </w:tcPr>
          <w:p w14:paraId="6F433A57">
            <w:pPr>
              <w:pStyle w:val="86"/>
              <w:rPr>
                <w:rFonts w:hint="eastAsia" w:ascii="宋体" w:hAnsi="宋体" w:eastAsia="宋体" w:cs="宋体"/>
                <w:color w:val="auto"/>
                <w:sz w:val="24"/>
                <w:szCs w:val="24"/>
              </w:rPr>
            </w:pPr>
            <w:r>
              <w:rPr>
                <w:rFonts w:hint="eastAsia" w:ascii="宋体" w:hAnsi="宋体" w:eastAsia="宋体" w:cs="宋体"/>
                <w:color w:val="auto"/>
                <w:sz w:val="24"/>
                <w:szCs w:val="24"/>
              </w:rPr>
              <w:t>06Cr19Ni10不锈钢</w:t>
            </w:r>
          </w:p>
        </w:tc>
      </w:tr>
    </w:tbl>
    <w:p w14:paraId="5CA8D5D6">
      <w:pPr>
        <w:pStyle w:val="5"/>
        <w:snapToGrid w:val="0"/>
        <w:spacing w:before="0" w:after="0" w:line="480" w:lineRule="atLeast"/>
        <w:ind w:firstLine="420" w:firstLineChars="0"/>
        <w:contextualSpacing/>
        <w:rPr>
          <w:rFonts w:ascii="Times New Roman" w:hAnsi="Times New Roman" w:eastAsia="宋体" w:cs="Times New Roman"/>
          <w:snapToGrid w:val="0"/>
          <w:color w:val="auto"/>
          <w:kern w:val="0"/>
          <w:sz w:val="24"/>
          <w:szCs w:val="24"/>
        </w:rPr>
      </w:pPr>
      <w:bookmarkStart w:id="38" w:name="_Toc51606331"/>
      <w:bookmarkStart w:id="39" w:name="_Toc14780"/>
      <w:bookmarkStart w:id="40" w:name="_Toc51605862"/>
      <w:r>
        <w:rPr>
          <w:rFonts w:ascii="Times New Roman" w:hAnsi="Times New Roman" w:eastAsia="宋体" w:cs="Times New Roman"/>
          <w:snapToGrid w:val="0"/>
          <w:color w:val="auto"/>
          <w:kern w:val="0"/>
          <w:sz w:val="24"/>
          <w:szCs w:val="24"/>
        </w:rPr>
        <w:t>设备防腐</w:t>
      </w:r>
      <w:bookmarkEnd w:id="38"/>
      <w:bookmarkEnd w:id="39"/>
      <w:bookmarkEnd w:id="40"/>
    </w:p>
    <w:p w14:paraId="2B624DF0">
      <w:pPr>
        <w:snapToGrid w:val="0"/>
        <w:spacing w:line="480" w:lineRule="atLeast"/>
        <w:ind w:firstLine="480"/>
        <w:contextualSpacing/>
        <w:rPr>
          <w:rFonts w:ascii="Times New Roman" w:hAnsi="Times New Roman" w:eastAsia="宋体"/>
          <w:snapToGrid w:val="0"/>
          <w:color w:val="auto"/>
          <w:kern w:val="0"/>
          <w:sz w:val="24"/>
          <w:szCs w:val="24"/>
        </w:rPr>
      </w:pPr>
      <w:r>
        <w:rPr>
          <w:rFonts w:ascii="Times New Roman" w:hAnsi="Times New Roman" w:eastAsia="宋体"/>
          <w:snapToGrid w:val="0"/>
          <w:color w:val="auto"/>
          <w:kern w:val="0"/>
          <w:sz w:val="24"/>
          <w:szCs w:val="24"/>
        </w:rPr>
        <w:t>所有材料应适用于污水厂腐蚀环境，所有不锈钢件须经酸洗钝化处理。未经保护或非防腐性材料，应按一般技术要求条款的规定进行处理。</w:t>
      </w:r>
    </w:p>
    <w:p w14:paraId="2887C910">
      <w:pPr>
        <w:pStyle w:val="5"/>
        <w:snapToGrid w:val="0"/>
        <w:spacing w:before="0" w:after="0" w:line="480" w:lineRule="atLeast"/>
        <w:contextualSpacing/>
        <w:rPr>
          <w:rFonts w:ascii="Times New Roman" w:hAnsi="Times New Roman" w:eastAsia="宋体" w:cs="Times New Roman"/>
          <w:snapToGrid w:val="0"/>
          <w:color w:val="auto"/>
          <w:kern w:val="0"/>
          <w:sz w:val="24"/>
          <w:szCs w:val="24"/>
        </w:rPr>
      </w:pPr>
      <w:bookmarkStart w:id="41" w:name="_Toc51605863"/>
      <w:bookmarkStart w:id="42" w:name="_Toc51606332"/>
      <w:bookmarkStart w:id="43" w:name="_Toc22792"/>
      <w:r>
        <w:rPr>
          <w:rFonts w:ascii="Times New Roman" w:hAnsi="Times New Roman" w:eastAsia="宋体" w:cs="Times New Roman"/>
          <w:snapToGrid w:val="0"/>
          <w:color w:val="auto"/>
          <w:kern w:val="0"/>
          <w:sz w:val="24"/>
          <w:szCs w:val="24"/>
        </w:rPr>
        <w:t>设备检验和测试</w:t>
      </w:r>
      <w:bookmarkEnd w:id="41"/>
      <w:bookmarkEnd w:id="42"/>
      <w:bookmarkEnd w:id="43"/>
    </w:p>
    <w:p w14:paraId="5BFDFA3A">
      <w:pPr>
        <w:snapToGrid w:val="0"/>
        <w:spacing w:line="480" w:lineRule="atLeast"/>
        <w:ind w:left="420" w:leftChars="0" w:firstLine="420" w:firstLineChars="0"/>
        <w:contextualSpacing/>
        <w:rPr>
          <w:rFonts w:ascii="Times New Roman" w:hAnsi="Times New Roman" w:eastAsia="宋体"/>
          <w:snapToGrid w:val="0"/>
          <w:color w:val="auto"/>
          <w:kern w:val="0"/>
          <w:sz w:val="24"/>
          <w:szCs w:val="24"/>
        </w:rPr>
      </w:pPr>
      <w:r>
        <w:rPr>
          <w:rFonts w:ascii="Times New Roman" w:hAnsi="Times New Roman" w:eastAsia="宋体"/>
          <w:snapToGrid w:val="0"/>
          <w:color w:val="auto"/>
          <w:kern w:val="0"/>
          <w:sz w:val="24"/>
          <w:szCs w:val="24"/>
        </w:rPr>
        <w:t>所有设备在出厂前需进行空载实验，投标人中标后需提供工厂实验的合格证明。</w:t>
      </w:r>
    </w:p>
    <w:p w14:paraId="507C7ED3">
      <w:pPr>
        <w:pStyle w:val="5"/>
        <w:snapToGrid w:val="0"/>
        <w:spacing w:before="0" w:after="0" w:line="480" w:lineRule="atLeast"/>
        <w:ind w:firstLine="420" w:firstLineChars="0"/>
        <w:contextualSpacing/>
        <w:rPr>
          <w:rFonts w:ascii="Times New Roman" w:hAnsi="Times New Roman" w:eastAsia="宋体" w:cs="Times New Roman"/>
          <w:snapToGrid w:val="0"/>
          <w:color w:val="auto"/>
          <w:kern w:val="0"/>
          <w:sz w:val="24"/>
          <w:szCs w:val="24"/>
        </w:rPr>
      </w:pPr>
      <w:bookmarkStart w:id="44" w:name="_Toc51605864"/>
      <w:bookmarkStart w:id="45" w:name="_Toc25534"/>
      <w:bookmarkStart w:id="46" w:name="_Toc51606333"/>
      <w:r>
        <w:rPr>
          <w:rFonts w:hint="eastAsia" w:ascii="Times New Roman" w:hAnsi="Times New Roman" w:eastAsia="宋体" w:cs="Times New Roman"/>
          <w:snapToGrid w:val="0"/>
          <w:color w:val="auto"/>
          <w:kern w:val="0"/>
          <w:sz w:val="24"/>
          <w:szCs w:val="24"/>
          <w:lang w:val="en-US" w:eastAsia="zh-CN"/>
        </w:rPr>
        <w:t>配套</w:t>
      </w:r>
      <w:r>
        <w:rPr>
          <w:rFonts w:ascii="Times New Roman" w:hAnsi="Times New Roman" w:eastAsia="宋体" w:cs="Times New Roman"/>
          <w:snapToGrid w:val="0"/>
          <w:color w:val="auto"/>
          <w:kern w:val="0"/>
          <w:sz w:val="24"/>
          <w:szCs w:val="24"/>
        </w:rPr>
        <w:t>服务</w:t>
      </w:r>
      <w:bookmarkEnd w:id="44"/>
      <w:bookmarkEnd w:id="45"/>
      <w:bookmarkEnd w:id="46"/>
    </w:p>
    <w:p w14:paraId="03C40D4D">
      <w:pPr>
        <w:snapToGrid w:val="0"/>
        <w:spacing w:line="480" w:lineRule="atLeast"/>
        <w:ind w:firstLine="480"/>
        <w:contextualSpacing/>
        <w:rPr>
          <w:rFonts w:ascii="Times New Roman" w:hAnsi="Times New Roman" w:eastAsia="宋体"/>
          <w:snapToGrid w:val="0"/>
          <w:color w:val="auto"/>
          <w:kern w:val="0"/>
          <w:sz w:val="24"/>
          <w:szCs w:val="24"/>
        </w:rPr>
      </w:pPr>
      <w:r>
        <w:rPr>
          <w:rFonts w:ascii="Times New Roman" w:hAnsi="Times New Roman" w:eastAsia="宋体"/>
          <w:snapToGrid w:val="0"/>
          <w:color w:val="auto"/>
          <w:kern w:val="0"/>
          <w:sz w:val="24"/>
          <w:szCs w:val="24"/>
        </w:rPr>
        <w:t>投标商的技术代表须到现场进行工作，指导安装，并协助进行调试运行，进行启动前的培训和现场培训工作。</w:t>
      </w:r>
    </w:p>
    <w:p w14:paraId="7480D1CA">
      <w:pPr>
        <w:snapToGrid w:val="0"/>
        <w:spacing w:line="480" w:lineRule="atLeast"/>
        <w:ind w:firstLine="480"/>
        <w:contextualSpacing/>
        <w:rPr>
          <w:rFonts w:hint="default" w:ascii="Times New Roman" w:hAnsi="Times New Roman" w:eastAsia="宋体"/>
          <w:snapToGrid w:val="0"/>
          <w:color w:val="auto"/>
          <w:kern w:val="0"/>
          <w:sz w:val="24"/>
          <w:szCs w:val="24"/>
          <w:lang w:val="en-US" w:eastAsia="zh-CN"/>
        </w:rPr>
      </w:pPr>
      <w:r>
        <w:rPr>
          <w:rFonts w:hint="eastAsia" w:ascii="Times New Roman" w:hAnsi="Times New Roman" w:eastAsia="宋体"/>
          <w:snapToGrid w:val="0"/>
          <w:color w:val="auto"/>
          <w:kern w:val="0"/>
          <w:sz w:val="24"/>
          <w:szCs w:val="24"/>
          <w:lang w:val="en-US" w:eastAsia="zh-CN"/>
        </w:rPr>
        <w:t>整套系统装备</w:t>
      </w:r>
      <w:r>
        <w:rPr>
          <w:rFonts w:ascii="Times New Roman" w:hAnsi="Times New Roman" w:eastAsia="宋体"/>
          <w:snapToGrid w:val="0"/>
          <w:color w:val="auto"/>
          <w:kern w:val="0"/>
          <w:sz w:val="24"/>
          <w:szCs w:val="24"/>
        </w:rPr>
        <w:t>必须提供质保期和“三包”期间以后的服务承诺。</w:t>
      </w:r>
    </w:p>
    <w:p w14:paraId="4D85DE4E">
      <w:pPr>
        <w:pStyle w:val="47"/>
        <w:spacing w:line="360" w:lineRule="auto"/>
        <w:ind w:firstLine="420" w:firstLineChars="0"/>
        <w:contextualSpacing/>
        <w:rPr>
          <w:rFonts w:hint="eastAsia" w:ascii="宋体" w:hAnsi="宋体" w:eastAsia="宋体"/>
          <w:b/>
          <w:bCs/>
          <w:color w:val="auto"/>
          <w:sz w:val="24"/>
          <w:highlight w:val="none"/>
          <w:lang w:eastAsia="zh-CN"/>
        </w:rPr>
      </w:pPr>
      <w:r>
        <w:rPr>
          <w:rFonts w:hint="eastAsia" w:ascii="宋体" w:hAnsi="宋体"/>
          <w:b/>
          <w:bCs/>
          <w:color w:val="auto"/>
          <w:sz w:val="24"/>
          <w:highlight w:val="none"/>
          <w:lang w:val="en-US" w:eastAsia="zh-CN"/>
        </w:rPr>
        <w:t>供应商在中标后需提供</w:t>
      </w:r>
      <w:r>
        <w:rPr>
          <w:rFonts w:hint="eastAsia" w:ascii="宋体" w:hAnsi="宋体" w:eastAsia="宋体"/>
          <w:b/>
          <w:bCs/>
          <w:color w:val="auto"/>
          <w:sz w:val="24"/>
          <w:highlight w:val="none"/>
          <w:lang w:val="en-US" w:eastAsia="zh-CN"/>
        </w:rPr>
        <w:t>资料但不限于以下内容：</w:t>
      </w:r>
    </w:p>
    <w:p w14:paraId="3CC34366">
      <w:pPr>
        <w:spacing w:line="360" w:lineRule="auto"/>
        <w:ind w:firstLine="420" w:firstLineChars="0"/>
        <w:rPr>
          <w:rFonts w:hint="eastAsia" w:ascii="宋体" w:hAnsi="宋体"/>
          <w:color w:val="auto"/>
          <w:sz w:val="24"/>
          <w:highlight w:val="none"/>
        </w:rPr>
      </w:pPr>
      <w:r>
        <w:rPr>
          <w:rFonts w:hint="eastAsia" w:ascii="宋体" w:hAnsi="宋体"/>
          <w:b/>
          <w:bCs/>
          <w:color w:val="auto"/>
          <w:sz w:val="24"/>
          <w:highlight w:val="none"/>
          <w:lang w:val="en-US" w:eastAsia="zh-CN"/>
        </w:rPr>
        <w:t>1）</w:t>
      </w:r>
      <w:r>
        <w:rPr>
          <w:rFonts w:hint="eastAsia" w:ascii="宋体" w:hAnsi="宋体"/>
          <w:b/>
          <w:bCs/>
          <w:color w:val="auto"/>
          <w:sz w:val="24"/>
          <w:highlight w:val="none"/>
        </w:rPr>
        <w:t>技术文件</w:t>
      </w:r>
    </w:p>
    <w:p w14:paraId="14E3101E">
      <w:pPr>
        <w:spacing w:line="360" w:lineRule="auto"/>
        <w:ind w:firstLine="420" w:firstLineChars="0"/>
        <w:rPr>
          <w:rFonts w:hint="eastAsia" w:ascii="宋体" w:hAnsi="宋体"/>
          <w:color w:val="auto"/>
          <w:sz w:val="24"/>
          <w:highlight w:val="none"/>
        </w:rPr>
      </w:pPr>
      <w:r>
        <w:rPr>
          <w:rFonts w:hint="eastAsia" w:ascii="宋体" w:hAnsi="宋体"/>
          <w:color w:val="auto"/>
          <w:sz w:val="24"/>
          <w:highlight w:val="none"/>
        </w:rPr>
        <w:t>设备总图、基础安装图、电气接线图（CAD格式）。</w:t>
      </w:r>
    </w:p>
    <w:p w14:paraId="46823D76">
      <w:pPr>
        <w:spacing w:line="360" w:lineRule="auto"/>
        <w:ind w:firstLine="420" w:firstLineChars="0"/>
        <w:rPr>
          <w:rFonts w:hint="eastAsia" w:ascii="宋体" w:hAnsi="宋体"/>
          <w:color w:val="auto"/>
          <w:sz w:val="24"/>
          <w:highlight w:val="none"/>
        </w:rPr>
      </w:pPr>
      <w:r>
        <w:rPr>
          <w:rFonts w:hint="eastAsia" w:ascii="宋体" w:hAnsi="宋体"/>
          <w:color w:val="auto"/>
          <w:sz w:val="24"/>
          <w:highlight w:val="none"/>
        </w:rPr>
        <w:t>操作维护手册（含备件清单、润滑点示意图）。</w:t>
      </w:r>
    </w:p>
    <w:p w14:paraId="626E56AC">
      <w:pPr>
        <w:keepNext/>
        <w:keepLines/>
        <w:numPr>
          <w:ilvl w:val="0"/>
          <w:numId w:val="0"/>
        </w:numPr>
        <w:spacing w:line="360" w:lineRule="auto"/>
        <w:ind w:firstLine="420" w:firstLineChars="0"/>
        <w:outlineLvl w:val="3"/>
        <w:rPr>
          <w:rFonts w:hint="default" w:ascii="Times New Roman" w:hAnsi="Times New Roman" w:eastAsia="宋体" w:cs="Times New Roman"/>
          <w:b/>
          <w:bCs/>
          <w:color w:val="auto"/>
          <w:sz w:val="24"/>
          <w:szCs w:val="28"/>
          <w:highlight w:val="none"/>
        </w:rPr>
      </w:pPr>
      <w:r>
        <w:rPr>
          <w:rFonts w:hint="eastAsia" w:cs="Times New Roman"/>
          <w:b/>
          <w:bCs/>
          <w:color w:val="auto"/>
          <w:sz w:val="24"/>
          <w:szCs w:val="28"/>
          <w:highlight w:val="none"/>
          <w:lang w:val="en-US" w:eastAsia="zh-CN"/>
        </w:rPr>
        <w:t>2）</w:t>
      </w:r>
      <w:r>
        <w:rPr>
          <w:rFonts w:hint="default" w:ascii="Times New Roman" w:hAnsi="Times New Roman" w:eastAsia="宋体" w:cs="Times New Roman"/>
          <w:b/>
          <w:bCs/>
          <w:color w:val="auto"/>
          <w:sz w:val="24"/>
          <w:szCs w:val="28"/>
          <w:highlight w:val="none"/>
        </w:rPr>
        <w:t>性能承诺及</w:t>
      </w:r>
      <w:r>
        <w:rPr>
          <w:rFonts w:hint="eastAsia" w:ascii="Times New Roman" w:hAnsi="Times New Roman" w:eastAsia="宋体" w:cs="Times New Roman"/>
          <w:b/>
          <w:bCs/>
          <w:color w:val="auto"/>
          <w:sz w:val="24"/>
          <w:szCs w:val="28"/>
          <w:highlight w:val="none"/>
          <w:lang w:val="en-US" w:eastAsia="zh-CN"/>
        </w:rPr>
        <w:t>证明材料</w:t>
      </w:r>
      <w:r>
        <w:rPr>
          <w:rFonts w:hint="default" w:ascii="Times New Roman" w:hAnsi="Times New Roman" w:eastAsia="宋体" w:cs="Times New Roman"/>
          <w:b/>
          <w:bCs/>
          <w:color w:val="auto"/>
          <w:sz w:val="24"/>
          <w:szCs w:val="28"/>
          <w:highlight w:val="none"/>
        </w:rPr>
        <w:t>要求</w:t>
      </w:r>
    </w:p>
    <w:p w14:paraId="0A975C74">
      <w:pPr>
        <w:spacing w:line="360" w:lineRule="auto"/>
        <w:ind w:firstLine="420" w:firstLineChars="0"/>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sz w:val="24"/>
          <w:szCs w:val="24"/>
        </w:rPr>
        <w:t>★</w:t>
      </w:r>
      <w:r>
        <w:rPr>
          <w:rFonts w:hint="eastAsia" w:ascii="宋体" w:hAnsi="宋体" w:eastAsia="宋体" w:cs="宋体"/>
          <w:b w:val="0"/>
          <w:bCs/>
          <w:color w:val="auto"/>
          <w:sz w:val="24"/>
          <w:szCs w:val="24"/>
          <w:highlight w:val="none"/>
        </w:rPr>
        <w:t>提供多层旋流沉砂器、</w:t>
      </w:r>
      <w:r>
        <w:rPr>
          <w:rFonts w:hint="eastAsia" w:ascii="宋体" w:hAnsi="宋体" w:eastAsia="宋体" w:cs="宋体"/>
          <w:b w:val="0"/>
          <w:bCs/>
          <w:color w:val="auto"/>
          <w:sz w:val="24"/>
          <w:szCs w:val="24"/>
          <w:highlight w:val="none"/>
          <w:lang w:val="en-US" w:eastAsia="zh-CN"/>
        </w:rPr>
        <w:t>立体洗砂机</w:t>
      </w:r>
      <w:r>
        <w:rPr>
          <w:rFonts w:hint="eastAsia" w:ascii="宋体" w:hAnsi="宋体" w:eastAsia="宋体" w:cs="宋体"/>
          <w:b w:val="0"/>
          <w:bCs/>
          <w:color w:val="auto"/>
          <w:sz w:val="24"/>
          <w:szCs w:val="24"/>
          <w:highlight w:val="none"/>
        </w:rPr>
        <w:t>详细的技术特性</w:t>
      </w:r>
      <w:r>
        <w:rPr>
          <w:rFonts w:hint="eastAsia" w:ascii="宋体" w:hAnsi="宋体" w:cs="宋体"/>
          <w:b w:val="0"/>
          <w:bCs/>
          <w:color w:val="auto"/>
          <w:sz w:val="24"/>
          <w:szCs w:val="24"/>
          <w:highlight w:val="none"/>
          <w:lang w:val="en-US" w:eastAsia="zh-CN"/>
        </w:rPr>
        <w:t>说明</w:t>
      </w:r>
    </w:p>
    <w:p w14:paraId="17C518F7">
      <w:pPr>
        <w:numPr>
          <w:ilvl w:val="0"/>
          <w:numId w:val="22"/>
        </w:numPr>
        <w:spacing w:line="360" w:lineRule="auto"/>
        <w:ind w:left="420" w:leftChars="0" w:firstLine="0" w:firstLineChars="0"/>
        <w:rPr>
          <w:rFonts w:hint="eastAsia"/>
          <w:color w:val="auto"/>
        </w:rPr>
      </w:pPr>
      <w:r>
        <w:rPr>
          <w:rFonts w:hint="eastAsia" w:ascii="宋体" w:hAnsi="宋体" w:eastAsia="宋体" w:cs="宋体"/>
          <w:b w:val="0"/>
          <w:bCs/>
          <w:color w:val="auto"/>
          <w:sz w:val="24"/>
          <w:szCs w:val="24"/>
          <w:highlight w:val="none"/>
        </w:rPr>
        <w:t>原材料证明</w:t>
      </w:r>
    </w:p>
    <w:p w14:paraId="6A34E23F">
      <w:pPr>
        <w:numPr>
          <w:ilvl w:val="0"/>
          <w:numId w:val="22"/>
        </w:numPr>
        <w:spacing w:line="360" w:lineRule="auto"/>
        <w:ind w:left="420" w:leftChars="0" w:firstLine="0" w:firstLineChars="0"/>
        <w:rPr>
          <w:rFonts w:hint="eastAsia"/>
          <w:color w:val="auto"/>
        </w:rPr>
      </w:pPr>
      <w:r>
        <w:rPr>
          <w:rFonts w:hint="eastAsia" w:ascii="宋体" w:hAnsi="宋体" w:eastAsia="宋体" w:cs="宋体"/>
          <w:b w:val="0"/>
          <w:bCs/>
          <w:color w:val="auto"/>
          <w:sz w:val="24"/>
          <w:szCs w:val="24"/>
          <w:highlight w:val="none"/>
        </w:rPr>
        <w:t xml:space="preserve">性能承诺函 </w:t>
      </w:r>
    </w:p>
    <w:p w14:paraId="6D0DB1FD">
      <w:pPr>
        <w:rPr>
          <w:color w:val="auto"/>
        </w:rPr>
      </w:pPr>
    </w:p>
    <w:p w14:paraId="7A1CB60D">
      <w:pPr>
        <w:keepNext w:val="0"/>
        <w:keepLines w:val="0"/>
        <w:pageBreakBefore w:val="0"/>
        <w:widowControl w:val="0"/>
        <w:numPr>
          <w:ilvl w:val="0"/>
          <w:numId w:val="19"/>
        </w:numPr>
        <w:kinsoku/>
        <w:wordWrap/>
        <w:overflowPunct/>
        <w:topLinePunct w:val="0"/>
        <w:autoSpaceDE/>
        <w:autoSpaceDN/>
        <w:bidi w:val="0"/>
        <w:adjustRightInd/>
        <w:snapToGrid/>
        <w:spacing w:line="360" w:lineRule="auto"/>
        <w:textAlignment w:val="auto"/>
        <w:rPr>
          <w:rFonts w:hint="default" w:ascii="宋体" w:hAnsi="宋体" w:cs="宋体"/>
          <w:b/>
          <w:bCs/>
          <w:color w:val="auto"/>
          <w:kern w:val="2"/>
          <w:sz w:val="24"/>
          <w:szCs w:val="24"/>
          <w:lang w:val="en-US" w:eastAsia="zh-CN"/>
        </w:rPr>
      </w:pPr>
      <w:r>
        <w:rPr>
          <w:rFonts w:hint="eastAsia" w:ascii="宋体" w:hAnsi="宋体" w:cs="宋体"/>
          <w:b/>
          <w:bCs/>
          <w:color w:val="auto"/>
          <w:kern w:val="2"/>
          <w:sz w:val="24"/>
          <w:szCs w:val="24"/>
          <w:lang w:val="en-US" w:eastAsia="zh-CN"/>
        </w:rPr>
        <w:t>除臭系统</w:t>
      </w:r>
    </w:p>
    <w:p w14:paraId="220588D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本项目为除臭设备采购及安装项目，</w:t>
      </w:r>
      <w:r>
        <w:rPr>
          <w:rFonts w:hint="eastAsia" w:ascii="宋体" w:hAnsi="宋体" w:cs="宋体"/>
          <w:color w:val="auto"/>
          <w:sz w:val="24"/>
          <w:szCs w:val="24"/>
          <w:lang w:val="en-US" w:eastAsia="zh-CN"/>
        </w:rPr>
        <w:t>处理规模</w:t>
      </w:r>
      <w:r>
        <w:rPr>
          <w:rFonts w:hint="eastAsia"/>
          <w:color w:val="auto"/>
          <w:lang w:val="en-US" w:eastAsia="zh-CN"/>
        </w:rPr>
        <w:t>4000m3/h，</w:t>
      </w:r>
      <w:r>
        <w:rPr>
          <w:rFonts w:hint="eastAsia" w:ascii="宋体" w:hAnsi="宋体" w:cs="宋体"/>
          <w:color w:val="auto"/>
          <w:sz w:val="24"/>
          <w:szCs w:val="24"/>
          <w:lang w:val="en-US" w:eastAsia="zh-CN"/>
        </w:rPr>
        <w:t>中标单位</w:t>
      </w:r>
      <w:r>
        <w:rPr>
          <w:rFonts w:hint="eastAsia" w:ascii="宋体" w:hAnsi="宋体" w:eastAsia="宋体" w:cs="宋体"/>
          <w:color w:val="auto"/>
          <w:sz w:val="24"/>
          <w:szCs w:val="24"/>
          <w:lang w:val="en-US" w:eastAsia="zh-CN"/>
        </w:rPr>
        <w:t>根据现场环境及土建条件，合理设计除臭系统的设备、配套管路系统</w:t>
      </w:r>
      <w:r>
        <w:rPr>
          <w:rFonts w:hint="eastAsia" w:ascii="宋体" w:hAnsi="宋体" w:cs="宋体"/>
          <w:color w:val="auto"/>
          <w:sz w:val="24"/>
          <w:szCs w:val="24"/>
          <w:lang w:val="en-US" w:eastAsia="zh-CN"/>
        </w:rPr>
        <w:t>，将现场产生的臭气进行密闭引风收集，采用碱洗+水洗+生物除臭法除臭工艺，集中进入除臭处理系统处理，</w:t>
      </w:r>
      <w:r>
        <w:rPr>
          <w:rFonts w:hint="eastAsia" w:ascii="宋体" w:hAnsi="宋体" w:eastAsia="宋体" w:cs="宋体"/>
          <w:color w:val="auto"/>
          <w:sz w:val="24"/>
          <w:szCs w:val="24"/>
          <w:lang w:val="en-US" w:eastAsia="zh-CN"/>
        </w:rPr>
        <w:t>确保废气达标排放，保证厂界外无异味。臭气经处理后应满足江苏省《城镇污水处理厂污染物排放标准》(DB32／4440-2022)二级排放标准的要求。</w:t>
      </w:r>
    </w:p>
    <w:p w14:paraId="36A004DC">
      <w:pPr>
        <w:pStyle w:val="92"/>
        <w:keepNext w:val="0"/>
        <w:keepLines w:val="0"/>
        <w:pageBreakBefore w:val="0"/>
        <w:widowControl w:val="0"/>
        <w:kinsoku/>
        <w:wordWrap/>
        <w:overflowPunct/>
        <w:topLinePunct w:val="0"/>
        <w:autoSpaceDE/>
        <w:autoSpaceDN/>
        <w:bidi w:val="0"/>
        <w:adjustRightInd/>
        <w:snapToGrid/>
        <w:spacing w:before="33" w:line="360" w:lineRule="auto"/>
        <w:ind w:firstLine="420" w:firstLineChars="0"/>
        <w:jc w:val="both"/>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highlight w:val="yellow"/>
          <w:lang w:val="en-US" w:eastAsia="zh-CN"/>
        </w:rPr>
        <w:t>品牌要求：江苏宇动、南方环保、东大能源、鹏鹞环保、金山环保、通用环保、江苏一环、江苏明轩、江苏环球。</w:t>
      </w:r>
    </w:p>
    <w:p w14:paraId="10753A6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0"/>
        <w:textAlignment w:val="auto"/>
        <w:rPr>
          <w:rFonts w:hint="eastAsia" w:ascii="宋体" w:hAnsi="宋体" w:cs="宋体"/>
          <w:b/>
          <w:bCs/>
          <w:color w:val="auto"/>
          <w:kern w:val="2"/>
          <w:sz w:val="24"/>
          <w:szCs w:val="24"/>
          <w:lang w:val="en-US" w:eastAsia="zh-CN"/>
        </w:rPr>
      </w:pPr>
      <w:r>
        <w:rPr>
          <w:rFonts w:hint="eastAsia" w:ascii="宋体" w:hAnsi="宋体" w:cs="宋体"/>
          <w:b/>
          <w:bCs/>
          <w:color w:val="auto"/>
          <w:kern w:val="2"/>
          <w:sz w:val="24"/>
          <w:szCs w:val="24"/>
          <w:lang w:val="en-US" w:eastAsia="zh-CN"/>
        </w:rPr>
        <w:t>供货范围</w:t>
      </w:r>
    </w:p>
    <w:p w14:paraId="2997419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中标单位应按照设计要求，完成除臭设备、</w:t>
      </w:r>
      <w:r>
        <w:rPr>
          <w:rFonts w:hint="eastAsia" w:ascii="宋体" w:hAnsi="宋体" w:eastAsia="宋体" w:cs="宋体"/>
          <w:color w:val="auto"/>
          <w:sz w:val="24"/>
          <w:szCs w:val="24"/>
        </w:rPr>
        <w:t>碱洗塔</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风机设备、一体化加药装置等设备的装卸、现场开箱检查、检测、安装施工、调试运行、售后服务、配合验收、提交验收材料等工作。设备正常运行后，</w:t>
      </w:r>
      <w:r>
        <w:rPr>
          <w:rFonts w:hint="eastAsia" w:ascii="宋体" w:hAnsi="宋体" w:eastAsia="宋体" w:cs="宋体"/>
          <w:color w:val="auto"/>
          <w:sz w:val="24"/>
          <w:szCs w:val="24"/>
          <w:lang w:val="en-US" w:eastAsia="zh-CN"/>
        </w:rPr>
        <w:t>中标单位</w:t>
      </w:r>
      <w:r>
        <w:rPr>
          <w:rFonts w:hint="eastAsia" w:ascii="宋体" w:hAnsi="宋体" w:cs="宋体"/>
          <w:color w:val="auto"/>
          <w:sz w:val="24"/>
          <w:szCs w:val="24"/>
          <w:lang w:val="en-US" w:eastAsia="zh-CN"/>
        </w:rPr>
        <w:t>须委托具备</w:t>
      </w:r>
      <w:r>
        <w:rPr>
          <w:rFonts w:hint="eastAsia" w:ascii="宋体" w:hAnsi="宋体" w:eastAsia="宋体" w:cs="宋体"/>
          <w:color w:val="auto"/>
          <w:sz w:val="24"/>
          <w:szCs w:val="24"/>
          <w:lang w:val="en-US" w:eastAsia="zh-CN"/>
        </w:rPr>
        <w:t>资质的第三方检测机构</w:t>
      </w:r>
      <w:r>
        <w:rPr>
          <w:rFonts w:hint="eastAsia" w:ascii="宋体" w:hAnsi="宋体" w:cs="宋体"/>
          <w:color w:val="auto"/>
          <w:sz w:val="24"/>
          <w:szCs w:val="24"/>
          <w:lang w:val="en-US" w:eastAsia="zh-CN"/>
        </w:rPr>
        <w:t>到现场检测，验收时须提供</w:t>
      </w:r>
      <w:r>
        <w:rPr>
          <w:rFonts w:hint="eastAsia" w:ascii="宋体" w:hAnsi="宋体" w:eastAsia="宋体" w:cs="宋体"/>
          <w:color w:val="auto"/>
          <w:sz w:val="24"/>
          <w:szCs w:val="24"/>
          <w:lang w:val="en-US" w:eastAsia="zh-CN"/>
        </w:rPr>
        <w:t>臭气检测报告</w:t>
      </w:r>
      <w:r>
        <w:rPr>
          <w:rFonts w:hint="eastAsia" w:ascii="宋体" w:hAnsi="宋体" w:cs="宋体"/>
          <w:color w:val="auto"/>
          <w:sz w:val="24"/>
          <w:szCs w:val="24"/>
          <w:lang w:val="en-US" w:eastAsia="zh-CN"/>
        </w:rPr>
        <w:t>，并承担全部检测费用。</w:t>
      </w:r>
    </w:p>
    <w:p w14:paraId="7CE29E3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0"/>
        <w:textAlignment w:val="auto"/>
        <w:rPr>
          <w:rFonts w:hint="eastAsia" w:ascii="宋体" w:hAnsi="宋体" w:cs="宋体"/>
          <w:b/>
          <w:bCs/>
          <w:color w:val="auto"/>
          <w:kern w:val="2"/>
          <w:sz w:val="24"/>
          <w:szCs w:val="24"/>
          <w:lang w:val="en-US" w:eastAsia="zh-CN"/>
        </w:rPr>
      </w:pPr>
      <w:r>
        <w:rPr>
          <w:rFonts w:hint="eastAsia" w:ascii="宋体" w:hAnsi="宋体" w:cs="宋体"/>
          <w:b/>
          <w:bCs/>
          <w:color w:val="auto"/>
          <w:kern w:val="2"/>
          <w:sz w:val="24"/>
          <w:szCs w:val="24"/>
          <w:lang w:val="en-US" w:eastAsia="zh-CN"/>
        </w:rPr>
        <w:t>供货界限</w:t>
      </w:r>
    </w:p>
    <w:p w14:paraId="4F4A2FFF">
      <w:pPr>
        <w:keepNext w:val="0"/>
        <w:keepLines w:val="0"/>
        <w:pageBreakBefore w:val="0"/>
        <w:widowControl w:val="0"/>
        <w:kinsoku/>
        <w:wordWrap/>
        <w:overflowPunct/>
        <w:topLinePunct w:val="0"/>
        <w:autoSpaceDE/>
        <w:autoSpaceDN/>
        <w:bidi w:val="0"/>
        <w:adjustRightInd/>
        <w:snapToGrid w:val="0"/>
        <w:spacing w:line="360" w:lineRule="auto"/>
        <w:ind w:firstLine="420" w:firstLineChars="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甲方提供给排水管道至中标单位设备1米处，提供线缆至中标单位控制柜内，管道连接、线缆连接由中标单位自行连接。</w:t>
      </w:r>
    </w:p>
    <w:p w14:paraId="67AB88F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0"/>
        <w:textAlignment w:val="auto"/>
        <w:rPr>
          <w:rFonts w:hint="eastAsia" w:ascii="宋体" w:hAnsi="宋体" w:eastAsia="宋体" w:cs="宋体"/>
          <w:b/>
          <w:bCs/>
          <w:color w:val="auto"/>
          <w:sz w:val="24"/>
          <w:szCs w:val="24"/>
        </w:rPr>
      </w:pP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1</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碱洗塔</w:t>
      </w:r>
    </w:p>
    <w:p w14:paraId="351E943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0"/>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化学洗涤塔内有效停留时间不小于2s，设有填料及喷淋装置，化学洗涤塔填料为PP球。采用循环泵输送，逆流式洗涤，使废气由风机压入塔内均压室，并经过均风格栅匀速进入一级填料层，将废气平均分布在PP多面空心球周围，无偏流现象，再配合螺旋式高流量、不阻塞喷嘴，使气液</w:t>
      </w:r>
      <w:r>
        <w:rPr>
          <w:rFonts w:hint="eastAsia" w:ascii="宋体" w:hAnsi="宋体" w:cs="宋体"/>
          <w:color w:val="auto"/>
          <w:sz w:val="24"/>
          <w:szCs w:val="24"/>
          <w:lang w:val="en-US" w:eastAsia="zh-CN"/>
        </w:rPr>
        <w:t>充分混合</w:t>
      </w:r>
      <w:r>
        <w:rPr>
          <w:rFonts w:hint="default" w:ascii="宋体" w:hAnsi="宋体" w:eastAsia="宋体" w:cs="宋体"/>
          <w:color w:val="auto"/>
          <w:sz w:val="24"/>
          <w:szCs w:val="24"/>
          <w:lang w:val="en-US" w:eastAsia="zh-CN"/>
        </w:rPr>
        <w:t>，进入吸收处理塔后的废气由渐扩段减速进入二级填料层喷淋功能段，再次使废气得到气液二相充分接触反应，然后再经脱液除雾后，最后通过排风管排入生物滤池进行深度处理。</w:t>
      </w:r>
    </w:p>
    <w:p w14:paraId="3E6077E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化学洗涤塔为圆柱形玻璃钢塔体，塔体采用缠绕工艺制作，材质为具有防腐蚀功能的有机玻璃钢，塔体底部存水区局部加强，洗涤塔吊耳及内部结构等强度满足吊装和正常运行要求。</w:t>
      </w:r>
    </w:p>
    <w:p w14:paraId="772758E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2" w:firstLineChars="200"/>
        <w:textAlignment w:val="auto"/>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（2）生物滤池</w:t>
      </w:r>
    </w:p>
    <w:p w14:paraId="5FEDE8F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1）生物滤池塔体</w:t>
      </w:r>
    </w:p>
    <w:p w14:paraId="58B25BB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除臭滤池采用玻璃钢材质，造型美观，大方；具有良好的抗日晒与防腐蚀能力；密封性好，不得出现水渗及漏气现象；具有良好的强度，不得出现变形等情况。</w:t>
      </w:r>
    </w:p>
    <w:p w14:paraId="1D9186E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除臭滤池为拼装式厢体结构，骨架不得与臭气、水等直接接触，全玻璃钢包覆，玻璃钢包覆厚度6mm。滤池内设有支撑系统、配气系统和喷淋系统，池体内部的填料支撑板采用尺寸适宜的玻璃钢格栅，材料选择和做法保证足够的刚度、强度及耐腐蚀性，填装填料后填料支撑板变形挠度不超过3mm，支撑架、格栅板及塔板之间的连接牢固。</w:t>
      </w:r>
    </w:p>
    <w:p w14:paraId="241A8DF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塔体所有的连接件（包括但不限于螺栓等）均采用不锈钢材质。</w:t>
      </w:r>
    </w:p>
    <w:p w14:paraId="14D46BE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塔体预留有连接喷淋系统的细孔。</w:t>
      </w:r>
    </w:p>
    <w:p w14:paraId="479BFDD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塔体底部采取防腐和防水措施；</w:t>
      </w:r>
    </w:p>
    <w:p w14:paraId="4D4EC2F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除臭滤池为全封闭结构，并设有合理的检修孔、进气孔、出气孔等。滤池分为预洗区和生物区，两块区域均有上层的雾化喷淋系统，中间的生物填料过滤层，下部的生物填料支撑系统以及底部的配气系统与废液收集系统。生物滤池内部生物填料下方的布气空腔不得小于 0.6 米和生物填料上方的维修空间高度不得小于 0.6 米，以方便设备的维护。</w:t>
      </w:r>
    </w:p>
    <w:p w14:paraId="1441775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2）滤料</w:t>
      </w:r>
    </w:p>
    <w:p w14:paraId="70C5181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生物滤池填料材质为由陶粒、竹炭等填料组成，填料颗粒平均直径5-15mm，具有良好的保湿性和透气性，要求载体表面为亲水性。</w:t>
      </w:r>
    </w:p>
    <w:p w14:paraId="0EF525D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能够在运行初期、微生物驯养期间以及冲击负荷时达到除臭效果。</w:t>
      </w:r>
    </w:p>
    <w:p w14:paraId="13874AA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填料的使用寿命填料使用寿命不低于10年，正常运行下其间不得更换。</w:t>
      </w:r>
    </w:p>
    <w:p w14:paraId="0E132E0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填料具有调节pH的措施和功能，防止填料酸化，其通透性和结构稳定性良好，具有吸附污染物和利于微生物生长的最佳环境，填料适宜于处理5℃～45℃的废气。填料是不易腐烂的，不易板结，且有良好的吸附功能，确保微生物的生长。</w:t>
      </w:r>
    </w:p>
    <w:p w14:paraId="6BE15AB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设备正常运行过程中无需投加营养液。</w:t>
      </w:r>
    </w:p>
    <w:p w14:paraId="2C98B16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3）菌种</w:t>
      </w:r>
    </w:p>
    <w:p w14:paraId="349A8F2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菌种的好坏直接影响到处理效果，因此供应商应具有菌种筛选、培育、接种能力，并有菌种分离、接种、保藏等必需的设备设施，以提供满足实际需要的菌种。除臭系统内的菌种应具有自动调节pH值的能力，可保证pH值为长期保持在4～8。微生物菌种应保证适合本工程的气候条件，臭气处理过程中无需投加营养液。</w:t>
      </w:r>
    </w:p>
    <w:p w14:paraId="3E26A50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2" w:firstLineChars="200"/>
        <w:textAlignment w:val="auto"/>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（3）风机</w:t>
      </w:r>
    </w:p>
    <w:p w14:paraId="7621D09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来自不同废气源的废气经由通风管道，通过离心风机的抽送，进入生物除臭滤池。</w:t>
      </w:r>
    </w:p>
    <w:p w14:paraId="20C8829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风机采用低噪声的离心风机（带隔音罩），过气部分及机壳材质均为有机玻璃钢防腐材质，出风管材质为玻璃钢管，适应于腐蚀性空气条件下的长期24小时连续运行。</w:t>
      </w:r>
    </w:p>
    <w:p w14:paraId="1913CC2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风机叶轮出厂经过严格的动静平衡校正，叶轮可满足最高转速的110%，叶轮有足够的刚度，搬运和运转中不会产生变形。</w:t>
      </w:r>
    </w:p>
    <w:p w14:paraId="0E694A4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风机设置防振垫，风机运行噪声低于80dB(A)，加隔音罩。</w:t>
      </w:r>
    </w:p>
    <w:p w14:paraId="4299FBA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风机允许最高温度为85˚C，电机防护等级IP55，绝缘等级为F级，能24小时连续运转。</w:t>
      </w:r>
    </w:p>
    <w:p w14:paraId="42DB62B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风机有足够的流量和功率，风压在最大抽气量的条件下，具有高于系统压力损失20％的余量。</w:t>
      </w:r>
    </w:p>
    <w:p w14:paraId="668F588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风机能由PLC系统自动控制开停，也能由时间控制器控制开停，还能现场手动控制开停，现场设有手动控制转换开关。</w:t>
      </w:r>
    </w:p>
    <w:p w14:paraId="1843B09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2" w:firstLineChars="200"/>
        <w:textAlignment w:val="auto"/>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（4）管路系统</w:t>
      </w:r>
    </w:p>
    <w:p w14:paraId="3707038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1）臭气收集系统总体要求</w:t>
      </w:r>
    </w:p>
    <w:p w14:paraId="58FB3A9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A.</w:t>
      </w:r>
      <w:r>
        <w:rPr>
          <w:rFonts w:hint="default" w:ascii="宋体" w:hAnsi="宋体" w:cs="宋体"/>
          <w:color w:val="auto"/>
          <w:sz w:val="24"/>
          <w:szCs w:val="24"/>
          <w:lang w:val="en-US" w:eastAsia="zh-CN"/>
        </w:rPr>
        <w:tab/>
      </w:r>
      <w:r>
        <w:rPr>
          <w:rFonts w:hint="default" w:ascii="宋体" w:hAnsi="宋体" w:cs="宋体"/>
          <w:color w:val="auto"/>
          <w:sz w:val="24"/>
          <w:szCs w:val="24"/>
          <w:lang w:val="en-US" w:eastAsia="zh-CN"/>
        </w:rPr>
        <w:t>臭气收集系统包括来自各臭气收集点至臭气处理站系统入口的所有臭气收集管道、风阀、管道附件（包括抽风口、管道支吊架、管道T型支架、柔性短管、三通、变径、补偿器、排水管、阀门井、法兰及连接件等）。</w:t>
      </w:r>
    </w:p>
    <w:p w14:paraId="142CADB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B.</w:t>
      </w:r>
      <w:r>
        <w:rPr>
          <w:rFonts w:hint="default" w:ascii="宋体" w:hAnsi="宋体" w:cs="宋体"/>
          <w:color w:val="auto"/>
          <w:sz w:val="24"/>
          <w:szCs w:val="24"/>
          <w:lang w:val="en-US" w:eastAsia="zh-CN"/>
        </w:rPr>
        <w:tab/>
      </w:r>
      <w:r>
        <w:rPr>
          <w:rFonts w:hint="default" w:ascii="宋体" w:hAnsi="宋体" w:cs="宋体"/>
          <w:color w:val="auto"/>
          <w:sz w:val="24"/>
          <w:szCs w:val="24"/>
          <w:lang w:val="en-US" w:eastAsia="zh-CN"/>
        </w:rPr>
        <w:t>臭气收集管道布置需满足现场使用要求，</w:t>
      </w:r>
      <w:r>
        <w:rPr>
          <w:rFonts w:hint="eastAsia" w:ascii="宋体" w:hAnsi="宋体" w:cs="宋体"/>
          <w:color w:val="auto"/>
          <w:sz w:val="24"/>
          <w:szCs w:val="24"/>
          <w:lang w:val="en-US" w:eastAsia="zh-CN"/>
        </w:rPr>
        <w:t>中标单位</w:t>
      </w:r>
      <w:r>
        <w:rPr>
          <w:rFonts w:hint="default" w:ascii="宋体" w:hAnsi="宋体" w:cs="宋体"/>
          <w:color w:val="auto"/>
          <w:sz w:val="24"/>
          <w:szCs w:val="24"/>
          <w:lang w:val="en-US" w:eastAsia="zh-CN"/>
        </w:rPr>
        <w:t>校核管路设计和工程量，并据此进行管路系统的阻力计算，臭气收集系统要求微负压运行，防止臭气外溢。</w:t>
      </w:r>
    </w:p>
    <w:p w14:paraId="63039C2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C.</w:t>
      </w:r>
      <w:r>
        <w:rPr>
          <w:rFonts w:hint="default" w:ascii="宋体" w:hAnsi="宋体" w:cs="宋体"/>
          <w:color w:val="auto"/>
          <w:sz w:val="24"/>
          <w:szCs w:val="24"/>
          <w:lang w:val="en-US" w:eastAsia="zh-CN"/>
        </w:rPr>
        <w:tab/>
      </w:r>
      <w:r>
        <w:rPr>
          <w:rFonts w:hint="default" w:ascii="宋体" w:hAnsi="宋体" w:cs="宋体"/>
          <w:color w:val="auto"/>
          <w:sz w:val="24"/>
          <w:szCs w:val="24"/>
          <w:lang w:val="en-US" w:eastAsia="zh-CN"/>
        </w:rPr>
        <w:t>风管保持适当坡度，在最低点设置冷凝液排放管，并有凝结水排除设施。</w:t>
      </w:r>
    </w:p>
    <w:p w14:paraId="6384474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D.</w:t>
      </w:r>
      <w:r>
        <w:rPr>
          <w:rFonts w:hint="default" w:ascii="宋体" w:hAnsi="宋体" w:cs="宋体"/>
          <w:color w:val="auto"/>
          <w:sz w:val="24"/>
          <w:szCs w:val="24"/>
          <w:lang w:val="en-US" w:eastAsia="zh-CN"/>
        </w:rPr>
        <w:tab/>
      </w:r>
      <w:r>
        <w:rPr>
          <w:rFonts w:hint="default" w:ascii="宋体" w:hAnsi="宋体" w:cs="宋体"/>
          <w:color w:val="auto"/>
          <w:sz w:val="24"/>
          <w:szCs w:val="24"/>
          <w:lang w:val="en-US" w:eastAsia="zh-CN"/>
        </w:rPr>
        <w:t>过路架空支架底部标高不低于 4.5 米，人行横道架空支架标高不低于 2.2 米。</w:t>
      </w:r>
    </w:p>
    <w:p w14:paraId="607F5A7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E.风管的连接处紧密，不漏气；</w:t>
      </w:r>
    </w:p>
    <w:p w14:paraId="02C82AC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F.风管配置连接件及固定等附件；</w:t>
      </w:r>
    </w:p>
    <w:p w14:paraId="69293B1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G.风管规格满足《通风与空调工程施工质量验收规范》（GB50243-2002）要求。</w:t>
      </w:r>
    </w:p>
    <w:p w14:paraId="56D9607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2）风管材质及制造要求</w:t>
      </w:r>
    </w:p>
    <w:p w14:paraId="4D0BDDB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收集风管采用有机玻璃钢，架空安装，满足实际安装强度要求。</w:t>
      </w:r>
    </w:p>
    <w:p w14:paraId="1B159D8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风管外表有与环境相适应的色彩且外表光滑、无色差；</w:t>
      </w:r>
    </w:p>
    <w:p w14:paraId="7852587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颜色：风管颜色现场与业主沟通后确定；</w:t>
      </w:r>
    </w:p>
    <w:p w14:paraId="6FC9B21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玻璃钢风管厚度要求：</w:t>
      </w:r>
    </w:p>
    <w:p w14:paraId="7BB9160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2" w:firstLineChars="200"/>
        <w:textAlignment w:val="auto"/>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（5）高空排放烟囱</w:t>
      </w:r>
    </w:p>
    <w:p w14:paraId="5E22ED1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高空排放烟囱的高度为15m，烟囱采用玻璃钢材质，平台及爬梯采用防腐碳钢材质；排放管支架上设置采样平台和采样口、防雷接地等设施，采样口设置符合国家规范，支架的刚度、强度和抗风性能达到相关安全要求，</w:t>
      </w:r>
      <w:r>
        <w:rPr>
          <w:rFonts w:hint="eastAsia" w:ascii="宋体" w:hAnsi="宋体" w:cs="宋体"/>
          <w:color w:val="auto"/>
          <w:sz w:val="24"/>
          <w:szCs w:val="24"/>
          <w:lang w:val="en-US" w:eastAsia="zh-CN"/>
        </w:rPr>
        <w:t>中标单位</w:t>
      </w:r>
      <w:r>
        <w:rPr>
          <w:rFonts w:hint="default" w:ascii="宋体" w:hAnsi="宋体" w:cs="宋体"/>
          <w:color w:val="auto"/>
          <w:sz w:val="24"/>
          <w:szCs w:val="24"/>
          <w:lang w:val="en-US" w:eastAsia="zh-CN"/>
        </w:rPr>
        <w:t>配合完成施工图设计，保证气体排放符合《江苏省城镇污水处理厂污染物排放标准DB32/4440-2022》中的二级标准。</w:t>
      </w:r>
    </w:p>
    <w:p w14:paraId="3C42780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排放管顶部设防雨帽、避雷针，底部设排放管，排水就近排入污水管网或污水井。</w:t>
      </w:r>
    </w:p>
    <w:p w14:paraId="599E025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排放烟囱的检测平台和采样点高度、制作满足相关国家规范。</w:t>
      </w:r>
    </w:p>
    <w:p w14:paraId="123BE11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2" w:firstLineChars="200"/>
        <w:textAlignment w:val="auto"/>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（6）电气及控制系统</w:t>
      </w:r>
    </w:p>
    <w:p w14:paraId="2933166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中标单位</w:t>
      </w:r>
      <w:r>
        <w:rPr>
          <w:rFonts w:hint="default" w:ascii="宋体" w:hAnsi="宋体" w:cs="宋体"/>
          <w:color w:val="auto"/>
          <w:sz w:val="24"/>
          <w:szCs w:val="24"/>
          <w:lang w:val="en-US" w:eastAsia="zh-CN"/>
        </w:rPr>
        <w:t>负责除臭设备电气配电及控制系统设计。</w:t>
      </w:r>
      <w:r>
        <w:rPr>
          <w:rFonts w:hint="eastAsia" w:ascii="宋体" w:hAnsi="宋体" w:cs="宋体"/>
          <w:color w:val="auto"/>
          <w:sz w:val="24"/>
          <w:szCs w:val="24"/>
          <w:lang w:val="en-US" w:eastAsia="zh-CN"/>
        </w:rPr>
        <w:t>中标单位</w:t>
      </w:r>
      <w:r>
        <w:rPr>
          <w:rFonts w:hint="default" w:ascii="宋体" w:hAnsi="宋体" w:cs="宋体"/>
          <w:color w:val="auto"/>
          <w:sz w:val="24"/>
          <w:szCs w:val="24"/>
          <w:lang w:val="en-US" w:eastAsia="zh-CN"/>
        </w:rPr>
        <w:t>编制所供电控柜内的PLC程序，满足工艺运行要求，满足招标人自控系统的整合。</w:t>
      </w:r>
    </w:p>
    <w:p w14:paraId="0C4163C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电控柜与设备需配套提供，具有对整个系统用电设备的供电、电气保护、控制及显示功能，操作面板设有“手动/停止/自动”、“本地自动/远程自动”选择开关，满足手自动控制和上级控制系统的监控。</w:t>
      </w:r>
    </w:p>
    <w:p w14:paraId="683A4AA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电动机配备专用电动机保护断路器、热过载继电器进行保护；柜内柜外所有的用电设备均配备单独的空气开关进行保护。</w:t>
      </w:r>
    </w:p>
    <w:p w14:paraId="7DEAD5B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整个电气控制系统是一个完善的自动控制系统，需具有完备的保护和故障自诊断功能，正常运行时无需人工值守。</w:t>
      </w:r>
    </w:p>
    <w:p w14:paraId="2A92D58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就地控制箱技术要求，如下：</w:t>
      </w:r>
    </w:p>
    <w:p w14:paraId="43A60D4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w:t>
      </w:r>
      <w:r>
        <w:rPr>
          <w:rFonts w:hint="default" w:ascii="宋体" w:hAnsi="宋体" w:cs="宋体"/>
          <w:color w:val="auto"/>
          <w:sz w:val="24"/>
          <w:szCs w:val="24"/>
          <w:lang w:val="en-US" w:eastAsia="zh-CN"/>
        </w:rPr>
        <w:t>）防护等级：</w:t>
      </w:r>
      <w:r>
        <w:rPr>
          <w:rFonts w:hint="eastAsia" w:ascii="宋体" w:hAnsi="宋体" w:cs="宋体"/>
          <w:color w:val="auto"/>
          <w:sz w:val="24"/>
          <w:szCs w:val="24"/>
          <w:lang w:val="en-US" w:eastAsia="zh-CN"/>
        </w:rPr>
        <w:t>室外防雨型</w:t>
      </w:r>
      <w:r>
        <w:rPr>
          <w:rFonts w:hint="default" w:ascii="宋体" w:hAnsi="宋体" w:cs="宋体"/>
          <w:color w:val="auto"/>
          <w:sz w:val="24"/>
          <w:szCs w:val="24"/>
          <w:lang w:val="en-US" w:eastAsia="zh-CN"/>
        </w:rPr>
        <w:t>，防火阻燃性能好。</w:t>
      </w:r>
    </w:p>
    <w:p w14:paraId="4223927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2</w:t>
      </w:r>
      <w:r>
        <w:rPr>
          <w:rFonts w:hint="default" w:ascii="宋体" w:hAnsi="宋体" w:cs="宋体"/>
          <w:color w:val="auto"/>
          <w:sz w:val="24"/>
          <w:szCs w:val="24"/>
          <w:lang w:val="en-US" w:eastAsia="zh-CN"/>
        </w:rPr>
        <w:t>）安装方式：落地式。</w:t>
      </w:r>
    </w:p>
    <w:p w14:paraId="4CE775A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default" w:ascii="宋体" w:hAnsi="宋体" w:cs="宋体"/>
          <w:color w:val="auto"/>
          <w:sz w:val="24"/>
          <w:szCs w:val="24"/>
          <w:lang w:val="en-US" w:eastAsia="zh-CN"/>
        </w:rPr>
        <w:t>）左右侧板：开散热孔。</w:t>
      </w:r>
    </w:p>
    <w:p w14:paraId="20B1ED2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default" w:ascii="宋体" w:hAnsi="宋体" w:cs="宋体"/>
          <w:color w:val="auto"/>
          <w:sz w:val="24"/>
          <w:szCs w:val="24"/>
          <w:lang w:val="en-US" w:eastAsia="zh-CN"/>
        </w:rPr>
        <w:t>）电缆敲落孔：上下均有，直径可选择，很方便地根据实际做到电缆上进上出或下进下出。每个敲落孔处用密封螺纹接头固定。</w:t>
      </w:r>
    </w:p>
    <w:p w14:paraId="5E0168F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5</w:t>
      </w:r>
      <w:r>
        <w:rPr>
          <w:rFonts w:hint="default" w:ascii="宋体" w:hAnsi="宋体" w:cs="宋体"/>
          <w:color w:val="auto"/>
          <w:sz w:val="24"/>
          <w:szCs w:val="24"/>
          <w:lang w:val="en-US" w:eastAsia="zh-CN"/>
        </w:rPr>
        <w:t>） 电控柜进线使用密封件进行密封；</w:t>
      </w:r>
    </w:p>
    <w:p w14:paraId="5366A1F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6</w:t>
      </w:r>
      <w:r>
        <w:rPr>
          <w:rFonts w:hint="default" w:ascii="宋体" w:hAnsi="宋体" w:cs="宋体"/>
          <w:color w:val="auto"/>
          <w:sz w:val="24"/>
          <w:szCs w:val="24"/>
          <w:lang w:val="en-US" w:eastAsia="zh-CN"/>
        </w:rPr>
        <w:t>）现场安装时，穿线管与穿线管间、穿线管与桥架间等，进行等电位联连，当接入电控柜时，接入柜内接地铜排；</w:t>
      </w:r>
    </w:p>
    <w:p w14:paraId="756995B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7</w:t>
      </w:r>
      <w:r>
        <w:rPr>
          <w:rFonts w:hint="default" w:ascii="宋体" w:hAnsi="宋体" w:cs="宋体"/>
          <w:color w:val="auto"/>
          <w:sz w:val="24"/>
          <w:szCs w:val="24"/>
          <w:lang w:val="en-US" w:eastAsia="zh-CN"/>
        </w:rPr>
        <w:t>）电控内所有接线两端含线号管，柜外进线电缆带电缆牌。线号管与电缆牌标识清晰，其名称符合国家规范。</w:t>
      </w:r>
    </w:p>
    <w:p w14:paraId="3A76A9D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8</w:t>
      </w:r>
      <w:r>
        <w:rPr>
          <w:rFonts w:hint="default" w:ascii="宋体" w:hAnsi="宋体" w:cs="宋体"/>
          <w:color w:val="auto"/>
          <w:sz w:val="24"/>
          <w:szCs w:val="24"/>
          <w:lang w:val="en-US" w:eastAsia="zh-CN"/>
        </w:rPr>
        <w:t>）控制柜主要电器</w:t>
      </w:r>
      <w:r>
        <w:rPr>
          <w:rFonts w:hint="eastAsia" w:ascii="宋体" w:hAnsi="宋体" w:cs="宋体"/>
          <w:color w:val="auto"/>
          <w:sz w:val="24"/>
          <w:szCs w:val="24"/>
          <w:lang w:val="en-US" w:eastAsia="zh-CN"/>
        </w:rPr>
        <w:t>元气</w:t>
      </w:r>
      <w:r>
        <w:rPr>
          <w:rFonts w:hint="default" w:ascii="宋体" w:hAnsi="宋体" w:cs="宋体"/>
          <w:color w:val="auto"/>
          <w:sz w:val="24"/>
          <w:szCs w:val="24"/>
          <w:lang w:val="en-US" w:eastAsia="zh-CN"/>
        </w:rPr>
        <w:t>件、变频器选用ABB/西门子/施耐德品牌，PLC选用西门子</w:t>
      </w:r>
      <w:r>
        <w:rPr>
          <w:rFonts w:hint="eastAsia" w:ascii="宋体" w:hAnsi="宋体" w:cs="宋体"/>
          <w:color w:val="auto"/>
          <w:sz w:val="24"/>
          <w:szCs w:val="24"/>
          <w:lang w:val="en-US" w:eastAsia="zh-CN"/>
        </w:rPr>
        <w:t>/AB/施耐德</w:t>
      </w:r>
      <w:r>
        <w:rPr>
          <w:rFonts w:hint="default" w:ascii="宋体" w:hAnsi="宋体" w:cs="宋体"/>
          <w:color w:val="auto"/>
          <w:sz w:val="24"/>
          <w:szCs w:val="24"/>
          <w:lang w:val="en-US" w:eastAsia="zh-CN"/>
        </w:rPr>
        <w:t>品牌</w:t>
      </w:r>
      <w:r>
        <w:rPr>
          <w:rFonts w:hint="eastAsia" w:ascii="宋体" w:hAnsi="宋体" w:cs="宋体"/>
          <w:color w:val="auto"/>
          <w:sz w:val="24"/>
          <w:szCs w:val="24"/>
          <w:lang w:val="en-US" w:eastAsia="zh-CN"/>
        </w:rPr>
        <w:t>。</w:t>
      </w:r>
    </w:p>
    <w:p w14:paraId="6688E4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2"/>
          <w:lang w:val="en-US" w:eastAsia="zh-CN"/>
        </w:rPr>
        <w:t>3、</w:t>
      </w:r>
      <w:r>
        <w:rPr>
          <w:rFonts w:hint="eastAsia" w:ascii="宋体" w:hAnsi="宋体" w:eastAsia="宋体" w:cs="宋体"/>
          <w:b/>
          <w:bCs/>
          <w:color w:val="auto"/>
          <w:sz w:val="24"/>
          <w:szCs w:val="24"/>
          <w:lang w:val="en-US" w:eastAsia="zh-CN"/>
        </w:rPr>
        <w:t>活性炭吸附罐</w:t>
      </w:r>
    </w:p>
    <w:p w14:paraId="471577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both"/>
        <w:textAlignment w:val="auto"/>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活性炭吸附罐吸附罐作为应急措施，当出水COD超标时，将砂滤池（工业出水池）重力自流出水阀门关闭，开启提升泵，将超标出水压力提升至活性炭吸附罐，确保出水COD稳定达标。活性炭吸附罐设计规模3000t/d，接触时间30min。</w:t>
      </w:r>
    </w:p>
    <w:p w14:paraId="388FA29E">
      <w:pPr>
        <w:rPr>
          <w:rFonts w:hint="default" w:ascii="宋体" w:hAnsi="宋体" w:eastAsia="宋体" w:cs="宋体"/>
          <w:color w:val="auto"/>
          <w:sz w:val="24"/>
          <w:szCs w:val="28"/>
          <w:lang w:val="en-US" w:eastAsia="zh-CN"/>
        </w:rPr>
      </w:pPr>
      <w:r>
        <w:rPr>
          <w:rFonts w:hint="eastAsia" w:ascii="宋体" w:hAnsi="宋体" w:eastAsia="宋体" w:cs="宋体"/>
          <w:color w:val="auto"/>
          <w:sz w:val="24"/>
          <w:szCs w:val="28"/>
          <w:lang w:eastAsia="zh-CN"/>
        </w:rPr>
        <w:t>（</w:t>
      </w:r>
      <w:r>
        <w:rPr>
          <w:rFonts w:hint="eastAsia" w:ascii="宋体" w:hAnsi="宋体" w:eastAsia="宋体" w:cs="宋体"/>
          <w:color w:val="auto"/>
          <w:sz w:val="24"/>
          <w:szCs w:val="28"/>
          <w:lang w:val="en-US" w:eastAsia="zh-CN"/>
        </w:rPr>
        <w:t>1</w:t>
      </w:r>
      <w:r>
        <w:rPr>
          <w:rFonts w:hint="eastAsia" w:ascii="宋体" w:hAnsi="宋体" w:eastAsia="宋体" w:cs="宋体"/>
          <w:color w:val="auto"/>
          <w:sz w:val="24"/>
          <w:szCs w:val="28"/>
          <w:lang w:eastAsia="zh-CN"/>
        </w:rPr>
        <w:t>）</w:t>
      </w:r>
      <w:r>
        <w:rPr>
          <w:rFonts w:hint="eastAsia" w:ascii="宋体" w:hAnsi="宋体" w:eastAsia="宋体" w:cs="宋体"/>
          <w:color w:val="auto"/>
          <w:sz w:val="24"/>
          <w:szCs w:val="28"/>
          <w:lang w:val="en-US" w:eastAsia="zh-CN"/>
        </w:rPr>
        <w:t>设计制造标准</w:t>
      </w:r>
    </w:p>
    <w:p w14:paraId="601AD769">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b/>
          <w:bCs/>
          <w:color w:val="auto"/>
          <w:sz w:val="24"/>
          <w:szCs w:val="22"/>
        </w:rPr>
      </w:pPr>
      <w:r>
        <w:rPr>
          <w:rFonts w:hint="eastAsia"/>
          <w:b/>
          <w:bCs/>
          <w:color w:val="auto"/>
          <w:sz w:val="24"/>
          <w:szCs w:val="22"/>
        </w:rPr>
        <w:t>设备制造应符合下列标准</w:t>
      </w:r>
    </w:p>
    <w:p w14:paraId="010D02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color w:val="auto"/>
          <w:sz w:val="24"/>
          <w:szCs w:val="24"/>
        </w:rPr>
      </w:pPr>
      <w:r>
        <w:rPr>
          <w:rFonts w:hint="eastAsia"/>
          <w:color w:val="auto"/>
          <w:sz w:val="24"/>
          <w:szCs w:val="24"/>
        </w:rPr>
        <w:t>GB150-1998《钢制压力容器》</w:t>
      </w:r>
    </w:p>
    <w:p w14:paraId="58FD15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color w:val="auto"/>
          <w:sz w:val="24"/>
          <w:szCs w:val="24"/>
        </w:rPr>
      </w:pPr>
      <w:r>
        <w:rPr>
          <w:rFonts w:hint="eastAsia"/>
          <w:color w:val="auto"/>
          <w:sz w:val="24"/>
          <w:szCs w:val="24"/>
        </w:rPr>
        <w:t xml:space="preserve">JB2932-86《水处理设备制造技术条件》 </w:t>
      </w:r>
    </w:p>
    <w:p w14:paraId="0EBDDE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color w:val="auto"/>
          <w:sz w:val="24"/>
          <w:szCs w:val="24"/>
        </w:rPr>
      </w:pPr>
      <w:r>
        <w:rPr>
          <w:rFonts w:hint="eastAsia"/>
          <w:color w:val="auto"/>
          <w:sz w:val="24"/>
          <w:szCs w:val="24"/>
        </w:rPr>
        <w:t xml:space="preserve">HGJ32-90《橡胶衬里化工设备》 </w:t>
      </w:r>
    </w:p>
    <w:p w14:paraId="0F9A45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color w:val="auto"/>
          <w:sz w:val="24"/>
          <w:szCs w:val="24"/>
        </w:rPr>
      </w:pPr>
      <w:r>
        <w:rPr>
          <w:rFonts w:hint="eastAsia"/>
          <w:color w:val="auto"/>
          <w:sz w:val="24"/>
          <w:szCs w:val="24"/>
        </w:rPr>
        <w:t xml:space="preserve">JB2536-80《水处理设备油漆包装技术条件》 </w:t>
      </w:r>
    </w:p>
    <w:p w14:paraId="3FFD6B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color w:val="auto"/>
          <w:sz w:val="24"/>
          <w:szCs w:val="24"/>
        </w:rPr>
      </w:pPr>
      <w:r>
        <w:rPr>
          <w:rFonts w:hint="eastAsia"/>
          <w:color w:val="auto"/>
          <w:sz w:val="24"/>
          <w:szCs w:val="24"/>
        </w:rPr>
        <w:t>劳锅字[1990]8号《压力容器安全监察规程》</w:t>
      </w:r>
    </w:p>
    <w:p w14:paraId="4FC97D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color w:val="auto"/>
          <w:sz w:val="24"/>
          <w:szCs w:val="24"/>
        </w:rPr>
      </w:pPr>
      <w:r>
        <w:rPr>
          <w:rFonts w:hint="eastAsia"/>
          <w:color w:val="auto"/>
          <w:sz w:val="24"/>
          <w:szCs w:val="24"/>
        </w:rPr>
        <w:t>ZBJ98003-87《压力容器油漆、包装技术条件》</w:t>
      </w:r>
    </w:p>
    <w:p w14:paraId="176227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color w:val="auto"/>
          <w:sz w:val="24"/>
          <w:szCs w:val="24"/>
        </w:rPr>
      </w:pPr>
      <w:r>
        <w:rPr>
          <w:rFonts w:hint="eastAsia"/>
          <w:color w:val="auto"/>
          <w:sz w:val="24"/>
          <w:szCs w:val="24"/>
        </w:rPr>
        <w:t>SDZ037-87《电厂水处理设备制造质量分等标准》</w:t>
      </w:r>
    </w:p>
    <w:p w14:paraId="4EA058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color w:val="auto"/>
          <w:sz w:val="24"/>
          <w:szCs w:val="24"/>
        </w:rPr>
      </w:pPr>
      <w:r>
        <w:rPr>
          <w:rFonts w:hint="eastAsia"/>
          <w:color w:val="auto"/>
          <w:sz w:val="24"/>
          <w:szCs w:val="24"/>
        </w:rPr>
        <w:t xml:space="preserve">ZBJ98004-87《水处理设备原材料入厂检验》    </w:t>
      </w:r>
    </w:p>
    <w:p w14:paraId="19B82D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color w:val="auto"/>
          <w:sz w:val="24"/>
          <w:szCs w:val="24"/>
        </w:rPr>
      </w:pPr>
      <w:r>
        <w:rPr>
          <w:rFonts w:hint="eastAsia"/>
          <w:color w:val="auto"/>
          <w:sz w:val="24"/>
          <w:szCs w:val="24"/>
        </w:rPr>
        <w:t xml:space="preserve">HGJ33-90《衬里钢壳设计技术规定》     </w:t>
      </w:r>
    </w:p>
    <w:p w14:paraId="204554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color w:val="auto"/>
          <w:sz w:val="24"/>
          <w:szCs w:val="24"/>
        </w:rPr>
      </w:pPr>
      <w:r>
        <w:rPr>
          <w:rFonts w:hint="eastAsia"/>
          <w:color w:val="auto"/>
          <w:sz w:val="24"/>
          <w:szCs w:val="24"/>
        </w:rPr>
        <w:t>HGJ34-90  《化工设备、管道外防腐设计条件》</w:t>
      </w:r>
    </w:p>
    <w:p w14:paraId="29E3DA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color w:val="auto"/>
          <w:sz w:val="24"/>
          <w:szCs w:val="24"/>
        </w:rPr>
      </w:pPr>
      <w:r>
        <w:rPr>
          <w:rFonts w:hint="eastAsia"/>
          <w:color w:val="auto"/>
          <w:sz w:val="24"/>
          <w:szCs w:val="24"/>
        </w:rPr>
        <w:t>D1543-94《电厂用水处理设备质量验收标准》</w:t>
      </w:r>
    </w:p>
    <w:p w14:paraId="7F2D85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color w:val="auto"/>
          <w:sz w:val="24"/>
          <w:szCs w:val="24"/>
        </w:rPr>
      </w:pPr>
      <w:r>
        <w:rPr>
          <w:rFonts w:hint="eastAsia"/>
          <w:color w:val="auto"/>
          <w:sz w:val="24"/>
          <w:szCs w:val="24"/>
        </w:rPr>
        <w:t xml:space="preserve">DL/T5068-2006《火力发电厂化学设计技术规程》  </w:t>
      </w:r>
    </w:p>
    <w:p w14:paraId="3557A3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b/>
          <w:bCs/>
          <w:color w:val="auto"/>
          <w:sz w:val="24"/>
          <w:szCs w:val="24"/>
        </w:rPr>
      </w:pPr>
      <w:r>
        <w:rPr>
          <w:rFonts w:hint="eastAsia"/>
          <w:color w:val="auto"/>
          <w:sz w:val="24"/>
          <w:szCs w:val="24"/>
        </w:rPr>
        <w:t>DL/T 5190.4－2004《电力建设施工及验收技术规范 第4部分：电厂化学》</w:t>
      </w:r>
    </w:p>
    <w:p w14:paraId="6E706B68">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b/>
          <w:bCs/>
          <w:color w:val="auto"/>
          <w:sz w:val="24"/>
          <w:szCs w:val="22"/>
        </w:rPr>
      </w:pPr>
      <w:r>
        <w:rPr>
          <w:rFonts w:hint="eastAsia"/>
          <w:b/>
          <w:bCs/>
          <w:color w:val="auto"/>
          <w:sz w:val="24"/>
          <w:szCs w:val="22"/>
        </w:rPr>
        <w:t>进口设备的制造工艺和材料应符合（但不局限于）以下标准:</w:t>
      </w:r>
    </w:p>
    <w:p w14:paraId="78F6B163">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845" w:leftChars="0" w:hanging="425" w:firstLineChars="0"/>
        <w:textAlignment w:val="auto"/>
        <w:rPr>
          <w:rFonts w:hint="eastAsia"/>
          <w:color w:val="auto"/>
          <w:sz w:val="24"/>
          <w:szCs w:val="24"/>
        </w:rPr>
      </w:pPr>
      <w:r>
        <w:rPr>
          <w:rFonts w:hint="eastAsia"/>
          <w:color w:val="auto"/>
          <w:sz w:val="24"/>
          <w:szCs w:val="24"/>
        </w:rPr>
        <w:t>AISC-美国钢结构学会</w:t>
      </w:r>
    </w:p>
    <w:p w14:paraId="27C3CA4F">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845" w:leftChars="0" w:hanging="425" w:firstLineChars="0"/>
        <w:textAlignment w:val="auto"/>
        <w:rPr>
          <w:rFonts w:hint="eastAsia"/>
          <w:color w:val="auto"/>
          <w:sz w:val="24"/>
          <w:szCs w:val="24"/>
        </w:rPr>
      </w:pPr>
      <w:r>
        <w:rPr>
          <w:rFonts w:hint="eastAsia"/>
          <w:color w:val="auto"/>
          <w:sz w:val="24"/>
          <w:szCs w:val="24"/>
        </w:rPr>
        <w:t>ANSI-美国国家标准学会</w:t>
      </w:r>
    </w:p>
    <w:p w14:paraId="23B6073A">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845" w:leftChars="0" w:hanging="425" w:firstLineChars="0"/>
        <w:textAlignment w:val="auto"/>
        <w:rPr>
          <w:rFonts w:hint="eastAsia"/>
          <w:color w:val="auto"/>
          <w:sz w:val="24"/>
          <w:szCs w:val="24"/>
        </w:rPr>
      </w:pPr>
      <w:r>
        <w:rPr>
          <w:rFonts w:hint="eastAsia"/>
          <w:color w:val="auto"/>
          <w:sz w:val="24"/>
          <w:szCs w:val="24"/>
        </w:rPr>
        <w:t>ASME-美国机械工程师学会</w:t>
      </w:r>
    </w:p>
    <w:p w14:paraId="4DED8D6C">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845" w:leftChars="0" w:hanging="425" w:firstLineChars="0"/>
        <w:textAlignment w:val="auto"/>
        <w:rPr>
          <w:rFonts w:hint="eastAsia"/>
          <w:color w:val="auto"/>
          <w:sz w:val="24"/>
          <w:szCs w:val="24"/>
        </w:rPr>
      </w:pPr>
      <w:r>
        <w:rPr>
          <w:rFonts w:hint="eastAsia"/>
          <w:color w:val="auto"/>
          <w:sz w:val="24"/>
          <w:szCs w:val="24"/>
        </w:rPr>
        <w:t>ASTM-美国材料和测试学会</w:t>
      </w:r>
    </w:p>
    <w:p w14:paraId="197098DC">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845" w:leftChars="0" w:hanging="425" w:firstLineChars="0"/>
        <w:textAlignment w:val="auto"/>
        <w:rPr>
          <w:rFonts w:hint="eastAsia"/>
          <w:color w:val="auto"/>
          <w:sz w:val="24"/>
          <w:szCs w:val="24"/>
        </w:rPr>
      </w:pPr>
      <w:r>
        <w:rPr>
          <w:rFonts w:hint="eastAsia"/>
          <w:color w:val="auto"/>
          <w:sz w:val="24"/>
          <w:szCs w:val="24"/>
        </w:rPr>
        <w:t>AWS-美国焊接学会</w:t>
      </w:r>
    </w:p>
    <w:p w14:paraId="22051F96">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845" w:leftChars="0" w:hanging="425" w:firstLineChars="0"/>
        <w:textAlignment w:val="auto"/>
        <w:rPr>
          <w:rFonts w:hint="eastAsia"/>
          <w:color w:val="auto"/>
          <w:sz w:val="24"/>
          <w:szCs w:val="24"/>
        </w:rPr>
      </w:pPr>
      <w:r>
        <w:rPr>
          <w:rFonts w:hint="eastAsia"/>
          <w:color w:val="auto"/>
          <w:sz w:val="24"/>
          <w:szCs w:val="24"/>
        </w:rPr>
        <w:t>OSHA-劳动安全条例</w:t>
      </w:r>
    </w:p>
    <w:p w14:paraId="69ED044F">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845" w:leftChars="0" w:hanging="425" w:firstLineChars="0"/>
        <w:textAlignment w:val="auto"/>
        <w:rPr>
          <w:rFonts w:hint="eastAsia"/>
          <w:color w:val="auto"/>
          <w:sz w:val="24"/>
          <w:szCs w:val="24"/>
        </w:rPr>
      </w:pPr>
      <w:r>
        <w:rPr>
          <w:rFonts w:hint="eastAsia"/>
          <w:color w:val="auto"/>
          <w:sz w:val="24"/>
          <w:szCs w:val="24"/>
        </w:rPr>
        <w:t>NEMA-国家电气制造商协会</w:t>
      </w:r>
    </w:p>
    <w:p w14:paraId="59CEFAE5">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845" w:leftChars="0" w:hanging="425" w:firstLineChars="0"/>
        <w:textAlignment w:val="auto"/>
        <w:rPr>
          <w:rFonts w:hint="eastAsia"/>
          <w:color w:val="auto"/>
          <w:sz w:val="24"/>
          <w:szCs w:val="24"/>
        </w:rPr>
      </w:pPr>
      <w:r>
        <w:rPr>
          <w:rFonts w:hint="eastAsia"/>
          <w:color w:val="auto"/>
          <w:sz w:val="24"/>
          <w:szCs w:val="24"/>
        </w:rPr>
        <w:t>IEEE-电气和电子工程师协会</w:t>
      </w:r>
    </w:p>
    <w:p w14:paraId="64DB391A">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845" w:leftChars="0" w:hanging="425" w:firstLineChars="0"/>
        <w:textAlignment w:val="auto"/>
        <w:rPr>
          <w:rFonts w:hint="eastAsia"/>
          <w:color w:val="auto"/>
          <w:sz w:val="24"/>
          <w:szCs w:val="24"/>
        </w:rPr>
      </w:pPr>
      <w:r>
        <w:rPr>
          <w:rFonts w:hint="eastAsia"/>
          <w:color w:val="auto"/>
          <w:sz w:val="24"/>
          <w:szCs w:val="24"/>
        </w:rPr>
        <w:t>ISA-美国仪表协会</w:t>
      </w:r>
    </w:p>
    <w:p w14:paraId="39E4864E">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845" w:leftChars="0" w:hanging="425" w:firstLineChars="0"/>
        <w:textAlignment w:val="auto"/>
        <w:rPr>
          <w:rFonts w:hint="eastAsia"/>
          <w:color w:val="auto"/>
          <w:sz w:val="24"/>
          <w:szCs w:val="24"/>
        </w:rPr>
      </w:pPr>
      <w:r>
        <w:rPr>
          <w:rFonts w:hint="eastAsia"/>
          <w:color w:val="auto"/>
          <w:sz w:val="24"/>
          <w:szCs w:val="24"/>
        </w:rPr>
        <w:t>SSPC-钢结构油漆协会</w:t>
      </w:r>
    </w:p>
    <w:p w14:paraId="60D4828F">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845" w:leftChars="0" w:hanging="425" w:firstLineChars="0"/>
        <w:textAlignment w:val="auto"/>
        <w:rPr>
          <w:rFonts w:hint="eastAsia"/>
          <w:color w:val="auto"/>
        </w:rPr>
      </w:pPr>
      <w:r>
        <w:rPr>
          <w:rFonts w:hint="eastAsia"/>
          <w:color w:val="auto"/>
          <w:sz w:val="24"/>
          <w:szCs w:val="24"/>
        </w:rPr>
        <w:t xml:space="preserve">UBC-国际建筑官员协会   </w:t>
      </w:r>
      <w:r>
        <w:rPr>
          <w:rFonts w:hint="eastAsia"/>
          <w:color w:val="auto"/>
        </w:rPr>
        <w:t xml:space="preserve">                                  </w:t>
      </w:r>
    </w:p>
    <w:p w14:paraId="56E5BB1F">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b/>
          <w:bCs/>
          <w:color w:val="auto"/>
          <w:sz w:val="24"/>
          <w:szCs w:val="24"/>
        </w:rPr>
      </w:pPr>
      <w:r>
        <w:rPr>
          <w:rFonts w:hint="eastAsia"/>
          <w:b/>
          <w:bCs/>
          <w:color w:val="auto"/>
          <w:sz w:val="24"/>
          <w:szCs w:val="24"/>
        </w:rPr>
        <w:t>对外接口法兰应符合下列标准或要求：</w:t>
      </w:r>
    </w:p>
    <w:p w14:paraId="1DC56123">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GBT9112-2000</w:t>
      </w:r>
      <w:r>
        <w:rPr>
          <w:rFonts w:hint="eastAsia" w:ascii="宋体" w:hAnsi="宋体" w:eastAsia="宋体" w:cs="宋体"/>
          <w:color w:val="auto"/>
          <w:sz w:val="24"/>
          <w:szCs w:val="22"/>
          <w:lang w:val="en-US" w:eastAsia="zh-CN"/>
        </w:rPr>
        <w:t xml:space="preserve"> </w:t>
      </w:r>
      <w:r>
        <w:rPr>
          <w:rFonts w:hint="eastAsia" w:ascii="宋体" w:hAnsi="宋体" w:eastAsia="宋体" w:cs="宋体"/>
          <w:color w:val="auto"/>
          <w:sz w:val="24"/>
          <w:szCs w:val="22"/>
        </w:rPr>
        <w:t>《钢制管法兰类型与参数》</w:t>
      </w:r>
    </w:p>
    <w:p w14:paraId="1059FD93">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color w:val="auto"/>
          <w:sz w:val="24"/>
          <w:szCs w:val="22"/>
          <w:lang w:eastAsia="zh-CN"/>
        </w:rPr>
      </w:pPr>
      <w:r>
        <w:rPr>
          <w:rFonts w:hint="eastAsia" w:ascii="宋体" w:hAnsi="宋体" w:eastAsia="宋体" w:cs="宋体"/>
          <w:color w:val="auto"/>
          <w:sz w:val="24"/>
          <w:szCs w:val="22"/>
        </w:rPr>
        <w:t>管路的设计符合DL/T5054-1996《火力发电厂汽水管道设计技术规定》的规定要求。管道零件符合《火力发电厂汽水管道零件及部件典型设计手册》（GD87-1101）要求</w:t>
      </w:r>
      <w:r>
        <w:rPr>
          <w:rFonts w:hint="eastAsia" w:ascii="宋体" w:hAnsi="宋体" w:eastAsia="宋体" w:cs="宋体"/>
          <w:color w:val="auto"/>
          <w:sz w:val="24"/>
          <w:szCs w:val="22"/>
          <w:lang w:eastAsia="zh-CN"/>
        </w:rPr>
        <w:t>。</w:t>
      </w:r>
    </w:p>
    <w:p w14:paraId="5BCB00E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olor w:val="auto"/>
          <w:sz w:val="24"/>
          <w:szCs w:val="22"/>
          <w:lang w:val="en-US" w:eastAsia="zh-CN"/>
        </w:rPr>
      </w:pPr>
      <w:r>
        <w:rPr>
          <w:rFonts w:hint="default" w:ascii="Times New Roman" w:hAnsi="Times New Roman" w:eastAsia="宋体" w:cs="Times New Roman"/>
          <w:color w:val="auto"/>
          <w:kern w:val="2"/>
          <w:sz w:val="24"/>
          <w:szCs w:val="24"/>
          <w:lang w:val="en-US" w:eastAsia="zh-CN" w:bidi="ar-SA"/>
        </w:rPr>
        <w:t>（2）</w:t>
      </w:r>
      <w:r>
        <w:rPr>
          <w:rFonts w:hint="eastAsia"/>
          <w:color w:val="auto"/>
          <w:sz w:val="24"/>
          <w:szCs w:val="22"/>
          <w:lang w:val="en-US" w:eastAsia="zh-CN"/>
        </w:rPr>
        <w:t>供货范围</w:t>
      </w:r>
    </w:p>
    <w:p w14:paraId="4EA9E52B">
      <w:pPr>
        <w:spacing w:line="360" w:lineRule="auto"/>
        <w:ind w:firstLine="480" w:firstLineChars="200"/>
        <w:rPr>
          <w:rFonts w:eastAsiaTheme="minorEastAsia"/>
          <w:color w:val="auto"/>
          <w:sz w:val="24"/>
          <w:szCs w:val="24"/>
          <w:highlight w:val="none"/>
        </w:rPr>
      </w:pPr>
      <w:r>
        <w:rPr>
          <w:rFonts w:eastAsiaTheme="minorEastAsia"/>
          <w:color w:val="auto"/>
          <w:sz w:val="24"/>
          <w:szCs w:val="24"/>
          <w:highlight w:val="none"/>
        </w:rPr>
        <w:t>投标人应提供保证设备安全、稳定、可靠运行的全套设备、辅助及安装连接附件，并负责安装、调试及试运行等工作。设备主要组成部分及供货范围（不限于此）：</w:t>
      </w:r>
    </w:p>
    <w:p w14:paraId="401DEAEA">
      <w:pPr>
        <w:numPr>
          <w:ilvl w:val="0"/>
          <w:numId w:val="0"/>
        </w:numPr>
        <w:spacing w:line="360" w:lineRule="auto"/>
        <w:ind w:leftChars="0" w:firstLine="420" w:firstLineChars="0"/>
        <w:rPr>
          <w:rFonts w:eastAsiaTheme="minorEastAsia"/>
          <w:color w:val="auto"/>
          <w:sz w:val="24"/>
          <w:szCs w:val="24"/>
          <w:highlight w:val="none"/>
        </w:rPr>
      </w:pPr>
      <w:r>
        <w:rPr>
          <w:rFonts w:hint="eastAsia" w:eastAsiaTheme="minorEastAsia"/>
          <w:color w:val="auto"/>
          <w:sz w:val="24"/>
          <w:szCs w:val="24"/>
          <w:highlight w:val="none"/>
          <w:lang w:val="en-US" w:eastAsia="zh-CN"/>
        </w:rPr>
        <w:t>①装配完整的活性炭吸附罐（活性炭吸附罐由设备本体、进/出水本体管道、设备本体阀门、管阀连接附件、护栏平台等），活性炭吸附罐数量2套；</w:t>
      </w:r>
    </w:p>
    <w:p w14:paraId="692BCBC8">
      <w:pPr>
        <w:numPr>
          <w:ilvl w:val="0"/>
          <w:numId w:val="0"/>
        </w:numPr>
        <w:spacing w:line="360" w:lineRule="auto"/>
        <w:ind w:leftChars="0" w:firstLine="420" w:firstLineChars="0"/>
        <w:rPr>
          <w:rFonts w:eastAsiaTheme="minorEastAsia"/>
          <w:color w:val="auto"/>
          <w:sz w:val="24"/>
          <w:szCs w:val="24"/>
          <w:highlight w:val="none"/>
        </w:rPr>
      </w:pPr>
      <w:r>
        <w:rPr>
          <w:rFonts w:hint="eastAsia" w:eastAsiaTheme="minorEastAsia"/>
          <w:color w:val="auto"/>
          <w:sz w:val="24"/>
          <w:szCs w:val="24"/>
          <w:highlight w:val="none"/>
          <w:lang w:val="en-US" w:eastAsia="zh-CN"/>
        </w:rPr>
        <w:t>②活性炭吸附罐填料（填料主体活性炭填料），填充量为2套活性炭吸附罐量，数量约32吨；</w:t>
      </w:r>
    </w:p>
    <w:p w14:paraId="3903CD70">
      <w:pPr>
        <w:numPr>
          <w:ilvl w:val="0"/>
          <w:numId w:val="0"/>
        </w:numPr>
        <w:spacing w:line="360" w:lineRule="auto"/>
        <w:ind w:leftChars="0" w:firstLine="420" w:firstLineChars="0"/>
        <w:rPr>
          <w:rFonts w:eastAsiaTheme="minorEastAsia"/>
          <w:color w:val="auto"/>
          <w:sz w:val="24"/>
          <w:szCs w:val="24"/>
          <w:highlight w:val="none"/>
        </w:rPr>
      </w:pPr>
      <w:r>
        <w:rPr>
          <w:rFonts w:hint="eastAsia" w:eastAsiaTheme="minorEastAsia"/>
          <w:color w:val="auto"/>
          <w:sz w:val="24"/>
          <w:szCs w:val="24"/>
          <w:highlight w:val="none"/>
          <w:lang w:val="en-US" w:eastAsia="zh-CN"/>
        </w:rPr>
        <w:t>③活性炭吸附罐系统内连接管道、阀门，所有连接附件、螺栓等；（工程界限以总进/出水阀门为界限，配套对接法兰）</w:t>
      </w:r>
    </w:p>
    <w:p w14:paraId="6333DCB5">
      <w:pPr>
        <w:numPr>
          <w:ilvl w:val="0"/>
          <w:numId w:val="0"/>
        </w:numPr>
        <w:spacing w:line="360" w:lineRule="auto"/>
        <w:ind w:leftChars="0" w:firstLine="420" w:firstLineChars="0"/>
        <w:rPr>
          <w:rFonts w:hint="eastAsia" w:eastAsiaTheme="minorEastAsia"/>
          <w:color w:val="auto"/>
          <w:sz w:val="24"/>
          <w:szCs w:val="24"/>
          <w:highlight w:val="none"/>
          <w:lang w:val="en-US" w:eastAsia="zh-CN"/>
        </w:rPr>
      </w:pPr>
      <w:r>
        <w:rPr>
          <w:rFonts w:hint="eastAsia" w:eastAsiaTheme="minorEastAsia"/>
          <w:color w:val="auto"/>
          <w:sz w:val="24"/>
          <w:szCs w:val="24"/>
          <w:highlight w:val="none"/>
          <w:lang w:val="en-US" w:eastAsia="zh-CN"/>
        </w:rPr>
        <w:t>④提供完整的设备图纸（设备单体图、工艺图、管道图等）</w:t>
      </w:r>
    </w:p>
    <w:p w14:paraId="6A7D8349">
      <w:pPr>
        <w:numPr>
          <w:ilvl w:val="0"/>
          <w:numId w:val="0"/>
        </w:numPr>
        <w:spacing w:line="360" w:lineRule="auto"/>
        <w:ind w:leftChars="0" w:firstLine="420" w:firstLineChars="0"/>
        <w:rPr>
          <w:rFonts w:hint="eastAsia" w:eastAsiaTheme="minorEastAsia"/>
          <w:color w:val="auto"/>
          <w:sz w:val="24"/>
          <w:szCs w:val="24"/>
          <w:highlight w:val="none"/>
          <w:lang w:val="en-US" w:eastAsia="zh-CN"/>
        </w:rPr>
      </w:pPr>
      <w:r>
        <w:rPr>
          <w:rFonts w:hint="eastAsia" w:eastAsiaTheme="minorEastAsia"/>
          <w:color w:val="auto"/>
          <w:sz w:val="24"/>
          <w:szCs w:val="24"/>
          <w:highlight w:val="none"/>
          <w:lang w:val="en-US" w:eastAsia="zh-CN"/>
        </w:rPr>
        <w:t>⑤提供相关设备预埋件并指导安装（指导安装仅限预埋件）。</w:t>
      </w:r>
    </w:p>
    <w:p w14:paraId="68677B6B">
      <w:pPr>
        <w:bidi w:val="0"/>
        <w:jc w:val="center"/>
        <w:rPr>
          <w:rFonts w:hint="eastAsia"/>
          <w:b/>
          <w:bCs/>
          <w:color w:val="auto"/>
          <w:sz w:val="28"/>
          <w:szCs w:val="28"/>
          <w:lang w:val="en-US" w:eastAsia="zh-CN"/>
        </w:rPr>
      </w:pPr>
      <w:r>
        <w:rPr>
          <w:rFonts w:hint="eastAsia"/>
          <w:b/>
          <w:bCs/>
          <w:color w:val="auto"/>
          <w:sz w:val="28"/>
          <w:szCs w:val="28"/>
          <w:lang w:val="en-US" w:eastAsia="zh-CN"/>
        </w:rPr>
        <w:t>主要设备清单</w:t>
      </w:r>
    </w:p>
    <w:tbl>
      <w:tblPr>
        <w:tblStyle w:val="27"/>
        <w:tblW w:w="93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04"/>
        <w:gridCol w:w="1769"/>
        <w:gridCol w:w="4471"/>
        <w:gridCol w:w="665"/>
        <w:gridCol w:w="608"/>
        <w:gridCol w:w="1225"/>
      </w:tblGrid>
      <w:tr w14:paraId="0C5C7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6" w:hRule="atLeast"/>
          <w:tblHeader/>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D700">
            <w:pPr>
              <w:keepNext w:val="0"/>
              <w:keepLines w:val="0"/>
              <w:pageBreakBefore w:val="0"/>
              <w:widowControl/>
              <w:kinsoku/>
              <w:wordWrap/>
              <w:overflowPunct/>
              <w:topLinePunct w:val="0"/>
              <w:autoSpaceDE/>
              <w:autoSpaceDN/>
              <w:bidi w:val="0"/>
              <w:adjustRightInd/>
              <w:snapToGrid/>
              <w:ind w:firstLine="0" w:firstLineChars="0"/>
              <w:jc w:val="center"/>
              <w:textAlignment w:val="auto"/>
              <w:rPr>
                <w:color w:val="auto"/>
              </w:rPr>
            </w:pPr>
            <w:r>
              <w:rPr>
                <w:rFonts w:hint="default"/>
                <w:color w:val="auto"/>
                <w:lang w:val="en-US" w:eastAsia="zh-CN"/>
              </w:rPr>
              <w:t>序号</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930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color w:val="auto"/>
              </w:rPr>
            </w:pPr>
            <w:r>
              <w:rPr>
                <w:rFonts w:hint="default"/>
                <w:color w:val="auto"/>
                <w:lang w:val="en-US" w:eastAsia="zh-CN"/>
              </w:rPr>
              <w:t>品名</w:t>
            </w:r>
          </w:p>
        </w:tc>
        <w:tc>
          <w:tcPr>
            <w:tcW w:w="4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CDF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color w:val="auto"/>
              </w:rPr>
            </w:pPr>
            <w:r>
              <w:rPr>
                <w:rFonts w:hint="default"/>
                <w:color w:val="auto"/>
                <w:lang w:val="en-US" w:eastAsia="zh-CN"/>
              </w:rPr>
              <w:t>型号及规格</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214D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color w:val="auto"/>
                <w:lang w:val="en-US" w:eastAsia="zh-CN"/>
              </w:rPr>
            </w:pPr>
            <w:r>
              <w:rPr>
                <w:rFonts w:hint="eastAsia"/>
                <w:color w:val="auto"/>
                <w:lang w:val="en-US" w:eastAsia="zh-CN"/>
              </w:rPr>
              <w:t>单位</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8FB0">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color w:val="auto"/>
                <w:lang w:val="en-US" w:eastAsia="zh-CN"/>
              </w:rPr>
            </w:pPr>
            <w:r>
              <w:rPr>
                <w:rFonts w:hint="eastAsia"/>
                <w:color w:val="auto"/>
                <w:lang w:val="en-US" w:eastAsia="zh-CN"/>
              </w:rPr>
              <w:t>数量</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F605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color w:val="auto"/>
                <w:lang w:val="en-US" w:eastAsia="zh-CN"/>
              </w:rPr>
            </w:pPr>
            <w:r>
              <w:rPr>
                <w:rFonts w:hint="eastAsia"/>
                <w:color w:val="auto"/>
                <w:lang w:val="en-US" w:eastAsia="zh-CN"/>
              </w:rPr>
              <w:t>备注</w:t>
            </w:r>
          </w:p>
        </w:tc>
      </w:tr>
      <w:tr w14:paraId="5CE9B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blHeader/>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6FD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color w:val="auto"/>
              </w:rPr>
            </w:pPr>
            <w:r>
              <w:rPr>
                <w:rFonts w:hint="default"/>
                <w:color w:val="auto"/>
                <w:lang w:val="en-US" w:eastAsia="zh-CN"/>
              </w:rPr>
              <w:t>1</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860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eastAsia="宋体"/>
                <w:color w:val="auto"/>
                <w:lang w:val="en-US" w:eastAsia="zh-CN"/>
              </w:rPr>
            </w:pPr>
            <w:r>
              <w:rPr>
                <w:rFonts w:hint="eastAsia"/>
                <w:color w:val="auto"/>
                <w:lang w:val="en-US" w:eastAsia="zh-CN"/>
              </w:rPr>
              <w:t>活性炭吸附罐</w:t>
            </w:r>
          </w:p>
        </w:tc>
        <w:tc>
          <w:tcPr>
            <w:tcW w:w="4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EE08">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color w:val="auto"/>
                <w:lang w:val="en-US" w:eastAsia="zh-CN"/>
              </w:rPr>
            </w:pPr>
            <w:r>
              <w:rPr>
                <w:rFonts w:hint="eastAsia"/>
                <w:color w:val="auto"/>
                <w:lang w:val="en-US" w:eastAsia="zh-CN"/>
              </w:rPr>
              <w:t>活性炭吸附罐设计规模3000t/d，接触时间30min</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F91F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color w:val="auto"/>
                <w:lang w:val="en-US" w:eastAsia="zh-CN"/>
              </w:rPr>
            </w:pPr>
            <w:r>
              <w:rPr>
                <w:rFonts w:hint="eastAsia"/>
                <w:color w:val="auto"/>
                <w:lang w:val="en-US" w:eastAsia="zh-CN"/>
              </w:rPr>
              <w:t>套</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9F78">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color w:val="auto"/>
                <w:lang w:val="en-US" w:eastAsia="zh-CN"/>
              </w:rPr>
            </w:pPr>
            <w:r>
              <w:rPr>
                <w:rFonts w:hint="eastAsia"/>
                <w:color w:val="auto"/>
                <w:lang w:val="en-US" w:eastAsia="zh-CN"/>
              </w:rPr>
              <w:t>2</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37FE">
            <w:pPr>
              <w:keepNext w:val="0"/>
              <w:keepLines w:val="0"/>
              <w:pageBreakBefore w:val="0"/>
              <w:widowControl/>
              <w:kinsoku/>
              <w:wordWrap/>
              <w:overflowPunct/>
              <w:topLinePunct w:val="0"/>
              <w:autoSpaceDE/>
              <w:autoSpaceDN/>
              <w:bidi w:val="0"/>
              <w:adjustRightInd/>
              <w:snapToGrid/>
              <w:ind w:firstLine="0" w:firstLineChars="0"/>
              <w:jc w:val="both"/>
              <w:textAlignment w:val="auto"/>
              <w:rPr>
                <w:rFonts w:hint="default" w:eastAsia="宋体"/>
                <w:color w:val="auto"/>
                <w:lang w:val="en-US" w:eastAsia="zh-CN"/>
              </w:rPr>
            </w:pPr>
          </w:p>
        </w:tc>
      </w:tr>
      <w:tr w14:paraId="7A442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51" w:hRule="atLeast"/>
          <w:tblHeader/>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2EA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color w:val="auto"/>
                <w:lang w:val="en-US" w:eastAsia="zh-CN"/>
              </w:rPr>
            </w:pPr>
            <w:r>
              <w:rPr>
                <w:rFonts w:hint="eastAsia"/>
                <w:color w:val="auto"/>
                <w:lang w:val="en-US" w:eastAsia="zh-CN"/>
              </w:rPr>
              <w:t>1.1</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11950">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color w:val="auto"/>
                <w:lang w:val="en-US" w:eastAsia="zh-CN"/>
              </w:rPr>
            </w:pPr>
            <w:r>
              <w:rPr>
                <w:rFonts w:hint="eastAsia"/>
                <w:color w:val="auto"/>
                <w:lang w:val="en-US" w:eastAsia="zh-CN"/>
              </w:rPr>
              <w:t>含：活性炭吸附罐本体</w:t>
            </w:r>
          </w:p>
        </w:tc>
        <w:tc>
          <w:tcPr>
            <w:tcW w:w="4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D18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color w:val="auto"/>
                <w:lang w:val="en-US" w:eastAsia="zh-CN"/>
              </w:rPr>
            </w:pPr>
            <w:r>
              <w:rPr>
                <w:rFonts w:hint="eastAsia"/>
                <w:color w:val="auto"/>
                <w:lang w:val="en-US" w:eastAsia="zh-CN"/>
              </w:rPr>
              <w:t>40m³,直径3200mm,总高约9.0m，碳钢衬胶，设备本体衬胶厚度3+2mm，管道3mm</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DFA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color w:val="auto"/>
                <w:lang w:val="en-US" w:eastAsia="zh-CN"/>
              </w:rPr>
            </w:pPr>
            <w:r>
              <w:rPr>
                <w:rFonts w:hint="eastAsia"/>
                <w:color w:val="auto"/>
                <w:lang w:val="en-US" w:eastAsia="zh-CN"/>
              </w:rPr>
              <w:t>套</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6F60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color w:val="auto"/>
                <w:lang w:val="en-US" w:eastAsia="zh-CN"/>
              </w:rPr>
            </w:pPr>
            <w:r>
              <w:rPr>
                <w:rFonts w:hint="eastAsia"/>
                <w:color w:val="auto"/>
                <w:lang w:val="en-US" w:eastAsia="zh-CN"/>
              </w:rPr>
              <w:t>2</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5E53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color w:val="auto"/>
                <w:lang w:val="en-US" w:eastAsia="zh-CN"/>
              </w:rPr>
            </w:pPr>
          </w:p>
        </w:tc>
      </w:tr>
      <w:tr w14:paraId="457E1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 w:hRule="atLeast"/>
          <w:tblHeader/>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EED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color w:val="auto"/>
                <w:lang w:val="en-US" w:eastAsia="zh-CN"/>
              </w:rPr>
            </w:pPr>
            <w:r>
              <w:rPr>
                <w:rFonts w:hint="eastAsia"/>
                <w:color w:val="auto"/>
                <w:lang w:val="en-US" w:eastAsia="zh-CN"/>
              </w:rPr>
              <w:t>1.2</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E2CC">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color w:val="auto"/>
                <w:lang w:val="en-US" w:eastAsia="zh-CN"/>
              </w:rPr>
            </w:pPr>
            <w:r>
              <w:rPr>
                <w:rFonts w:hint="eastAsia"/>
                <w:color w:val="auto"/>
                <w:lang w:val="en-US" w:eastAsia="zh-CN"/>
              </w:rPr>
              <w:t>填料</w:t>
            </w:r>
          </w:p>
        </w:tc>
        <w:tc>
          <w:tcPr>
            <w:tcW w:w="4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77F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color w:val="auto"/>
                <w:lang w:val="en-US" w:eastAsia="zh-CN"/>
              </w:rPr>
            </w:pPr>
            <w:r>
              <w:rPr>
                <w:rFonts w:hint="eastAsia"/>
                <w:color w:val="auto"/>
                <w:lang w:val="en-US" w:eastAsia="zh-CN"/>
              </w:rPr>
              <w:t>装填颗粒活性炭，颗粒炭密度0.5，装填系数0.8，每柱装颗粒炭约16吨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ECE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eastAsia="宋体"/>
                <w:color w:val="auto"/>
                <w:lang w:val="en-US" w:eastAsia="zh-CN"/>
              </w:rPr>
            </w:pPr>
            <w:r>
              <w:rPr>
                <w:rFonts w:hint="eastAsia"/>
                <w:color w:val="auto"/>
                <w:lang w:val="en-US" w:eastAsia="zh-CN"/>
              </w:rPr>
              <w:t>吨</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C90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eastAsia="宋体"/>
                <w:color w:val="auto"/>
                <w:lang w:val="en-US" w:eastAsia="zh-CN"/>
              </w:rPr>
            </w:pPr>
            <w:r>
              <w:rPr>
                <w:rFonts w:hint="eastAsia"/>
                <w:color w:val="auto"/>
                <w:lang w:val="en-US" w:eastAsia="zh-CN"/>
              </w:rPr>
              <w:t>约32</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A82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color w:val="auto"/>
                <w:lang w:val="en-US" w:eastAsia="zh-CN"/>
              </w:rPr>
            </w:pPr>
            <w:r>
              <w:rPr>
                <w:rFonts w:hint="eastAsia"/>
                <w:color w:val="auto"/>
                <w:lang w:val="en-US" w:eastAsia="zh-CN"/>
              </w:rPr>
              <w:t>2套罐体的装填量</w:t>
            </w:r>
          </w:p>
        </w:tc>
      </w:tr>
      <w:tr w14:paraId="670D4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 w:hRule="atLeast"/>
          <w:tblHeader/>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6E26">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color w:val="auto"/>
                <w:lang w:val="en-US" w:eastAsia="zh-CN"/>
              </w:rPr>
            </w:pPr>
            <w:r>
              <w:rPr>
                <w:rFonts w:hint="eastAsia"/>
                <w:color w:val="auto"/>
                <w:lang w:val="en-US" w:eastAsia="zh-CN"/>
              </w:rPr>
              <w:t>1.3</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172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color w:val="auto"/>
                <w:lang w:val="en-US" w:eastAsia="zh-CN"/>
              </w:rPr>
            </w:pPr>
            <w:r>
              <w:rPr>
                <w:rFonts w:hint="eastAsia"/>
                <w:color w:val="auto"/>
                <w:lang w:val="en-US" w:eastAsia="zh-CN"/>
              </w:rPr>
              <w:t>设备本体管道</w:t>
            </w:r>
          </w:p>
        </w:tc>
        <w:tc>
          <w:tcPr>
            <w:tcW w:w="4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7DA2">
            <w:pPr>
              <w:keepNext w:val="0"/>
              <w:keepLines w:val="0"/>
              <w:pageBreakBefore w:val="0"/>
              <w:widowControl/>
              <w:kinsoku/>
              <w:wordWrap/>
              <w:overflowPunct/>
              <w:topLinePunct w:val="0"/>
              <w:autoSpaceDE/>
              <w:autoSpaceDN/>
              <w:bidi w:val="0"/>
              <w:adjustRightInd/>
              <w:snapToGrid/>
              <w:ind w:firstLine="0" w:firstLineChars="0"/>
              <w:jc w:val="both"/>
              <w:textAlignment w:val="auto"/>
              <w:rPr>
                <w:rFonts w:hint="default"/>
                <w:color w:val="auto"/>
                <w:lang w:val="en-US" w:eastAsia="zh-CN"/>
              </w:rPr>
            </w:pPr>
            <w:r>
              <w:rPr>
                <w:rFonts w:hint="eastAsia"/>
                <w:color w:val="auto"/>
                <w:lang w:val="en-US" w:eastAsia="zh-CN"/>
              </w:rPr>
              <w:t>碳钢衬胶，衬胶厚度3mm</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A87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color w:val="auto"/>
                <w:lang w:val="en-US" w:eastAsia="zh-CN"/>
              </w:rPr>
            </w:pPr>
            <w:r>
              <w:rPr>
                <w:rFonts w:hint="eastAsia"/>
                <w:color w:val="auto"/>
              </w:rPr>
              <w:t>项</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565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color w:val="auto"/>
                <w:lang w:val="en-US" w:eastAsia="zh-CN"/>
              </w:rPr>
            </w:pPr>
            <w:r>
              <w:rPr>
                <w:rFonts w:hint="eastAsia"/>
                <w:color w:val="auto"/>
              </w:rPr>
              <w:t>1</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F500">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color w:val="auto"/>
                <w:lang w:val="en-US" w:eastAsia="zh-CN"/>
              </w:rPr>
            </w:pPr>
            <w:r>
              <w:rPr>
                <w:rFonts w:hint="eastAsia"/>
                <w:color w:val="auto"/>
                <w:lang w:val="en-US" w:eastAsia="zh-CN"/>
              </w:rPr>
              <w:t>配套</w:t>
            </w:r>
          </w:p>
        </w:tc>
      </w:tr>
      <w:tr w14:paraId="6C306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 w:hRule="atLeast"/>
          <w:tblHeader/>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6D8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color w:val="auto"/>
                <w:lang w:val="en-US" w:eastAsia="zh-CN"/>
              </w:rPr>
            </w:pPr>
            <w:r>
              <w:rPr>
                <w:rFonts w:hint="eastAsia"/>
                <w:color w:val="auto"/>
                <w:lang w:val="en-US" w:eastAsia="zh-CN"/>
              </w:rPr>
              <w:t>1.4</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A7C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color w:val="auto"/>
                <w:lang w:val="en-US" w:eastAsia="zh-CN"/>
              </w:rPr>
            </w:pPr>
            <w:r>
              <w:rPr>
                <w:rFonts w:hint="eastAsia"/>
                <w:color w:val="auto"/>
                <w:lang w:val="en-US" w:eastAsia="zh-CN"/>
              </w:rPr>
              <w:t>本体阀门</w:t>
            </w:r>
          </w:p>
        </w:tc>
        <w:tc>
          <w:tcPr>
            <w:tcW w:w="4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1A9E">
            <w:pPr>
              <w:keepNext w:val="0"/>
              <w:keepLines w:val="0"/>
              <w:pageBreakBefore w:val="0"/>
              <w:widowControl/>
              <w:kinsoku/>
              <w:wordWrap/>
              <w:overflowPunct/>
              <w:topLinePunct w:val="0"/>
              <w:autoSpaceDE/>
              <w:autoSpaceDN/>
              <w:bidi w:val="0"/>
              <w:adjustRightInd/>
              <w:snapToGrid/>
              <w:ind w:firstLine="0" w:firstLineChars="0"/>
              <w:jc w:val="both"/>
              <w:textAlignment w:val="auto"/>
              <w:rPr>
                <w:rFonts w:hint="default"/>
                <w:color w:val="auto"/>
                <w:lang w:val="en-US" w:eastAsia="zh-CN"/>
              </w:rPr>
            </w:pPr>
            <w:r>
              <w:rPr>
                <w:rFonts w:hint="eastAsia"/>
                <w:color w:val="auto"/>
                <w:lang w:val="en-US" w:eastAsia="zh-CN"/>
              </w:rPr>
              <w:t>阀体铸铁，阀板SS304不锈钢</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183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eastAsia="宋体"/>
                <w:color w:val="auto"/>
                <w:lang w:val="en-US" w:eastAsia="zh-CN"/>
              </w:rPr>
            </w:pPr>
            <w:r>
              <w:rPr>
                <w:rFonts w:hint="eastAsia"/>
                <w:color w:val="auto"/>
                <w:lang w:val="en-US" w:eastAsia="zh-CN"/>
              </w:rPr>
              <w:t>项</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771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eastAsia="宋体"/>
                <w:color w:val="auto"/>
                <w:lang w:val="en-US" w:eastAsia="zh-CN"/>
              </w:rPr>
            </w:pPr>
            <w:r>
              <w:rPr>
                <w:rFonts w:hint="eastAsia"/>
                <w:color w:val="auto"/>
                <w:lang w:val="en-US" w:eastAsia="zh-CN"/>
              </w:rPr>
              <w:t>1</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99B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color w:val="auto"/>
                <w:lang w:val="en-US" w:eastAsia="zh-CN"/>
              </w:rPr>
            </w:pPr>
            <w:r>
              <w:rPr>
                <w:rFonts w:hint="eastAsia"/>
                <w:color w:val="auto"/>
                <w:lang w:val="en-US" w:eastAsia="zh-CN"/>
              </w:rPr>
              <w:t>配套</w:t>
            </w:r>
          </w:p>
        </w:tc>
      </w:tr>
      <w:tr w14:paraId="076F7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 w:hRule="atLeast"/>
          <w:tblHeader/>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67D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color w:val="auto"/>
                <w:lang w:val="en-US" w:eastAsia="zh-CN"/>
              </w:rPr>
            </w:pPr>
            <w:r>
              <w:rPr>
                <w:rFonts w:hint="eastAsia"/>
                <w:color w:val="auto"/>
                <w:lang w:val="en-US" w:eastAsia="zh-CN"/>
              </w:rPr>
              <w:t>1.5</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D3F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color w:val="auto"/>
                <w:lang w:val="en-US" w:eastAsia="zh-CN"/>
              </w:rPr>
            </w:pPr>
            <w:r>
              <w:rPr>
                <w:rFonts w:hint="eastAsia"/>
                <w:color w:val="auto"/>
                <w:lang w:val="en-US" w:eastAsia="zh-CN"/>
              </w:rPr>
              <w:t>爬梯、护栏附件</w:t>
            </w:r>
          </w:p>
        </w:tc>
        <w:tc>
          <w:tcPr>
            <w:tcW w:w="4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378A">
            <w:pPr>
              <w:keepNext w:val="0"/>
              <w:keepLines w:val="0"/>
              <w:pageBreakBefore w:val="0"/>
              <w:widowControl/>
              <w:kinsoku/>
              <w:wordWrap/>
              <w:overflowPunct/>
              <w:topLinePunct w:val="0"/>
              <w:autoSpaceDE/>
              <w:autoSpaceDN/>
              <w:bidi w:val="0"/>
              <w:adjustRightInd/>
              <w:snapToGrid/>
              <w:ind w:firstLine="0" w:firstLineChars="0"/>
              <w:jc w:val="both"/>
              <w:textAlignment w:val="auto"/>
              <w:rPr>
                <w:rFonts w:hint="default"/>
                <w:color w:val="auto"/>
                <w:lang w:val="en-US" w:eastAsia="zh-CN"/>
              </w:rPr>
            </w:pPr>
            <w:r>
              <w:rPr>
                <w:rFonts w:hint="eastAsia"/>
                <w:color w:val="auto"/>
                <w:lang w:val="en-US" w:eastAsia="zh-CN"/>
              </w:rPr>
              <w:t>碳钢防腐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378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color w:val="auto"/>
                <w:lang w:val="en-US" w:eastAsia="zh-CN"/>
              </w:rPr>
            </w:pPr>
            <w:r>
              <w:rPr>
                <w:rFonts w:hint="eastAsia"/>
                <w:color w:val="auto"/>
                <w:lang w:val="en-US" w:eastAsia="zh-CN"/>
              </w:rPr>
              <w:t>项</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A68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color w:val="auto"/>
                <w:lang w:val="en-US" w:eastAsia="zh-CN"/>
              </w:rPr>
            </w:pPr>
            <w:r>
              <w:rPr>
                <w:rFonts w:hint="eastAsia"/>
                <w:color w:val="auto"/>
                <w:lang w:val="en-US" w:eastAsia="zh-CN"/>
              </w:rPr>
              <w:t>1</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8DF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color w:val="auto"/>
                <w:lang w:val="en-US" w:eastAsia="zh-CN"/>
              </w:rPr>
            </w:pPr>
            <w:r>
              <w:rPr>
                <w:rFonts w:hint="eastAsia"/>
                <w:color w:val="auto"/>
                <w:lang w:val="en-US" w:eastAsia="zh-CN"/>
              </w:rPr>
              <w:t>配套</w:t>
            </w:r>
          </w:p>
        </w:tc>
      </w:tr>
      <w:tr w14:paraId="112AE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 w:hRule="atLeast"/>
          <w:tblHeader/>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BAB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color w:val="auto"/>
                <w:lang w:val="en-US" w:eastAsia="zh-CN"/>
              </w:rPr>
            </w:pPr>
            <w:r>
              <w:rPr>
                <w:rFonts w:hint="eastAsia"/>
                <w:color w:val="auto"/>
                <w:lang w:val="en-US" w:eastAsia="zh-CN"/>
              </w:rPr>
              <w:t>2</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25E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color w:val="auto"/>
                <w:lang w:val="en-US" w:eastAsia="zh-CN"/>
              </w:rPr>
            </w:pPr>
            <w:r>
              <w:rPr>
                <w:rFonts w:hint="eastAsia"/>
                <w:color w:val="auto"/>
                <w:lang w:val="en-US" w:eastAsia="zh-CN"/>
              </w:rPr>
              <w:t>系统内工艺管道</w:t>
            </w:r>
          </w:p>
        </w:tc>
        <w:tc>
          <w:tcPr>
            <w:tcW w:w="4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F744">
            <w:pPr>
              <w:keepNext w:val="0"/>
              <w:keepLines w:val="0"/>
              <w:pageBreakBefore w:val="0"/>
              <w:widowControl/>
              <w:kinsoku/>
              <w:wordWrap/>
              <w:overflowPunct/>
              <w:topLinePunct w:val="0"/>
              <w:autoSpaceDE/>
              <w:autoSpaceDN/>
              <w:bidi w:val="0"/>
              <w:adjustRightInd/>
              <w:snapToGrid/>
              <w:ind w:firstLine="0" w:firstLineChars="0"/>
              <w:jc w:val="both"/>
              <w:textAlignment w:val="auto"/>
              <w:rPr>
                <w:rFonts w:hint="default"/>
                <w:color w:val="auto"/>
                <w:lang w:val="en-US" w:eastAsia="zh-CN"/>
              </w:rPr>
            </w:pPr>
            <w:r>
              <w:rPr>
                <w:rFonts w:hint="eastAsia"/>
                <w:color w:val="auto"/>
                <w:lang w:val="en-US" w:eastAsia="zh-CN"/>
              </w:rPr>
              <w:t>碳钢衬胶，衬胶厚度3mm</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08BE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color w:val="auto"/>
                <w:lang w:val="en-US" w:eastAsia="zh-CN"/>
              </w:rPr>
            </w:pPr>
            <w:r>
              <w:rPr>
                <w:rFonts w:hint="eastAsia"/>
                <w:color w:val="auto"/>
                <w:lang w:val="en-US" w:eastAsia="zh-CN"/>
              </w:rPr>
              <w:t>批</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4E2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color w:val="auto"/>
                <w:lang w:val="en-US" w:eastAsia="zh-CN"/>
              </w:rPr>
            </w:pPr>
            <w:r>
              <w:rPr>
                <w:rFonts w:hint="eastAsia"/>
                <w:color w:val="auto"/>
                <w:lang w:val="en-US" w:eastAsia="zh-CN"/>
              </w:rPr>
              <w:t>1</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E09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color w:val="auto"/>
                <w:lang w:val="en-US" w:eastAsia="zh-CN"/>
              </w:rPr>
            </w:pPr>
            <w:r>
              <w:rPr>
                <w:rFonts w:hint="eastAsia"/>
                <w:color w:val="auto"/>
                <w:lang w:val="en-US" w:eastAsia="zh-CN"/>
              </w:rPr>
              <w:t>工艺内</w:t>
            </w:r>
          </w:p>
        </w:tc>
      </w:tr>
      <w:tr w14:paraId="7A5D8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 w:hRule="atLeast"/>
          <w:tblHeader/>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59E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color w:val="auto"/>
                <w:lang w:val="en-US" w:eastAsia="zh-CN"/>
              </w:rPr>
            </w:pPr>
            <w:r>
              <w:rPr>
                <w:rFonts w:hint="eastAsia"/>
                <w:color w:val="auto"/>
                <w:lang w:val="en-US" w:eastAsia="zh-CN"/>
              </w:rPr>
              <w:t>3</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868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color w:val="auto"/>
                <w:lang w:val="en-US" w:eastAsia="zh-CN"/>
              </w:rPr>
            </w:pPr>
            <w:r>
              <w:rPr>
                <w:rFonts w:hint="eastAsia"/>
                <w:color w:val="auto"/>
                <w:lang w:val="en-US" w:eastAsia="zh-CN"/>
              </w:rPr>
              <w:t>系统内阀门</w:t>
            </w:r>
          </w:p>
        </w:tc>
        <w:tc>
          <w:tcPr>
            <w:tcW w:w="4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1543">
            <w:pPr>
              <w:keepNext w:val="0"/>
              <w:keepLines w:val="0"/>
              <w:pageBreakBefore w:val="0"/>
              <w:widowControl/>
              <w:kinsoku/>
              <w:wordWrap/>
              <w:overflowPunct/>
              <w:topLinePunct w:val="0"/>
              <w:autoSpaceDE/>
              <w:autoSpaceDN/>
              <w:bidi w:val="0"/>
              <w:adjustRightInd/>
              <w:snapToGrid/>
              <w:ind w:firstLine="0" w:firstLineChars="0"/>
              <w:jc w:val="both"/>
              <w:textAlignment w:val="auto"/>
              <w:rPr>
                <w:rFonts w:hint="eastAsia"/>
                <w:color w:val="auto"/>
                <w:lang w:val="en-US" w:eastAsia="zh-CN"/>
              </w:rPr>
            </w:pPr>
            <w:r>
              <w:rPr>
                <w:rFonts w:hint="eastAsia"/>
                <w:color w:val="auto"/>
                <w:lang w:val="en-US" w:eastAsia="zh-CN"/>
              </w:rPr>
              <w:t>阀体铸铁，阀板SS304不锈钢</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25BC">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color w:val="auto"/>
                <w:lang w:val="en-US" w:eastAsia="zh-CN"/>
              </w:rPr>
            </w:pPr>
            <w:r>
              <w:rPr>
                <w:rFonts w:hint="eastAsia"/>
                <w:color w:val="auto"/>
                <w:lang w:val="en-US" w:eastAsia="zh-CN"/>
              </w:rPr>
              <w:t>批</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2C7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color w:val="auto"/>
                <w:lang w:val="en-US" w:eastAsia="zh-CN"/>
              </w:rPr>
            </w:pPr>
            <w:r>
              <w:rPr>
                <w:rFonts w:hint="eastAsia"/>
                <w:color w:val="auto"/>
                <w:lang w:val="en-US" w:eastAsia="zh-CN"/>
              </w:rPr>
              <w:t>1</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900C">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color w:val="auto"/>
                <w:lang w:val="en-US" w:eastAsia="zh-CN"/>
              </w:rPr>
            </w:pPr>
            <w:r>
              <w:rPr>
                <w:rFonts w:hint="eastAsia"/>
                <w:color w:val="auto"/>
                <w:lang w:val="en-US" w:eastAsia="zh-CN"/>
              </w:rPr>
              <w:t>工艺内</w:t>
            </w:r>
          </w:p>
        </w:tc>
      </w:tr>
      <w:tr w14:paraId="1DC6D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 w:hRule="atLeast"/>
          <w:tblHeader/>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861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color w:val="auto"/>
                <w:lang w:val="en-US" w:eastAsia="zh-CN"/>
              </w:rPr>
            </w:pPr>
            <w:r>
              <w:rPr>
                <w:rFonts w:hint="eastAsia"/>
                <w:color w:val="auto"/>
                <w:lang w:val="en-US" w:eastAsia="zh-CN"/>
              </w:rPr>
              <w:t>4</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4E2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color w:val="auto"/>
                <w:lang w:val="en-US" w:eastAsia="zh-CN"/>
              </w:rPr>
            </w:pPr>
            <w:r>
              <w:rPr>
                <w:rFonts w:hint="eastAsia"/>
                <w:color w:val="auto"/>
                <w:lang w:val="en-US" w:eastAsia="zh-CN"/>
              </w:rPr>
              <w:t>系统连接附件</w:t>
            </w:r>
          </w:p>
        </w:tc>
        <w:tc>
          <w:tcPr>
            <w:tcW w:w="4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87B8">
            <w:pPr>
              <w:keepNext w:val="0"/>
              <w:keepLines w:val="0"/>
              <w:pageBreakBefore w:val="0"/>
              <w:widowControl/>
              <w:kinsoku/>
              <w:wordWrap/>
              <w:overflowPunct/>
              <w:topLinePunct w:val="0"/>
              <w:autoSpaceDE/>
              <w:autoSpaceDN/>
              <w:bidi w:val="0"/>
              <w:adjustRightInd/>
              <w:snapToGrid/>
              <w:ind w:firstLine="0" w:firstLineChars="0"/>
              <w:jc w:val="both"/>
              <w:textAlignment w:val="auto"/>
              <w:rPr>
                <w:rFonts w:hint="default"/>
                <w:color w:val="auto"/>
                <w:lang w:val="en-US" w:eastAsia="zh-CN"/>
              </w:rPr>
            </w:pPr>
            <w:r>
              <w:rPr>
                <w:rFonts w:hint="eastAsia"/>
                <w:color w:val="auto"/>
                <w:lang w:val="en-US" w:eastAsia="zh-CN"/>
              </w:rPr>
              <w:t>配套</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F8A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color w:val="auto"/>
                <w:lang w:val="en-US" w:eastAsia="zh-CN"/>
              </w:rPr>
            </w:pPr>
            <w:r>
              <w:rPr>
                <w:rFonts w:hint="eastAsia"/>
                <w:color w:val="auto"/>
                <w:lang w:val="en-US" w:eastAsia="zh-CN"/>
              </w:rPr>
              <w:t>批</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166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color w:val="auto"/>
                <w:lang w:val="en-US" w:eastAsia="zh-CN"/>
              </w:rPr>
            </w:pPr>
            <w:r>
              <w:rPr>
                <w:rFonts w:hint="eastAsia"/>
                <w:color w:val="auto"/>
                <w:lang w:val="en-US" w:eastAsia="zh-CN"/>
              </w:rPr>
              <w:t>1</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9FD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color w:val="auto"/>
                <w:lang w:val="en-US" w:eastAsia="zh-CN"/>
              </w:rPr>
            </w:pPr>
          </w:p>
        </w:tc>
      </w:tr>
    </w:tbl>
    <w:p w14:paraId="49792566">
      <w:pPr>
        <w:numPr>
          <w:ilvl w:val="0"/>
          <w:numId w:val="0"/>
        </w:numPr>
        <w:spacing w:line="360" w:lineRule="auto"/>
        <w:ind w:leftChars="0" w:firstLine="420" w:firstLineChars="0"/>
        <w:rPr>
          <w:rFonts w:hint="eastAsia" w:eastAsiaTheme="minorEastAsia"/>
          <w:color w:val="auto"/>
          <w:sz w:val="24"/>
          <w:szCs w:val="24"/>
          <w:highlight w:val="none"/>
          <w:lang w:val="en-US" w:eastAsia="zh-CN"/>
        </w:rPr>
      </w:pPr>
    </w:p>
    <w:p w14:paraId="1E9DD58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bCs/>
          <w:color w:val="auto"/>
          <w:sz w:val="24"/>
          <w:szCs w:val="22"/>
          <w:lang w:val="en-US" w:eastAsia="zh-CN"/>
        </w:rPr>
      </w:pPr>
      <w:r>
        <w:rPr>
          <w:rFonts w:hint="default" w:ascii="Times New Roman" w:hAnsi="Times New Roman" w:eastAsia="宋体" w:cs="Times New Roman"/>
          <w:b/>
          <w:bCs/>
          <w:color w:val="auto"/>
          <w:kern w:val="2"/>
          <w:sz w:val="24"/>
          <w:szCs w:val="24"/>
          <w:lang w:val="en-US" w:eastAsia="zh-CN" w:bidi="ar-SA"/>
        </w:rPr>
        <w:t>（3）</w:t>
      </w:r>
      <w:r>
        <w:rPr>
          <w:rFonts w:hint="eastAsia" w:ascii="Times New Roman" w:hAnsi="Times New Roman" w:eastAsia="宋体" w:cs="Times New Roman"/>
          <w:b/>
          <w:bCs/>
          <w:color w:val="auto"/>
          <w:sz w:val="24"/>
          <w:szCs w:val="22"/>
          <w:lang w:val="en-US" w:eastAsia="zh-CN"/>
        </w:rPr>
        <w:t>技术规范</w:t>
      </w:r>
    </w:p>
    <w:p w14:paraId="5F5436F0">
      <w:pPr>
        <w:keepNext w:val="0"/>
        <w:keepLines w:val="0"/>
        <w:pageBreakBefore w:val="0"/>
        <w:widowControl w:val="0"/>
        <w:numPr>
          <w:ilvl w:val="0"/>
          <w:numId w:val="24"/>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工艺参数要求</w:t>
      </w:r>
    </w:p>
    <w:tbl>
      <w:tblPr>
        <w:tblStyle w:val="27"/>
        <w:tblW w:w="9345" w:type="dxa"/>
        <w:tblInd w:w="-8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865"/>
        <w:gridCol w:w="1305"/>
        <w:gridCol w:w="5175"/>
      </w:tblGrid>
      <w:tr w14:paraId="13618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trPr>
        <w:tc>
          <w:tcPr>
            <w:tcW w:w="2865" w:type="dxa"/>
            <w:tcBorders>
              <w:top w:val="single" w:color="000000" w:sz="4" w:space="0"/>
              <w:left w:val="single" w:color="000000" w:sz="4" w:space="0"/>
              <w:bottom w:val="single" w:color="000000" w:sz="4" w:space="0"/>
              <w:right w:val="single" w:color="000000" w:sz="4" w:space="0"/>
            </w:tcBorders>
            <w:vAlign w:val="center"/>
          </w:tcPr>
          <w:p w14:paraId="0F273F13">
            <w:pPr>
              <w:keepNext w:val="0"/>
              <w:keepLines w:val="0"/>
              <w:pageBreakBefore w:val="0"/>
              <w:widowControl w:val="0"/>
              <w:kinsoku/>
              <w:wordWrap/>
              <w:overflowPunct/>
              <w:topLinePunct w:val="0"/>
              <w:autoSpaceDE/>
              <w:autoSpaceDN/>
              <w:bidi w:val="0"/>
              <w:adjustRightInd/>
              <w:snapToGrid/>
              <w:spacing w:before="0" w:beforeAutospacing="0" w:afterAutospacing="0" w:line="240" w:lineRule="auto"/>
              <w:ind w:firstLine="0" w:firstLineChars="0"/>
              <w:jc w:val="center"/>
              <w:textAlignment w:val="baseline"/>
              <w:rPr>
                <w:rStyle w:val="89"/>
                <w:rFonts w:hint="eastAsia" w:ascii="宋体" w:hAnsi="宋体" w:eastAsia="宋体" w:cs="宋体"/>
                <w:b w:val="0"/>
                <w:i w:val="0"/>
                <w:caps w:val="0"/>
                <w:color w:val="auto"/>
                <w:spacing w:val="0"/>
                <w:w w:val="100"/>
                <w:kern w:val="2"/>
                <w:sz w:val="24"/>
                <w:szCs w:val="24"/>
                <w:lang w:val="en-US" w:eastAsia="zh-CN" w:bidi="ar-SA"/>
              </w:rPr>
            </w:pPr>
            <w:r>
              <w:rPr>
                <w:rStyle w:val="89"/>
                <w:rFonts w:hint="eastAsia" w:ascii="宋体" w:hAnsi="宋体" w:eastAsia="宋体" w:cs="宋体"/>
                <w:b w:val="0"/>
                <w:i w:val="0"/>
                <w:caps w:val="0"/>
                <w:color w:val="auto"/>
                <w:spacing w:val="0"/>
                <w:w w:val="100"/>
                <w:kern w:val="2"/>
                <w:sz w:val="24"/>
                <w:szCs w:val="24"/>
                <w:lang w:val="en-US" w:eastAsia="zh-CN" w:bidi="ar-SA"/>
              </w:rPr>
              <w:t>项目</w:t>
            </w:r>
          </w:p>
        </w:tc>
        <w:tc>
          <w:tcPr>
            <w:tcW w:w="1305" w:type="dxa"/>
            <w:tcBorders>
              <w:top w:val="single" w:color="000000" w:sz="4" w:space="0"/>
              <w:left w:val="nil"/>
              <w:bottom w:val="single" w:color="000000" w:sz="4" w:space="0"/>
              <w:right w:val="single" w:color="000000" w:sz="4" w:space="0"/>
            </w:tcBorders>
            <w:vAlign w:val="center"/>
          </w:tcPr>
          <w:p w14:paraId="16EEB071">
            <w:pPr>
              <w:keepNext w:val="0"/>
              <w:keepLines w:val="0"/>
              <w:pageBreakBefore w:val="0"/>
              <w:widowControl w:val="0"/>
              <w:kinsoku/>
              <w:wordWrap/>
              <w:overflowPunct/>
              <w:topLinePunct w:val="0"/>
              <w:autoSpaceDE/>
              <w:autoSpaceDN/>
              <w:bidi w:val="0"/>
              <w:adjustRightInd/>
              <w:snapToGrid/>
              <w:spacing w:before="0" w:beforeAutospacing="0" w:afterAutospacing="0" w:line="240" w:lineRule="auto"/>
              <w:ind w:firstLine="0" w:firstLineChars="0"/>
              <w:jc w:val="center"/>
              <w:textAlignment w:val="baseline"/>
              <w:rPr>
                <w:rStyle w:val="89"/>
                <w:rFonts w:hint="eastAsia" w:ascii="宋体" w:hAnsi="宋体" w:eastAsia="宋体" w:cs="宋体"/>
                <w:b w:val="0"/>
                <w:i w:val="0"/>
                <w:caps w:val="0"/>
                <w:color w:val="auto"/>
                <w:spacing w:val="0"/>
                <w:w w:val="100"/>
                <w:kern w:val="2"/>
                <w:sz w:val="24"/>
                <w:szCs w:val="24"/>
                <w:lang w:val="en-US" w:eastAsia="zh-CN" w:bidi="ar-SA"/>
              </w:rPr>
            </w:pPr>
            <w:r>
              <w:rPr>
                <w:rStyle w:val="89"/>
                <w:rFonts w:hint="eastAsia" w:ascii="宋体" w:hAnsi="宋体" w:eastAsia="宋体" w:cs="宋体"/>
                <w:b w:val="0"/>
                <w:i w:val="0"/>
                <w:caps w:val="0"/>
                <w:color w:val="auto"/>
                <w:spacing w:val="0"/>
                <w:w w:val="100"/>
                <w:kern w:val="2"/>
                <w:sz w:val="24"/>
                <w:szCs w:val="24"/>
                <w:lang w:val="en-US" w:eastAsia="zh-CN" w:bidi="ar-SA"/>
              </w:rPr>
              <w:t>单位</w:t>
            </w:r>
          </w:p>
        </w:tc>
        <w:tc>
          <w:tcPr>
            <w:tcW w:w="5175" w:type="dxa"/>
            <w:tcBorders>
              <w:top w:val="single" w:color="000000" w:sz="4" w:space="0"/>
              <w:left w:val="nil"/>
              <w:bottom w:val="single" w:color="000000" w:sz="4" w:space="0"/>
              <w:right w:val="single" w:color="000000" w:sz="4" w:space="0"/>
            </w:tcBorders>
            <w:vAlign w:val="center"/>
          </w:tcPr>
          <w:p w14:paraId="7AD1F61A">
            <w:pPr>
              <w:keepNext w:val="0"/>
              <w:keepLines w:val="0"/>
              <w:pageBreakBefore w:val="0"/>
              <w:widowControl w:val="0"/>
              <w:kinsoku/>
              <w:wordWrap/>
              <w:overflowPunct/>
              <w:topLinePunct w:val="0"/>
              <w:autoSpaceDE/>
              <w:autoSpaceDN/>
              <w:bidi w:val="0"/>
              <w:adjustRightInd/>
              <w:snapToGrid/>
              <w:spacing w:before="0" w:beforeAutospacing="0" w:afterAutospacing="0" w:line="240" w:lineRule="auto"/>
              <w:ind w:firstLine="0" w:firstLineChars="0"/>
              <w:jc w:val="center"/>
              <w:textAlignment w:val="baseline"/>
              <w:rPr>
                <w:rStyle w:val="89"/>
                <w:rFonts w:hint="eastAsia" w:ascii="宋体" w:hAnsi="宋体" w:eastAsia="宋体" w:cs="宋体"/>
                <w:b w:val="0"/>
                <w:i w:val="0"/>
                <w:caps w:val="0"/>
                <w:color w:val="auto"/>
                <w:spacing w:val="0"/>
                <w:w w:val="100"/>
                <w:kern w:val="2"/>
                <w:sz w:val="24"/>
                <w:szCs w:val="24"/>
                <w:lang w:val="en-US" w:eastAsia="zh-CN" w:bidi="ar-SA"/>
              </w:rPr>
            </w:pPr>
            <w:r>
              <w:rPr>
                <w:rStyle w:val="89"/>
                <w:rFonts w:hint="eastAsia" w:ascii="宋体" w:hAnsi="宋体" w:eastAsia="宋体" w:cs="宋体"/>
                <w:b w:val="0"/>
                <w:i w:val="0"/>
                <w:caps w:val="0"/>
                <w:color w:val="auto"/>
                <w:spacing w:val="0"/>
                <w:w w:val="100"/>
                <w:kern w:val="2"/>
                <w:sz w:val="24"/>
                <w:szCs w:val="24"/>
                <w:lang w:val="en-US" w:eastAsia="zh-CN" w:bidi="ar-SA"/>
              </w:rPr>
              <w:t>参数</w:t>
            </w:r>
          </w:p>
        </w:tc>
      </w:tr>
      <w:tr w14:paraId="18F69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2" w:hRule="exact"/>
        </w:trPr>
        <w:tc>
          <w:tcPr>
            <w:tcW w:w="2865" w:type="dxa"/>
            <w:tcBorders>
              <w:top w:val="nil"/>
              <w:left w:val="single" w:color="000000" w:sz="4" w:space="0"/>
              <w:bottom w:val="single" w:color="000000" w:sz="4" w:space="0"/>
              <w:right w:val="single" w:color="000000" w:sz="4" w:space="0"/>
            </w:tcBorders>
            <w:vAlign w:val="center"/>
          </w:tcPr>
          <w:p w14:paraId="710735C4">
            <w:pPr>
              <w:keepNext w:val="0"/>
              <w:keepLines w:val="0"/>
              <w:pageBreakBefore w:val="0"/>
              <w:widowControl w:val="0"/>
              <w:kinsoku/>
              <w:wordWrap/>
              <w:overflowPunct/>
              <w:topLinePunct w:val="0"/>
              <w:autoSpaceDE/>
              <w:autoSpaceDN/>
              <w:bidi w:val="0"/>
              <w:adjustRightInd/>
              <w:snapToGrid/>
              <w:spacing w:before="0" w:beforeAutospacing="0" w:afterAutospacing="0" w:line="240" w:lineRule="auto"/>
              <w:ind w:firstLine="0" w:firstLineChars="0"/>
              <w:jc w:val="center"/>
              <w:textAlignment w:val="baseline"/>
              <w:rPr>
                <w:rStyle w:val="89"/>
                <w:rFonts w:hint="default" w:ascii="宋体" w:hAnsi="宋体" w:eastAsia="宋体" w:cs="宋体"/>
                <w:b w:val="0"/>
                <w:i w:val="0"/>
                <w:caps w:val="0"/>
                <w:color w:val="auto"/>
                <w:spacing w:val="0"/>
                <w:w w:val="100"/>
                <w:kern w:val="2"/>
                <w:sz w:val="24"/>
                <w:szCs w:val="24"/>
                <w:lang w:val="en-US" w:eastAsia="zh-CN" w:bidi="ar-SA"/>
              </w:rPr>
            </w:pPr>
            <w:r>
              <w:rPr>
                <w:rStyle w:val="89"/>
                <w:rFonts w:hint="eastAsia" w:ascii="宋体" w:hAnsi="宋体" w:cs="宋体"/>
                <w:b w:val="0"/>
                <w:i w:val="0"/>
                <w:caps w:val="0"/>
                <w:color w:val="auto"/>
                <w:spacing w:val="0"/>
                <w:w w:val="100"/>
                <w:kern w:val="2"/>
                <w:sz w:val="24"/>
                <w:szCs w:val="24"/>
                <w:lang w:val="en-US" w:eastAsia="zh-CN" w:bidi="ar-SA"/>
              </w:rPr>
              <w:t>设计规模</w:t>
            </w:r>
          </w:p>
        </w:tc>
        <w:tc>
          <w:tcPr>
            <w:tcW w:w="1305" w:type="dxa"/>
            <w:tcBorders>
              <w:top w:val="nil"/>
              <w:left w:val="nil"/>
              <w:bottom w:val="single" w:color="000000" w:sz="4" w:space="0"/>
              <w:right w:val="single" w:color="000000" w:sz="4" w:space="0"/>
            </w:tcBorders>
            <w:vAlign w:val="center"/>
          </w:tcPr>
          <w:p w14:paraId="7736CF5A">
            <w:pPr>
              <w:keepNext w:val="0"/>
              <w:keepLines w:val="0"/>
              <w:pageBreakBefore w:val="0"/>
              <w:widowControl w:val="0"/>
              <w:kinsoku/>
              <w:wordWrap/>
              <w:overflowPunct/>
              <w:topLinePunct w:val="0"/>
              <w:autoSpaceDE/>
              <w:autoSpaceDN/>
              <w:bidi w:val="0"/>
              <w:adjustRightInd/>
              <w:snapToGrid/>
              <w:spacing w:before="0" w:beforeAutospacing="0" w:afterAutospacing="0" w:line="240" w:lineRule="auto"/>
              <w:ind w:firstLine="0" w:firstLineChars="0"/>
              <w:jc w:val="center"/>
              <w:textAlignment w:val="baseline"/>
              <w:rPr>
                <w:rStyle w:val="89"/>
                <w:rFonts w:hint="default" w:cs="宋体"/>
                <w:b w:val="0"/>
                <w:i w:val="0"/>
                <w:caps w:val="0"/>
                <w:color w:val="auto"/>
                <w:spacing w:val="0"/>
                <w:w w:val="100"/>
                <w:kern w:val="2"/>
                <w:sz w:val="24"/>
                <w:szCs w:val="24"/>
                <w:lang w:val="en-US" w:eastAsia="zh-CN" w:bidi="ar-SA"/>
              </w:rPr>
            </w:pPr>
            <w:r>
              <w:rPr>
                <w:rFonts w:hint="eastAsia" w:ascii="新宋体" w:hAnsi="新宋体" w:eastAsia="新宋体" w:cs="新宋体"/>
                <w:i w:val="0"/>
                <w:color w:val="auto"/>
                <w:kern w:val="0"/>
                <w:sz w:val="24"/>
                <w:szCs w:val="24"/>
                <w:u w:val="none"/>
                <w:lang w:val="en-US" w:eastAsia="zh-CN" w:bidi="ar"/>
              </w:rPr>
              <w:t>m³/d</w:t>
            </w:r>
          </w:p>
        </w:tc>
        <w:tc>
          <w:tcPr>
            <w:tcW w:w="5175" w:type="dxa"/>
            <w:tcBorders>
              <w:top w:val="nil"/>
              <w:left w:val="nil"/>
              <w:bottom w:val="single" w:color="000000" w:sz="4" w:space="0"/>
              <w:right w:val="single" w:color="000000" w:sz="4" w:space="0"/>
            </w:tcBorders>
            <w:vAlign w:val="center"/>
          </w:tcPr>
          <w:p w14:paraId="26C71BBD">
            <w:pPr>
              <w:keepNext w:val="0"/>
              <w:keepLines w:val="0"/>
              <w:pageBreakBefore w:val="0"/>
              <w:widowControl w:val="0"/>
              <w:kinsoku/>
              <w:wordWrap/>
              <w:overflowPunct/>
              <w:topLinePunct w:val="0"/>
              <w:autoSpaceDE/>
              <w:autoSpaceDN/>
              <w:bidi w:val="0"/>
              <w:adjustRightInd/>
              <w:snapToGrid/>
              <w:spacing w:before="0" w:beforeAutospacing="0" w:afterAutospacing="0" w:line="240" w:lineRule="auto"/>
              <w:ind w:firstLine="0" w:firstLineChars="0"/>
              <w:jc w:val="center"/>
              <w:textAlignment w:val="baseline"/>
              <w:rPr>
                <w:rStyle w:val="89"/>
                <w:rFonts w:hint="default" w:ascii="宋体" w:hAnsi="宋体" w:eastAsia="宋体" w:cs="宋体"/>
                <w:b w:val="0"/>
                <w:i w:val="0"/>
                <w:caps w:val="0"/>
                <w:color w:val="auto"/>
                <w:spacing w:val="0"/>
                <w:w w:val="100"/>
                <w:kern w:val="2"/>
                <w:sz w:val="24"/>
                <w:szCs w:val="24"/>
                <w:highlight w:val="yellow"/>
                <w:lang w:val="en-US" w:eastAsia="zh-CN" w:bidi="ar-SA"/>
              </w:rPr>
            </w:pPr>
            <w:r>
              <w:rPr>
                <w:rFonts w:hint="eastAsia" w:ascii="宋体" w:hAnsi="宋体" w:eastAsia="宋体" w:cs="宋体"/>
                <w:color w:val="auto"/>
                <w:sz w:val="24"/>
                <w:szCs w:val="24"/>
                <w:lang w:val="en-US" w:eastAsia="zh-CN"/>
              </w:rPr>
              <w:t>3000</w:t>
            </w:r>
          </w:p>
        </w:tc>
      </w:tr>
      <w:tr w14:paraId="59ED5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2865" w:type="dxa"/>
            <w:tcBorders>
              <w:top w:val="nil"/>
              <w:left w:val="single" w:color="000000" w:sz="4" w:space="0"/>
              <w:bottom w:val="single" w:color="000000" w:sz="4" w:space="0"/>
              <w:right w:val="single" w:color="000000" w:sz="4" w:space="0"/>
            </w:tcBorders>
            <w:shd w:val="clear" w:color="auto" w:fill="auto"/>
            <w:vAlign w:val="center"/>
          </w:tcPr>
          <w:p w14:paraId="50B14A03">
            <w:pPr>
              <w:keepNext w:val="0"/>
              <w:keepLines w:val="0"/>
              <w:pageBreakBefore w:val="0"/>
              <w:widowControl w:val="0"/>
              <w:kinsoku/>
              <w:wordWrap/>
              <w:overflowPunct/>
              <w:topLinePunct w:val="0"/>
              <w:autoSpaceDE/>
              <w:autoSpaceDN/>
              <w:bidi w:val="0"/>
              <w:adjustRightInd/>
              <w:snapToGrid/>
              <w:spacing w:before="0" w:beforeAutospacing="0" w:afterAutospacing="0" w:line="240" w:lineRule="auto"/>
              <w:ind w:firstLine="0" w:firstLineChars="0"/>
              <w:jc w:val="center"/>
              <w:textAlignment w:val="baseline"/>
              <w:rPr>
                <w:rFonts w:hint="default" w:ascii="宋体" w:hAnsi="宋体" w:eastAsia="宋体" w:cs="宋体"/>
                <w:b w:val="0"/>
                <w:i w:val="0"/>
                <w:caps w:val="0"/>
                <w:color w:val="auto"/>
                <w:spacing w:val="0"/>
                <w:w w:val="100"/>
                <w:kern w:val="2"/>
                <w:sz w:val="24"/>
                <w:szCs w:val="24"/>
                <w:lang w:val="en-US" w:eastAsia="zh-CN" w:bidi="ar-SA"/>
              </w:rPr>
            </w:pPr>
            <w:r>
              <w:rPr>
                <w:rStyle w:val="89"/>
                <w:rFonts w:hint="eastAsia" w:ascii="宋体" w:hAnsi="宋体" w:eastAsia="宋体" w:cs="宋体"/>
                <w:b w:val="0"/>
                <w:i w:val="0"/>
                <w:caps w:val="0"/>
                <w:color w:val="auto"/>
                <w:spacing w:val="0"/>
                <w:w w:val="100"/>
                <w:kern w:val="2"/>
                <w:sz w:val="24"/>
                <w:szCs w:val="24"/>
                <w:lang w:val="en-US" w:eastAsia="zh-CN" w:bidi="ar-SA"/>
              </w:rPr>
              <w:t>COD吸附量</w:t>
            </w:r>
          </w:p>
        </w:tc>
        <w:tc>
          <w:tcPr>
            <w:tcW w:w="1305" w:type="dxa"/>
            <w:tcBorders>
              <w:top w:val="nil"/>
              <w:left w:val="nil"/>
              <w:bottom w:val="single" w:color="000000" w:sz="4" w:space="0"/>
              <w:right w:val="single" w:color="000000" w:sz="4" w:space="0"/>
            </w:tcBorders>
            <w:shd w:val="clear" w:color="auto" w:fill="auto"/>
            <w:vAlign w:val="center"/>
          </w:tcPr>
          <w:p w14:paraId="2AC139AD">
            <w:pPr>
              <w:keepNext w:val="0"/>
              <w:keepLines w:val="0"/>
              <w:pageBreakBefore w:val="0"/>
              <w:widowControl w:val="0"/>
              <w:kinsoku/>
              <w:wordWrap/>
              <w:overflowPunct/>
              <w:topLinePunct w:val="0"/>
              <w:autoSpaceDE/>
              <w:autoSpaceDN/>
              <w:bidi w:val="0"/>
              <w:adjustRightInd/>
              <w:snapToGrid/>
              <w:spacing w:before="0" w:beforeAutospacing="0" w:afterAutospacing="0" w:line="240" w:lineRule="auto"/>
              <w:ind w:firstLine="0" w:firstLineChars="0"/>
              <w:jc w:val="center"/>
              <w:textAlignment w:val="baseline"/>
              <w:rPr>
                <w:rFonts w:hint="default" w:ascii="宋体" w:hAnsi="宋体" w:eastAsia="宋体" w:cs="宋体"/>
                <w:b w:val="0"/>
                <w:i w:val="0"/>
                <w:caps w:val="0"/>
                <w:color w:val="auto"/>
                <w:spacing w:val="0"/>
                <w:w w:val="100"/>
                <w:kern w:val="2"/>
                <w:sz w:val="24"/>
                <w:szCs w:val="24"/>
                <w:lang w:val="en-US" w:eastAsia="zh-CN" w:bidi="ar-SA"/>
              </w:rPr>
            </w:pPr>
            <w:r>
              <w:rPr>
                <w:rStyle w:val="89"/>
                <w:rFonts w:hint="eastAsia" w:cs="宋体"/>
                <w:b w:val="0"/>
                <w:i w:val="0"/>
                <w:caps w:val="0"/>
                <w:color w:val="auto"/>
                <w:spacing w:val="0"/>
                <w:w w:val="100"/>
                <w:kern w:val="2"/>
                <w:sz w:val="24"/>
                <w:szCs w:val="24"/>
                <w:lang w:val="en-US" w:eastAsia="zh-CN" w:bidi="ar-SA"/>
              </w:rPr>
              <w:t>mg/L</w:t>
            </w:r>
          </w:p>
        </w:tc>
        <w:tc>
          <w:tcPr>
            <w:tcW w:w="5175" w:type="dxa"/>
            <w:tcBorders>
              <w:top w:val="nil"/>
              <w:left w:val="nil"/>
              <w:bottom w:val="single" w:color="000000" w:sz="4" w:space="0"/>
              <w:right w:val="single" w:color="000000" w:sz="4" w:space="0"/>
            </w:tcBorders>
            <w:shd w:val="clear" w:color="auto" w:fill="auto"/>
            <w:vAlign w:val="center"/>
          </w:tcPr>
          <w:p w14:paraId="6A2087C4">
            <w:pPr>
              <w:keepNext w:val="0"/>
              <w:keepLines w:val="0"/>
              <w:pageBreakBefore w:val="0"/>
              <w:widowControl w:val="0"/>
              <w:kinsoku/>
              <w:wordWrap/>
              <w:overflowPunct/>
              <w:topLinePunct w:val="0"/>
              <w:autoSpaceDE/>
              <w:autoSpaceDN/>
              <w:bidi w:val="0"/>
              <w:adjustRightInd/>
              <w:snapToGrid/>
              <w:spacing w:before="0" w:beforeAutospacing="0" w:afterAutospacing="0" w:line="240" w:lineRule="auto"/>
              <w:ind w:firstLine="0" w:firstLineChars="0"/>
              <w:jc w:val="center"/>
              <w:textAlignment w:val="baseline"/>
              <w:rPr>
                <w:rFonts w:hint="default" w:ascii="宋体" w:hAnsi="宋体" w:eastAsia="宋体" w:cs="宋体"/>
                <w:b w:val="0"/>
                <w:i w:val="0"/>
                <w:caps w:val="0"/>
                <w:color w:val="auto"/>
                <w:spacing w:val="0"/>
                <w:w w:val="100"/>
                <w:kern w:val="2"/>
                <w:sz w:val="24"/>
                <w:szCs w:val="24"/>
                <w:highlight w:val="cyan"/>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9</w:t>
            </w:r>
          </w:p>
        </w:tc>
      </w:tr>
    </w:tbl>
    <w:p w14:paraId="39A5AAA6">
      <w:pPr>
        <w:widowControl w:val="0"/>
        <w:numPr>
          <w:ilvl w:val="0"/>
          <w:numId w:val="0"/>
        </w:numPr>
        <w:bidi w:val="0"/>
        <w:jc w:val="both"/>
        <w:rPr>
          <w:rFonts w:hint="default" w:ascii="宋体" w:hAnsi="宋体" w:eastAsia="宋体" w:cs="宋体"/>
          <w:color w:val="auto"/>
          <w:sz w:val="24"/>
          <w:szCs w:val="22"/>
          <w:lang w:val="en-US" w:eastAsia="zh-CN"/>
        </w:rPr>
      </w:pPr>
    </w:p>
    <w:p w14:paraId="03CBA089">
      <w:pPr>
        <w:keepNext w:val="0"/>
        <w:keepLines w:val="0"/>
        <w:pageBreakBefore w:val="0"/>
        <w:widowControl w:val="0"/>
        <w:numPr>
          <w:ilvl w:val="0"/>
          <w:numId w:val="25"/>
        </w:numPr>
        <w:kinsoku/>
        <w:wordWrap/>
        <w:overflowPunct/>
        <w:topLinePunct w:val="0"/>
        <w:autoSpaceDE/>
        <w:autoSpaceDN/>
        <w:bidi w:val="0"/>
        <w:adjustRightInd/>
        <w:snapToGrid/>
        <w:spacing w:line="360" w:lineRule="auto"/>
        <w:textAlignment w:val="auto"/>
        <w:rPr>
          <w:rFonts w:hint="eastAsia"/>
          <w:color w:val="auto"/>
          <w:sz w:val="24"/>
          <w:szCs w:val="28"/>
          <w:lang w:val="en-US" w:eastAsia="zh-CN"/>
        </w:rPr>
      </w:pPr>
      <w:r>
        <w:rPr>
          <w:rFonts w:hint="eastAsia"/>
          <w:color w:val="auto"/>
          <w:sz w:val="24"/>
          <w:szCs w:val="28"/>
          <w:lang w:val="en-US" w:eastAsia="zh-CN"/>
        </w:rPr>
        <w:t>设备参数规范</w:t>
      </w:r>
    </w:p>
    <w:tbl>
      <w:tblPr>
        <w:tblStyle w:val="27"/>
        <w:tblW w:w="9438" w:type="dxa"/>
        <w:tblInd w:w="-8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155"/>
        <w:gridCol w:w="2222"/>
        <w:gridCol w:w="1164"/>
        <w:gridCol w:w="2400"/>
        <w:gridCol w:w="2497"/>
      </w:tblGrid>
      <w:tr w14:paraId="269D2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9438" w:type="dxa"/>
            <w:gridSpan w:val="5"/>
            <w:tcBorders>
              <w:top w:val="single" w:color="000000" w:sz="4" w:space="0"/>
              <w:left w:val="single" w:color="000000" w:sz="4" w:space="0"/>
              <w:bottom w:val="single" w:color="000000" w:sz="4" w:space="0"/>
              <w:right w:val="single" w:color="000000" w:sz="4" w:space="0"/>
            </w:tcBorders>
            <w:vAlign w:val="center"/>
          </w:tcPr>
          <w:p w14:paraId="2E3FB2A7">
            <w:pPr>
              <w:keepNext w:val="0"/>
              <w:keepLines w:val="0"/>
              <w:pageBreakBefore w:val="0"/>
              <w:widowControl w:val="0"/>
              <w:kinsoku/>
              <w:wordWrap/>
              <w:overflowPunct/>
              <w:topLinePunct w:val="0"/>
              <w:autoSpaceDE/>
              <w:autoSpaceDN/>
              <w:bidi w:val="0"/>
              <w:adjustRightInd/>
              <w:snapToGrid/>
              <w:spacing w:before="0" w:beforeAutospacing="0" w:afterAutospacing="0" w:line="240" w:lineRule="auto"/>
              <w:ind w:firstLine="0" w:firstLineChars="0"/>
              <w:jc w:val="center"/>
              <w:textAlignment w:val="baseline"/>
              <w:rPr>
                <w:rStyle w:val="89"/>
                <w:rFonts w:hint="eastAsia" w:ascii="宋体" w:hAnsi="宋体" w:eastAsia="宋体" w:cs="宋体"/>
                <w:b w:val="0"/>
                <w:i w:val="0"/>
                <w:caps w:val="0"/>
                <w:color w:val="auto"/>
                <w:spacing w:val="0"/>
                <w:w w:val="100"/>
                <w:kern w:val="2"/>
                <w:sz w:val="24"/>
                <w:szCs w:val="24"/>
                <w:lang w:val="en-US" w:eastAsia="zh-CN" w:bidi="ar-SA"/>
              </w:rPr>
            </w:pPr>
            <w:r>
              <w:rPr>
                <w:rStyle w:val="89"/>
                <w:rFonts w:hint="eastAsia" w:ascii="宋体" w:hAnsi="宋体" w:eastAsia="宋体" w:cs="宋体"/>
                <w:b w:val="0"/>
                <w:i w:val="0"/>
                <w:caps w:val="0"/>
                <w:color w:val="auto"/>
                <w:spacing w:val="0"/>
                <w:w w:val="100"/>
                <w:kern w:val="2"/>
                <w:sz w:val="24"/>
                <w:szCs w:val="24"/>
                <w:lang w:val="en-US" w:eastAsia="zh-CN" w:bidi="ar-SA"/>
              </w:rPr>
              <w:t>活性炭吸附罐设备参数</w:t>
            </w:r>
          </w:p>
        </w:tc>
      </w:tr>
      <w:tr w14:paraId="7DDA8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155" w:type="dxa"/>
            <w:tcBorders>
              <w:top w:val="nil"/>
              <w:left w:val="single" w:color="000000" w:sz="4" w:space="0"/>
              <w:bottom w:val="single" w:color="000000" w:sz="4" w:space="0"/>
              <w:right w:val="single" w:color="000000" w:sz="4" w:space="0"/>
            </w:tcBorders>
            <w:vAlign w:val="center"/>
          </w:tcPr>
          <w:p w14:paraId="2B1FE59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color w:val="auto"/>
                <w:lang w:val="en-US" w:eastAsia="zh-CN"/>
              </w:rPr>
            </w:pPr>
            <w:r>
              <w:rPr>
                <w:rFonts w:hint="eastAsia"/>
                <w:color w:val="auto"/>
                <w:lang w:val="en-US" w:eastAsia="zh-CN"/>
              </w:rPr>
              <w:t>序号</w:t>
            </w:r>
          </w:p>
        </w:tc>
        <w:tc>
          <w:tcPr>
            <w:tcW w:w="2222" w:type="dxa"/>
            <w:tcBorders>
              <w:top w:val="nil"/>
              <w:left w:val="nil"/>
              <w:bottom w:val="single" w:color="000000" w:sz="4" w:space="0"/>
              <w:right w:val="single" w:color="000000" w:sz="4" w:space="0"/>
            </w:tcBorders>
            <w:vAlign w:val="center"/>
          </w:tcPr>
          <w:p w14:paraId="3EA874B6">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color w:val="auto"/>
                <w:lang w:val="en-US" w:eastAsia="zh-CN"/>
              </w:rPr>
            </w:pPr>
            <w:r>
              <w:rPr>
                <w:rFonts w:hint="eastAsia"/>
                <w:color w:val="auto"/>
                <w:lang w:val="en-US" w:eastAsia="zh-CN"/>
              </w:rPr>
              <w:t>项目内容</w:t>
            </w:r>
          </w:p>
        </w:tc>
        <w:tc>
          <w:tcPr>
            <w:tcW w:w="1164" w:type="dxa"/>
            <w:tcBorders>
              <w:top w:val="nil"/>
              <w:left w:val="nil"/>
              <w:bottom w:val="single" w:color="000000" w:sz="4" w:space="0"/>
              <w:right w:val="single" w:color="000000" w:sz="4" w:space="0"/>
            </w:tcBorders>
            <w:vAlign w:val="center"/>
          </w:tcPr>
          <w:p w14:paraId="2219AFB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color w:val="auto"/>
                <w:lang w:val="en-US" w:eastAsia="zh-CN"/>
              </w:rPr>
            </w:pPr>
            <w:r>
              <w:rPr>
                <w:rFonts w:hint="eastAsia"/>
                <w:color w:val="auto"/>
                <w:lang w:val="en-US" w:eastAsia="zh-CN"/>
              </w:rPr>
              <w:t>单位</w:t>
            </w:r>
          </w:p>
        </w:tc>
        <w:tc>
          <w:tcPr>
            <w:tcW w:w="2400" w:type="dxa"/>
            <w:tcBorders>
              <w:top w:val="nil"/>
              <w:left w:val="nil"/>
              <w:bottom w:val="single" w:color="000000" w:sz="4" w:space="0"/>
              <w:right w:val="single" w:color="auto" w:sz="4" w:space="0"/>
            </w:tcBorders>
            <w:vAlign w:val="center"/>
          </w:tcPr>
          <w:p w14:paraId="346C28B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color w:val="auto"/>
                <w:lang w:val="en-US" w:eastAsia="zh-CN"/>
              </w:rPr>
            </w:pPr>
            <w:r>
              <w:rPr>
                <w:rFonts w:hint="eastAsia"/>
                <w:color w:val="auto"/>
                <w:lang w:val="en-US" w:eastAsia="zh-CN"/>
              </w:rPr>
              <w:t>参数指标</w:t>
            </w:r>
          </w:p>
        </w:tc>
        <w:tc>
          <w:tcPr>
            <w:tcW w:w="2497" w:type="dxa"/>
            <w:tcBorders>
              <w:top w:val="nil"/>
              <w:left w:val="single" w:color="auto" w:sz="4" w:space="0"/>
              <w:bottom w:val="single" w:color="000000" w:sz="4" w:space="0"/>
              <w:right w:val="single" w:color="000000" w:sz="4" w:space="0"/>
            </w:tcBorders>
            <w:vAlign w:val="center"/>
          </w:tcPr>
          <w:p w14:paraId="2B3B264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color w:val="auto"/>
                <w:lang w:val="en-US" w:eastAsia="zh-CN"/>
              </w:rPr>
            </w:pPr>
            <w:r>
              <w:rPr>
                <w:rFonts w:hint="eastAsia"/>
                <w:color w:val="auto"/>
                <w:lang w:val="en-US" w:eastAsia="zh-CN"/>
              </w:rPr>
              <w:t>备注</w:t>
            </w:r>
          </w:p>
        </w:tc>
      </w:tr>
      <w:tr w14:paraId="3AF8A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155" w:type="dxa"/>
            <w:tcBorders>
              <w:top w:val="nil"/>
              <w:left w:val="single" w:color="000000" w:sz="4" w:space="0"/>
              <w:bottom w:val="single" w:color="000000" w:sz="4" w:space="0"/>
              <w:right w:val="single" w:color="000000" w:sz="4" w:space="0"/>
            </w:tcBorders>
            <w:shd w:val="clear" w:color="auto" w:fill="auto"/>
            <w:vAlign w:val="center"/>
          </w:tcPr>
          <w:p w14:paraId="6847C01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color w:val="auto"/>
                <w:lang w:val="en-US" w:eastAsia="zh-CN"/>
              </w:rPr>
            </w:pPr>
            <w:r>
              <w:rPr>
                <w:rFonts w:hint="eastAsia"/>
                <w:color w:val="auto"/>
                <w:lang w:val="en-US" w:eastAsia="zh-CN"/>
              </w:rPr>
              <w:t>1</w:t>
            </w:r>
          </w:p>
        </w:tc>
        <w:tc>
          <w:tcPr>
            <w:tcW w:w="2222" w:type="dxa"/>
            <w:tcBorders>
              <w:top w:val="nil"/>
              <w:left w:val="nil"/>
              <w:bottom w:val="single" w:color="000000" w:sz="4" w:space="0"/>
              <w:right w:val="single" w:color="000000" w:sz="4" w:space="0"/>
            </w:tcBorders>
            <w:shd w:val="clear" w:color="auto" w:fill="auto"/>
            <w:vAlign w:val="center"/>
          </w:tcPr>
          <w:p w14:paraId="399BEAB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color w:val="auto"/>
                <w:lang w:val="en-US" w:eastAsia="zh-CN"/>
              </w:rPr>
            </w:pPr>
            <w:r>
              <w:rPr>
                <w:rFonts w:hint="eastAsia"/>
                <w:color w:val="auto"/>
                <w:lang w:val="en-US" w:eastAsia="zh-CN"/>
              </w:rPr>
              <w:t>处理量</w:t>
            </w:r>
          </w:p>
        </w:tc>
        <w:tc>
          <w:tcPr>
            <w:tcW w:w="1164" w:type="dxa"/>
            <w:tcBorders>
              <w:top w:val="nil"/>
              <w:left w:val="nil"/>
              <w:bottom w:val="single" w:color="000000" w:sz="4" w:space="0"/>
              <w:right w:val="single" w:color="000000" w:sz="4" w:space="0"/>
            </w:tcBorders>
            <w:shd w:val="clear" w:color="auto" w:fill="auto"/>
            <w:vAlign w:val="center"/>
          </w:tcPr>
          <w:p w14:paraId="7621A516">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color w:val="auto"/>
                <w:lang w:val="en-US" w:eastAsia="zh-CN"/>
              </w:rPr>
            </w:pPr>
            <w:r>
              <w:rPr>
                <w:rFonts w:hint="eastAsia"/>
                <w:color w:val="auto"/>
                <w:lang w:val="en-US" w:eastAsia="zh-CN"/>
              </w:rPr>
              <w:t>M3/h</w:t>
            </w:r>
          </w:p>
        </w:tc>
        <w:tc>
          <w:tcPr>
            <w:tcW w:w="2400" w:type="dxa"/>
            <w:tcBorders>
              <w:top w:val="nil"/>
              <w:left w:val="nil"/>
              <w:bottom w:val="single" w:color="000000" w:sz="4" w:space="0"/>
              <w:right w:val="single" w:color="auto" w:sz="4" w:space="0"/>
            </w:tcBorders>
            <w:shd w:val="clear" w:color="auto" w:fill="auto"/>
            <w:vAlign w:val="center"/>
          </w:tcPr>
          <w:p w14:paraId="676DCF4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color w:val="auto"/>
                <w:lang w:val="en-US" w:eastAsia="zh-CN"/>
              </w:rPr>
            </w:pPr>
            <w:r>
              <w:rPr>
                <w:rFonts w:hint="eastAsia"/>
                <w:color w:val="auto"/>
                <w:lang w:val="en-US" w:eastAsia="zh-CN"/>
              </w:rPr>
              <w:t>～65</w:t>
            </w:r>
          </w:p>
        </w:tc>
        <w:tc>
          <w:tcPr>
            <w:tcW w:w="2497" w:type="dxa"/>
            <w:tcBorders>
              <w:top w:val="nil"/>
              <w:left w:val="single" w:color="auto" w:sz="4" w:space="0"/>
              <w:bottom w:val="single" w:color="000000" w:sz="4" w:space="0"/>
              <w:right w:val="single" w:color="000000" w:sz="4" w:space="0"/>
            </w:tcBorders>
            <w:shd w:val="clear" w:color="auto" w:fill="auto"/>
            <w:vAlign w:val="center"/>
          </w:tcPr>
          <w:p w14:paraId="143E1BD6">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color w:val="auto"/>
                <w:lang w:val="en-US" w:eastAsia="zh-CN"/>
              </w:rPr>
            </w:pPr>
            <w:r>
              <w:rPr>
                <w:rFonts w:hint="eastAsia"/>
                <w:color w:val="auto"/>
                <w:lang w:val="en-US" w:eastAsia="zh-CN"/>
              </w:rPr>
              <w:t>单套设备处理量</w:t>
            </w:r>
          </w:p>
        </w:tc>
      </w:tr>
      <w:tr w14:paraId="0295D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155" w:type="dxa"/>
            <w:tcBorders>
              <w:top w:val="nil"/>
              <w:left w:val="single" w:color="000000" w:sz="4" w:space="0"/>
              <w:bottom w:val="single" w:color="000000" w:sz="4" w:space="0"/>
              <w:right w:val="single" w:color="000000" w:sz="4" w:space="0"/>
            </w:tcBorders>
            <w:shd w:val="clear" w:color="auto" w:fill="auto"/>
            <w:vAlign w:val="center"/>
          </w:tcPr>
          <w:p w14:paraId="62D818D0">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color w:val="auto"/>
                <w:lang w:val="en-US" w:eastAsia="zh-CN"/>
              </w:rPr>
            </w:pPr>
            <w:r>
              <w:rPr>
                <w:rFonts w:hint="eastAsia"/>
                <w:color w:val="auto"/>
                <w:lang w:val="en-US" w:eastAsia="zh-CN"/>
              </w:rPr>
              <w:t>2</w:t>
            </w:r>
          </w:p>
        </w:tc>
        <w:tc>
          <w:tcPr>
            <w:tcW w:w="2222" w:type="dxa"/>
            <w:tcBorders>
              <w:top w:val="nil"/>
              <w:left w:val="nil"/>
              <w:bottom w:val="single" w:color="000000" w:sz="4" w:space="0"/>
              <w:right w:val="single" w:color="000000" w:sz="4" w:space="0"/>
            </w:tcBorders>
            <w:shd w:val="clear" w:color="auto" w:fill="auto"/>
            <w:vAlign w:val="center"/>
          </w:tcPr>
          <w:p w14:paraId="3C6F2FD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color w:val="auto"/>
                <w:lang w:val="en-US" w:eastAsia="zh-CN"/>
              </w:rPr>
            </w:pPr>
            <w:r>
              <w:rPr>
                <w:rFonts w:hint="eastAsia"/>
                <w:color w:val="auto"/>
                <w:lang w:val="en-US" w:eastAsia="zh-CN"/>
              </w:rPr>
              <w:t>型式</w:t>
            </w:r>
          </w:p>
        </w:tc>
        <w:tc>
          <w:tcPr>
            <w:tcW w:w="1164" w:type="dxa"/>
            <w:tcBorders>
              <w:top w:val="nil"/>
              <w:left w:val="nil"/>
              <w:bottom w:val="single" w:color="000000" w:sz="4" w:space="0"/>
              <w:right w:val="single" w:color="000000" w:sz="4" w:space="0"/>
            </w:tcBorders>
            <w:shd w:val="clear" w:color="auto" w:fill="auto"/>
            <w:vAlign w:val="center"/>
          </w:tcPr>
          <w:p w14:paraId="3852A330">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color w:val="auto"/>
                <w:lang w:val="en-US" w:eastAsia="zh-CN"/>
              </w:rPr>
            </w:pPr>
            <w:r>
              <w:rPr>
                <w:rFonts w:hint="eastAsia"/>
                <w:color w:val="auto"/>
                <w:lang w:val="en-US" w:eastAsia="zh-CN"/>
              </w:rPr>
              <w:t>—</w:t>
            </w:r>
          </w:p>
        </w:tc>
        <w:tc>
          <w:tcPr>
            <w:tcW w:w="2400" w:type="dxa"/>
            <w:tcBorders>
              <w:top w:val="nil"/>
              <w:left w:val="nil"/>
              <w:bottom w:val="single" w:color="000000" w:sz="4" w:space="0"/>
              <w:right w:val="single" w:color="auto" w:sz="4" w:space="0"/>
            </w:tcBorders>
            <w:shd w:val="clear" w:color="auto" w:fill="auto"/>
            <w:vAlign w:val="center"/>
          </w:tcPr>
          <w:p w14:paraId="245278C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color w:val="auto"/>
                <w:lang w:val="en-US" w:eastAsia="zh-CN"/>
              </w:rPr>
            </w:pPr>
            <w:r>
              <w:rPr>
                <w:rFonts w:hint="eastAsia"/>
                <w:color w:val="auto"/>
                <w:lang w:val="en-US" w:eastAsia="zh-CN"/>
              </w:rPr>
              <w:t>立式圆筒</w:t>
            </w:r>
          </w:p>
        </w:tc>
        <w:tc>
          <w:tcPr>
            <w:tcW w:w="2497" w:type="dxa"/>
            <w:tcBorders>
              <w:top w:val="nil"/>
              <w:left w:val="single" w:color="auto" w:sz="4" w:space="0"/>
              <w:bottom w:val="single" w:color="000000" w:sz="4" w:space="0"/>
              <w:right w:val="single" w:color="000000" w:sz="4" w:space="0"/>
            </w:tcBorders>
            <w:shd w:val="clear" w:color="auto" w:fill="auto"/>
            <w:vAlign w:val="center"/>
          </w:tcPr>
          <w:p w14:paraId="0B83E07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color w:val="auto"/>
                <w:lang w:val="en-US" w:eastAsia="zh-CN"/>
              </w:rPr>
            </w:pPr>
          </w:p>
        </w:tc>
      </w:tr>
      <w:tr w14:paraId="57822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155" w:type="dxa"/>
            <w:tcBorders>
              <w:top w:val="nil"/>
              <w:left w:val="single" w:color="000000" w:sz="4" w:space="0"/>
              <w:bottom w:val="single" w:color="000000" w:sz="4" w:space="0"/>
              <w:right w:val="single" w:color="000000" w:sz="4" w:space="0"/>
            </w:tcBorders>
            <w:shd w:val="clear" w:color="auto" w:fill="auto"/>
            <w:vAlign w:val="center"/>
          </w:tcPr>
          <w:p w14:paraId="17D31FE0">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color w:val="auto"/>
                <w:lang w:val="en-US" w:eastAsia="zh-CN"/>
              </w:rPr>
            </w:pPr>
            <w:r>
              <w:rPr>
                <w:rFonts w:hint="eastAsia"/>
                <w:color w:val="auto"/>
                <w:lang w:val="en-US" w:eastAsia="zh-CN"/>
              </w:rPr>
              <w:t>3</w:t>
            </w:r>
          </w:p>
        </w:tc>
        <w:tc>
          <w:tcPr>
            <w:tcW w:w="2222" w:type="dxa"/>
            <w:tcBorders>
              <w:top w:val="nil"/>
              <w:left w:val="nil"/>
              <w:bottom w:val="single" w:color="000000" w:sz="4" w:space="0"/>
              <w:right w:val="single" w:color="000000" w:sz="4" w:space="0"/>
            </w:tcBorders>
            <w:shd w:val="clear" w:color="auto" w:fill="auto"/>
            <w:vAlign w:val="center"/>
          </w:tcPr>
          <w:p w14:paraId="3C10026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color w:val="auto"/>
                <w:lang w:val="en-US" w:eastAsia="zh-CN"/>
              </w:rPr>
            </w:pPr>
            <w:r>
              <w:rPr>
                <w:rFonts w:hint="eastAsia"/>
                <w:color w:val="auto"/>
                <w:lang w:val="en-US" w:eastAsia="zh-CN"/>
              </w:rPr>
              <w:t>设计压力</w:t>
            </w:r>
          </w:p>
        </w:tc>
        <w:tc>
          <w:tcPr>
            <w:tcW w:w="1164" w:type="dxa"/>
            <w:tcBorders>
              <w:top w:val="nil"/>
              <w:left w:val="nil"/>
              <w:bottom w:val="single" w:color="000000" w:sz="4" w:space="0"/>
              <w:right w:val="single" w:color="000000" w:sz="4" w:space="0"/>
            </w:tcBorders>
            <w:shd w:val="clear" w:color="auto" w:fill="auto"/>
            <w:vAlign w:val="center"/>
          </w:tcPr>
          <w:p w14:paraId="732227F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color w:val="auto"/>
                <w:lang w:val="en-US" w:eastAsia="zh-CN"/>
              </w:rPr>
            </w:pPr>
            <w:r>
              <w:rPr>
                <w:rFonts w:hint="eastAsia"/>
                <w:color w:val="auto"/>
                <w:lang w:val="en-US" w:eastAsia="zh-CN"/>
              </w:rPr>
              <w:t>MPa</w:t>
            </w:r>
          </w:p>
        </w:tc>
        <w:tc>
          <w:tcPr>
            <w:tcW w:w="2400" w:type="dxa"/>
            <w:tcBorders>
              <w:top w:val="nil"/>
              <w:left w:val="nil"/>
              <w:bottom w:val="single" w:color="000000" w:sz="4" w:space="0"/>
              <w:right w:val="single" w:color="auto" w:sz="4" w:space="0"/>
            </w:tcBorders>
            <w:shd w:val="clear" w:color="auto" w:fill="auto"/>
            <w:vAlign w:val="center"/>
          </w:tcPr>
          <w:p w14:paraId="65820AB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color w:val="auto"/>
                <w:lang w:val="en-US" w:eastAsia="zh-CN"/>
              </w:rPr>
            </w:pPr>
            <w:r>
              <w:rPr>
                <w:rFonts w:hint="eastAsia"/>
                <w:color w:val="auto"/>
                <w:lang w:val="en-US" w:eastAsia="zh-CN"/>
              </w:rPr>
              <w:t>0.9</w:t>
            </w:r>
          </w:p>
        </w:tc>
        <w:tc>
          <w:tcPr>
            <w:tcW w:w="2497" w:type="dxa"/>
            <w:tcBorders>
              <w:top w:val="nil"/>
              <w:left w:val="single" w:color="auto" w:sz="4" w:space="0"/>
              <w:bottom w:val="single" w:color="000000" w:sz="4" w:space="0"/>
              <w:right w:val="single" w:color="000000" w:sz="4" w:space="0"/>
            </w:tcBorders>
            <w:shd w:val="clear" w:color="auto" w:fill="auto"/>
            <w:vAlign w:val="center"/>
          </w:tcPr>
          <w:p w14:paraId="03400C4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color w:val="auto"/>
                <w:lang w:val="en-US" w:eastAsia="zh-CN"/>
              </w:rPr>
            </w:pPr>
          </w:p>
        </w:tc>
      </w:tr>
      <w:tr w14:paraId="18BBA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155" w:type="dxa"/>
            <w:tcBorders>
              <w:top w:val="nil"/>
              <w:left w:val="single" w:color="000000" w:sz="4" w:space="0"/>
              <w:bottom w:val="single" w:color="000000" w:sz="4" w:space="0"/>
              <w:right w:val="single" w:color="000000" w:sz="4" w:space="0"/>
            </w:tcBorders>
            <w:shd w:val="clear" w:color="auto" w:fill="auto"/>
            <w:vAlign w:val="center"/>
          </w:tcPr>
          <w:p w14:paraId="0DDA722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color w:val="auto"/>
                <w:lang w:val="en-US" w:eastAsia="zh-CN"/>
              </w:rPr>
            </w:pPr>
            <w:r>
              <w:rPr>
                <w:rFonts w:hint="eastAsia"/>
                <w:color w:val="auto"/>
                <w:lang w:val="en-US" w:eastAsia="zh-CN"/>
              </w:rPr>
              <w:t>4</w:t>
            </w:r>
          </w:p>
        </w:tc>
        <w:tc>
          <w:tcPr>
            <w:tcW w:w="2222" w:type="dxa"/>
            <w:tcBorders>
              <w:top w:val="nil"/>
              <w:left w:val="nil"/>
              <w:bottom w:val="single" w:color="000000" w:sz="4" w:space="0"/>
              <w:right w:val="single" w:color="000000" w:sz="4" w:space="0"/>
            </w:tcBorders>
            <w:shd w:val="clear" w:color="auto" w:fill="auto"/>
            <w:vAlign w:val="center"/>
          </w:tcPr>
          <w:p w14:paraId="3DC40A1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color w:val="auto"/>
                <w:lang w:val="en-US" w:eastAsia="zh-CN"/>
              </w:rPr>
            </w:pPr>
            <w:r>
              <w:rPr>
                <w:rFonts w:hint="eastAsia"/>
                <w:color w:val="auto"/>
                <w:lang w:val="en-US" w:eastAsia="zh-CN"/>
              </w:rPr>
              <w:t>运行压力</w:t>
            </w:r>
          </w:p>
        </w:tc>
        <w:tc>
          <w:tcPr>
            <w:tcW w:w="1164" w:type="dxa"/>
            <w:tcBorders>
              <w:top w:val="nil"/>
              <w:left w:val="nil"/>
              <w:bottom w:val="single" w:color="000000" w:sz="4" w:space="0"/>
              <w:right w:val="single" w:color="000000" w:sz="4" w:space="0"/>
            </w:tcBorders>
            <w:shd w:val="clear" w:color="auto" w:fill="auto"/>
            <w:vAlign w:val="center"/>
          </w:tcPr>
          <w:p w14:paraId="11F83AF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color w:val="auto"/>
                <w:lang w:val="en-US" w:eastAsia="zh-CN"/>
              </w:rPr>
            </w:pPr>
            <w:r>
              <w:rPr>
                <w:rFonts w:hint="eastAsia"/>
                <w:color w:val="auto"/>
                <w:lang w:val="en-US" w:eastAsia="zh-CN"/>
              </w:rPr>
              <w:t>MPa</w:t>
            </w:r>
          </w:p>
        </w:tc>
        <w:tc>
          <w:tcPr>
            <w:tcW w:w="2400" w:type="dxa"/>
            <w:tcBorders>
              <w:top w:val="nil"/>
              <w:left w:val="nil"/>
              <w:bottom w:val="single" w:color="000000" w:sz="4" w:space="0"/>
              <w:right w:val="single" w:color="auto" w:sz="4" w:space="0"/>
            </w:tcBorders>
            <w:shd w:val="clear" w:color="auto" w:fill="auto"/>
            <w:vAlign w:val="center"/>
          </w:tcPr>
          <w:p w14:paraId="42A0EBB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color w:val="auto"/>
                <w:lang w:val="en-US" w:eastAsia="zh-CN"/>
              </w:rPr>
            </w:pPr>
            <w:r>
              <w:rPr>
                <w:rFonts w:hint="eastAsia"/>
                <w:color w:val="auto"/>
                <w:lang w:val="en-US" w:eastAsia="zh-CN"/>
              </w:rPr>
              <w:t>0.6</w:t>
            </w:r>
          </w:p>
        </w:tc>
        <w:tc>
          <w:tcPr>
            <w:tcW w:w="2497" w:type="dxa"/>
            <w:tcBorders>
              <w:top w:val="nil"/>
              <w:left w:val="single" w:color="auto" w:sz="4" w:space="0"/>
              <w:bottom w:val="single" w:color="000000" w:sz="4" w:space="0"/>
              <w:right w:val="single" w:color="000000" w:sz="4" w:space="0"/>
            </w:tcBorders>
            <w:shd w:val="clear" w:color="auto" w:fill="auto"/>
            <w:vAlign w:val="center"/>
          </w:tcPr>
          <w:p w14:paraId="321CABF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color w:val="auto"/>
                <w:lang w:val="en-US" w:eastAsia="zh-CN"/>
              </w:rPr>
            </w:pPr>
          </w:p>
        </w:tc>
      </w:tr>
      <w:tr w14:paraId="7D9AD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155" w:type="dxa"/>
            <w:tcBorders>
              <w:top w:val="nil"/>
              <w:left w:val="single" w:color="000000" w:sz="4" w:space="0"/>
              <w:bottom w:val="single" w:color="000000" w:sz="4" w:space="0"/>
              <w:right w:val="single" w:color="000000" w:sz="4" w:space="0"/>
            </w:tcBorders>
            <w:shd w:val="clear" w:color="auto" w:fill="auto"/>
            <w:vAlign w:val="center"/>
          </w:tcPr>
          <w:p w14:paraId="015E7C9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color w:val="auto"/>
                <w:lang w:val="en-US" w:eastAsia="zh-CN"/>
              </w:rPr>
            </w:pPr>
            <w:r>
              <w:rPr>
                <w:rFonts w:hint="eastAsia"/>
                <w:color w:val="auto"/>
                <w:lang w:val="en-US" w:eastAsia="zh-CN"/>
              </w:rPr>
              <w:t>5</w:t>
            </w:r>
          </w:p>
        </w:tc>
        <w:tc>
          <w:tcPr>
            <w:tcW w:w="2222" w:type="dxa"/>
            <w:tcBorders>
              <w:top w:val="nil"/>
              <w:left w:val="nil"/>
              <w:bottom w:val="single" w:color="000000" w:sz="4" w:space="0"/>
              <w:right w:val="single" w:color="000000" w:sz="4" w:space="0"/>
            </w:tcBorders>
            <w:shd w:val="clear" w:color="auto" w:fill="auto"/>
            <w:vAlign w:val="center"/>
          </w:tcPr>
          <w:p w14:paraId="061DD64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color w:val="auto"/>
                <w:lang w:val="en-US" w:eastAsia="zh-CN"/>
              </w:rPr>
            </w:pPr>
            <w:r>
              <w:rPr>
                <w:rFonts w:hint="eastAsia"/>
                <w:color w:val="auto"/>
                <w:lang w:val="en-US" w:eastAsia="zh-CN"/>
              </w:rPr>
              <w:t>材质</w:t>
            </w:r>
          </w:p>
        </w:tc>
        <w:tc>
          <w:tcPr>
            <w:tcW w:w="1164" w:type="dxa"/>
            <w:tcBorders>
              <w:top w:val="nil"/>
              <w:left w:val="nil"/>
              <w:bottom w:val="single" w:color="000000" w:sz="4" w:space="0"/>
              <w:right w:val="single" w:color="000000" w:sz="4" w:space="0"/>
            </w:tcBorders>
            <w:shd w:val="clear" w:color="auto" w:fill="auto"/>
            <w:vAlign w:val="center"/>
          </w:tcPr>
          <w:p w14:paraId="1E2B55D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color w:val="auto"/>
                <w:lang w:val="en-US" w:eastAsia="zh-CN"/>
              </w:rPr>
            </w:pPr>
            <w:r>
              <w:rPr>
                <w:rFonts w:hint="eastAsia"/>
                <w:color w:val="auto"/>
                <w:lang w:val="en-US" w:eastAsia="zh-CN"/>
              </w:rPr>
              <w:t>—</w:t>
            </w:r>
          </w:p>
        </w:tc>
        <w:tc>
          <w:tcPr>
            <w:tcW w:w="2400" w:type="dxa"/>
            <w:tcBorders>
              <w:top w:val="nil"/>
              <w:left w:val="nil"/>
              <w:bottom w:val="single" w:color="000000" w:sz="4" w:space="0"/>
              <w:right w:val="single" w:color="auto" w:sz="4" w:space="0"/>
            </w:tcBorders>
            <w:shd w:val="clear" w:color="auto" w:fill="auto"/>
            <w:vAlign w:val="center"/>
          </w:tcPr>
          <w:p w14:paraId="2D73399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color w:val="auto"/>
                <w:lang w:val="en-US" w:eastAsia="zh-CN"/>
              </w:rPr>
            </w:pPr>
            <w:r>
              <w:rPr>
                <w:rFonts w:hint="eastAsia"/>
                <w:color w:val="auto"/>
                <w:lang w:val="en-US" w:eastAsia="zh-CN"/>
              </w:rPr>
              <w:t>Q235B</w:t>
            </w:r>
          </w:p>
        </w:tc>
        <w:tc>
          <w:tcPr>
            <w:tcW w:w="2497" w:type="dxa"/>
            <w:tcBorders>
              <w:top w:val="nil"/>
              <w:left w:val="single" w:color="auto" w:sz="4" w:space="0"/>
              <w:bottom w:val="single" w:color="000000" w:sz="4" w:space="0"/>
              <w:right w:val="single" w:color="000000" w:sz="4" w:space="0"/>
            </w:tcBorders>
            <w:shd w:val="clear" w:color="auto" w:fill="auto"/>
            <w:vAlign w:val="center"/>
          </w:tcPr>
          <w:p w14:paraId="40DDF4A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color w:val="auto"/>
                <w:lang w:val="en-US" w:eastAsia="zh-CN"/>
              </w:rPr>
            </w:pPr>
          </w:p>
        </w:tc>
      </w:tr>
      <w:tr w14:paraId="3B126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155" w:type="dxa"/>
            <w:tcBorders>
              <w:top w:val="nil"/>
              <w:left w:val="single" w:color="000000" w:sz="4" w:space="0"/>
              <w:bottom w:val="single" w:color="000000" w:sz="4" w:space="0"/>
              <w:right w:val="single" w:color="000000" w:sz="4" w:space="0"/>
            </w:tcBorders>
            <w:shd w:val="clear" w:color="auto" w:fill="auto"/>
            <w:vAlign w:val="center"/>
          </w:tcPr>
          <w:p w14:paraId="32B9C45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color w:val="auto"/>
                <w:lang w:val="en-US" w:eastAsia="zh-CN"/>
              </w:rPr>
            </w:pPr>
            <w:r>
              <w:rPr>
                <w:rFonts w:hint="eastAsia"/>
                <w:color w:val="auto"/>
                <w:lang w:val="en-US" w:eastAsia="zh-CN"/>
              </w:rPr>
              <w:t>6</w:t>
            </w:r>
          </w:p>
        </w:tc>
        <w:tc>
          <w:tcPr>
            <w:tcW w:w="2222" w:type="dxa"/>
            <w:tcBorders>
              <w:top w:val="nil"/>
              <w:left w:val="nil"/>
              <w:bottom w:val="single" w:color="000000" w:sz="4" w:space="0"/>
              <w:right w:val="single" w:color="000000" w:sz="4" w:space="0"/>
            </w:tcBorders>
            <w:shd w:val="clear" w:color="auto" w:fill="auto"/>
            <w:vAlign w:val="center"/>
          </w:tcPr>
          <w:p w14:paraId="58F86AFC">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color w:val="auto"/>
                <w:lang w:val="en-US" w:eastAsia="zh-CN"/>
              </w:rPr>
            </w:pPr>
            <w:r>
              <w:rPr>
                <w:rFonts w:hint="eastAsia"/>
                <w:color w:val="auto"/>
                <w:lang w:val="en-US" w:eastAsia="zh-CN"/>
              </w:rPr>
              <w:t>内防腐</w:t>
            </w:r>
          </w:p>
        </w:tc>
        <w:tc>
          <w:tcPr>
            <w:tcW w:w="1164" w:type="dxa"/>
            <w:tcBorders>
              <w:top w:val="nil"/>
              <w:left w:val="nil"/>
              <w:bottom w:val="single" w:color="000000" w:sz="4" w:space="0"/>
              <w:right w:val="single" w:color="000000" w:sz="4" w:space="0"/>
            </w:tcBorders>
            <w:shd w:val="clear" w:color="auto" w:fill="auto"/>
            <w:vAlign w:val="center"/>
          </w:tcPr>
          <w:p w14:paraId="4BD5AE0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color w:val="auto"/>
                <w:lang w:val="en-US" w:eastAsia="zh-CN"/>
              </w:rPr>
            </w:pPr>
            <w:r>
              <w:rPr>
                <w:rFonts w:hint="eastAsia"/>
                <w:color w:val="auto"/>
                <w:lang w:val="en-US" w:eastAsia="zh-CN"/>
              </w:rPr>
              <w:t>—</w:t>
            </w:r>
          </w:p>
        </w:tc>
        <w:tc>
          <w:tcPr>
            <w:tcW w:w="2400" w:type="dxa"/>
            <w:tcBorders>
              <w:top w:val="nil"/>
              <w:left w:val="nil"/>
              <w:bottom w:val="single" w:color="000000" w:sz="4" w:space="0"/>
              <w:right w:val="single" w:color="auto" w:sz="4" w:space="0"/>
            </w:tcBorders>
            <w:shd w:val="clear" w:color="auto" w:fill="auto"/>
            <w:vAlign w:val="center"/>
          </w:tcPr>
          <w:p w14:paraId="7AFEFE7C">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color w:val="auto"/>
                <w:lang w:val="en-US" w:eastAsia="zh-CN"/>
              </w:rPr>
            </w:pPr>
            <w:r>
              <w:rPr>
                <w:rFonts w:hint="eastAsia"/>
                <w:color w:val="auto"/>
                <w:lang w:val="en-US" w:eastAsia="zh-CN"/>
              </w:rPr>
              <w:t>天然橡胶（3+2mm）</w:t>
            </w:r>
          </w:p>
        </w:tc>
        <w:tc>
          <w:tcPr>
            <w:tcW w:w="2497" w:type="dxa"/>
            <w:tcBorders>
              <w:top w:val="nil"/>
              <w:left w:val="single" w:color="auto" w:sz="4" w:space="0"/>
              <w:bottom w:val="single" w:color="000000" w:sz="4" w:space="0"/>
              <w:right w:val="single" w:color="000000" w:sz="4" w:space="0"/>
            </w:tcBorders>
            <w:shd w:val="clear" w:color="auto" w:fill="auto"/>
            <w:vAlign w:val="center"/>
          </w:tcPr>
          <w:p w14:paraId="46B6C14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color w:val="auto"/>
                <w:lang w:val="en-US" w:eastAsia="zh-CN"/>
              </w:rPr>
            </w:pPr>
          </w:p>
        </w:tc>
      </w:tr>
      <w:tr w14:paraId="3E941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155" w:type="dxa"/>
            <w:tcBorders>
              <w:top w:val="nil"/>
              <w:left w:val="single" w:color="000000" w:sz="4" w:space="0"/>
              <w:bottom w:val="single" w:color="000000" w:sz="4" w:space="0"/>
              <w:right w:val="single" w:color="000000" w:sz="4" w:space="0"/>
            </w:tcBorders>
            <w:shd w:val="clear" w:color="auto" w:fill="auto"/>
            <w:vAlign w:val="center"/>
          </w:tcPr>
          <w:p w14:paraId="46425A3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color w:val="auto"/>
                <w:lang w:val="en-US" w:eastAsia="zh-CN"/>
              </w:rPr>
            </w:pPr>
            <w:r>
              <w:rPr>
                <w:rFonts w:hint="eastAsia"/>
                <w:color w:val="auto"/>
                <w:lang w:val="en-US" w:eastAsia="zh-CN"/>
              </w:rPr>
              <w:t>7</w:t>
            </w:r>
          </w:p>
        </w:tc>
        <w:tc>
          <w:tcPr>
            <w:tcW w:w="2222" w:type="dxa"/>
            <w:tcBorders>
              <w:top w:val="nil"/>
              <w:left w:val="nil"/>
              <w:bottom w:val="single" w:color="000000" w:sz="4" w:space="0"/>
              <w:right w:val="single" w:color="000000" w:sz="4" w:space="0"/>
            </w:tcBorders>
            <w:shd w:val="clear" w:color="auto" w:fill="auto"/>
            <w:vAlign w:val="center"/>
          </w:tcPr>
          <w:p w14:paraId="12E9B3F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color w:val="auto"/>
                <w:lang w:val="en-US" w:eastAsia="zh-CN"/>
              </w:rPr>
            </w:pPr>
            <w:r>
              <w:rPr>
                <w:rFonts w:hint="eastAsia"/>
                <w:color w:val="auto"/>
                <w:lang w:val="en-US" w:eastAsia="zh-CN"/>
              </w:rPr>
              <w:t>数量</w:t>
            </w:r>
          </w:p>
        </w:tc>
        <w:tc>
          <w:tcPr>
            <w:tcW w:w="1164" w:type="dxa"/>
            <w:tcBorders>
              <w:top w:val="nil"/>
              <w:left w:val="nil"/>
              <w:bottom w:val="single" w:color="000000" w:sz="4" w:space="0"/>
              <w:right w:val="single" w:color="000000" w:sz="4" w:space="0"/>
            </w:tcBorders>
            <w:shd w:val="clear" w:color="auto" w:fill="auto"/>
            <w:vAlign w:val="center"/>
          </w:tcPr>
          <w:p w14:paraId="4EB0CCC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color w:val="auto"/>
                <w:lang w:val="en-US" w:eastAsia="zh-CN"/>
              </w:rPr>
            </w:pPr>
            <w:r>
              <w:rPr>
                <w:rFonts w:hint="eastAsia"/>
                <w:color w:val="auto"/>
                <w:lang w:val="en-US" w:eastAsia="zh-CN"/>
              </w:rPr>
              <w:t>套</w:t>
            </w:r>
          </w:p>
        </w:tc>
        <w:tc>
          <w:tcPr>
            <w:tcW w:w="2400" w:type="dxa"/>
            <w:tcBorders>
              <w:top w:val="nil"/>
              <w:left w:val="nil"/>
              <w:bottom w:val="single" w:color="000000" w:sz="4" w:space="0"/>
              <w:right w:val="single" w:color="auto" w:sz="4" w:space="0"/>
            </w:tcBorders>
            <w:shd w:val="clear" w:color="auto" w:fill="auto"/>
            <w:vAlign w:val="center"/>
          </w:tcPr>
          <w:p w14:paraId="3BEF2E8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color w:val="auto"/>
                <w:lang w:val="en-US" w:eastAsia="zh-CN"/>
              </w:rPr>
            </w:pPr>
            <w:r>
              <w:rPr>
                <w:rFonts w:hint="eastAsia"/>
                <w:color w:val="auto"/>
                <w:lang w:val="en-US" w:eastAsia="zh-CN"/>
              </w:rPr>
              <w:t>2</w:t>
            </w:r>
          </w:p>
        </w:tc>
        <w:tc>
          <w:tcPr>
            <w:tcW w:w="2497" w:type="dxa"/>
            <w:tcBorders>
              <w:top w:val="nil"/>
              <w:left w:val="single" w:color="auto" w:sz="4" w:space="0"/>
              <w:bottom w:val="single" w:color="000000" w:sz="4" w:space="0"/>
              <w:right w:val="single" w:color="000000" w:sz="4" w:space="0"/>
            </w:tcBorders>
            <w:shd w:val="clear" w:color="auto" w:fill="auto"/>
            <w:vAlign w:val="center"/>
          </w:tcPr>
          <w:p w14:paraId="23B244D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color w:val="auto"/>
                <w:lang w:val="en-US" w:eastAsia="zh-CN"/>
              </w:rPr>
            </w:pPr>
            <w:r>
              <w:rPr>
                <w:rFonts w:hint="eastAsia"/>
                <w:color w:val="auto"/>
                <w:lang w:val="en-US" w:eastAsia="zh-CN"/>
              </w:rPr>
              <w:t>并联运行</w:t>
            </w:r>
          </w:p>
        </w:tc>
      </w:tr>
    </w:tbl>
    <w:p w14:paraId="1F359A08">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color w:val="auto"/>
          <w:sz w:val="24"/>
          <w:szCs w:val="28"/>
        </w:rPr>
      </w:pPr>
      <w:r>
        <w:rPr>
          <w:rFonts w:hint="eastAsia"/>
          <w:color w:val="auto"/>
          <w:sz w:val="24"/>
          <w:szCs w:val="28"/>
          <w:lang w:val="en-US" w:eastAsia="zh-CN"/>
        </w:rPr>
        <w:t>3）</w:t>
      </w:r>
      <w:r>
        <w:rPr>
          <w:rFonts w:hint="eastAsia"/>
          <w:color w:val="auto"/>
          <w:sz w:val="24"/>
          <w:szCs w:val="28"/>
        </w:rPr>
        <w:t>颗粒活性炭（煤基原煤破碎炭）标准</w:t>
      </w:r>
    </w:p>
    <w:tbl>
      <w:tblPr>
        <w:tblStyle w:val="27"/>
        <w:tblW w:w="4809"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83"/>
        <w:gridCol w:w="4171"/>
        <w:gridCol w:w="3825"/>
      </w:tblGrid>
      <w:tr w14:paraId="19D279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52" w:hRule="atLeast"/>
          <w:tblHeader/>
          <w:jc w:val="center"/>
        </w:trPr>
        <w:tc>
          <w:tcPr>
            <w:tcW w:w="782" w:type="pct"/>
            <w:vAlign w:val="center"/>
          </w:tcPr>
          <w:p w14:paraId="6B97A2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color w:val="auto"/>
                <w:szCs w:val="21"/>
              </w:rPr>
            </w:pPr>
            <w:r>
              <w:rPr>
                <w:rFonts w:hint="eastAsia" w:ascii="宋体" w:hAnsi="宋体"/>
                <w:b/>
                <w:color w:val="auto"/>
                <w:szCs w:val="21"/>
              </w:rPr>
              <w:t>序号</w:t>
            </w:r>
          </w:p>
        </w:tc>
        <w:tc>
          <w:tcPr>
            <w:tcW w:w="2199" w:type="pct"/>
            <w:vAlign w:val="center"/>
          </w:tcPr>
          <w:p w14:paraId="3E23EA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auto"/>
                <w:szCs w:val="21"/>
              </w:rPr>
            </w:pPr>
            <w:r>
              <w:rPr>
                <w:rFonts w:hint="eastAsia"/>
                <w:b/>
                <w:color w:val="auto"/>
                <w:szCs w:val="21"/>
              </w:rPr>
              <w:t>项  目</w:t>
            </w:r>
          </w:p>
        </w:tc>
        <w:tc>
          <w:tcPr>
            <w:tcW w:w="2017" w:type="pct"/>
            <w:vAlign w:val="center"/>
          </w:tcPr>
          <w:p w14:paraId="164F8F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auto"/>
                <w:szCs w:val="21"/>
              </w:rPr>
            </w:pPr>
            <w:r>
              <w:rPr>
                <w:rFonts w:hint="eastAsia"/>
                <w:b/>
                <w:color w:val="auto"/>
                <w:szCs w:val="21"/>
              </w:rPr>
              <w:t>指 标</w:t>
            </w:r>
          </w:p>
        </w:tc>
      </w:tr>
      <w:tr w14:paraId="621FAB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52" w:hRule="atLeast"/>
          <w:jc w:val="center"/>
        </w:trPr>
        <w:tc>
          <w:tcPr>
            <w:tcW w:w="782" w:type="pct"/>
            <w:vAlign w:val="center"/>
          </w:tcPr>
          <w:p w14:paraId="324FDC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Cs w:val="21"/>
              </w:rPr>
            </w:pPr>
            <w:r>
              <w:rPr>
                <w:rFonts w:hint="eastAsia"/>
                <w:color w:val="auto"/>
                <w:szCs w:val="21"/>
              </w:rPr>
              <w:t>1</w:t>
            </w:r>
          </w:p>
        </w:tc>
        <w:tc>
          <w:tcPr>
            <w:tcW w:w="2199" w:type="pct"/>
            <w:vAlign w:val="center"/>
          </w:tcPr>
          <w:p w14:paraId="386082C5">
            <w:pPr>
              <w:keepNext w:val="0"/>
              <w:keepLines w:val="0"/>
              <w:pageBreakBefore w:val="0"/>
              <w:widowControl w:val="0"/>
              <w:kinsoku/>
              <w:wordWrap/>
              <w:overflowPunct/>
              <w:topLinePunct w:val="0"/>
              <w:autoSpaceDE/>
              <w:autoSpaceDN/>
              <w:bidi w:val="0"/>
              <w:adjustRightInd/>
              <w:snapToGrid/>
              <w:spacing w:line="240" w:lineRule="auto"/>
              <w:textAlignment w:val="auto"/>
              <w:rPr>
                <w:color w:val="auto"/>
                <w:szCs w:val="21"/>
              </w:rPr>
            </w:pPr>
            <w:r>
              <w:rPr>
                <w:rFonts w:hint="eastAsia"/>
                <w:color w:val="auto"/>
                <w:szCs w:val="21"/>
              </w:rPr>
              <w:t>碘吸附值（mg/g）</w:t>
            </w:r>
          </w:p>
        </w:tc>
        <w:tc>
          <w:tcPr>
            <w:tcW w:w="2017" w:type="pct"/>
            <w:tcBorders>
              <w:bottom w:val="single" w:color="auto" w:sz="4" w:space="0"/>
            </w:tcBorders>
            <w:vAlign w:val="center"/>
          </w:tcPr>
          <w:p w14:paraId="4D1978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Cs w:val="21"/>
              </w:rPr>
            </w:pPr>
            <w:r>
              <w:rPr>
                <w:rFonts w:hint="eastAsia"/>
                <w:color w:val="auto"/>
                <w:szCs w:val="21"/>
              </w:rPr>
              <w:t>＞900</w:t>
            </w:r>
          </w:p>
        </w:tc>
      </w:tr>
      <w:tr w14:paraId="294CA4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52" w:hRule="atLeast"/>
          <w:jc w:val="center"/>
        </w:trPr>
        <w:tc>
          <w:tcPr>
            <w:tcW w:w="782" w:type="pct"/>
            <w:vAlign w:val="center"/>
          </w:tcPr>
          <w:p w14:paraId="51839B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Cs w:val="21"/>
              </w:rPr>
            </w:pPr>
            <w:r>
              <w:rPr>
                <w:color w:val="auto"/>
                <w:szCs w:val="21"/>
              </w:rPr>
              <w:t>2</w:t>
            </w:r>
          </w:p>
        </w:tc>
        <w:tc>
          <w:tcPr>
            <w:tcW w:w="2199" w:type="pct"/>
            <w:vAlign w:val="center"/>
          </w:tcPr>
          <w:p w14:paraId="6715CDD6">
            <w:pPr>
              <w:keepNext w:val="0"/>
              <w:keepLines w:val="0"/>
              <w:pageBreakBefore w:val="0"/>
              <w:widowControl w:val="0"/>
              <w:kinsoku/>
              <w:wordWrap/>
              <w:overflowPunct/>
              <w:topLinePunct w:val="0"/>
              <w:autoSpaceDE/>
              <w:autoSpaceDN/>
              <w:bidi w:val="0"/>
              <w:adjustRightInd/>
              <w:snapToGrid/>
              <w:spacing w:line="240" w:lineRule="auto"/>
              <w:textAlignment w:val="auto"/>
              <w:rPr>
                <w:color w:val="auto"/>
                <w:szCs w:val="21"/>
              </w:rPr>
            </w:pPr>
            <w:r>
              <w:rPr>
                <w:rFonts w:hint="eastAsia"/>
                <w:color w:val="auto"/>
                <w:szCs w:val="21"/>
              </w:rPr>
              <w:t>强度（%）</w:t>
            </w:r>
          </w:p>
        </w:tc>
        <w:tc>
          <w:tcPr>
            <w:tcW w:w="2017" w:type="pct"/>
            <w:tcBorders>
              <w:bottom w:val="single" w:color="auto" w:sz="4" w:space="0"/>
            </w:tcBorders>
            <w:vAlign w:val="center"/>
          </w:tcPr>
          <w:p w14:paraId="65E1BF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Cs w:val="21"/>
              </w:rPr>
            </w:pPr>
            <w:r>
              <w:rPr>
                <w:rFonts w:hint="eastAsia"/>
                <w:color w:val="auto"/>
                <w:szCs w:val="21"/>
              </w:rPr>
              <w:t>≥9</w:t>
            </w:r>
            <w:r>
              <w:rPr>
                <w:color w:val="auto"/>
                <w:szCs w:val="21"/>
              </w:rPr>
              <w:t>0</w:t>
            </w:r>
          </w:p>
        </w:tc>
      </w:tr>
      <w:tr w14:paraId="04F207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52" w:hRule="atLeast"/>
          <w:jc w:val="center"/>
        </w:trPr>
        <w:tc>
          <w:tcPr>
            <w:tcW w:w="782" w:type="pct"/>
            <w:vAlign w:val="center"/>
          </w:tcPr>
          <w:p w14:paraId="611F25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Cs w:val="21"/>
              </w:rPr>
            </w:pPr>
            <w:r>
              <w:rPr>
                <w:color w:val="auto"/>
                <w:szCs w:val="21"/>
              </w:rPr>
              <w:t>3</w:t>
            </w:r>
          </w:p>
        </w:tc>
        <w:tc>
          <w:tcPr>
            <w:tcW w:w="2199" w:type="pct"/>
            <w:vAlign w:val="center"/>
          </w:tcPr>
          <w:p w14:paraId="79E89AA6">
            <w:pPr>
              <w:keepNext w:val="0"/>
              <w:keepLines w:val="0"/>
              <w:pageBreakBefore w:val="0"/>
              <w:widowControl w:val="0"/>
              <w:kinsoku/>
              <w:wordWrap/>
              <w:overflowPunct/>
              <w:topLinePunct w:val="0"/>
              <w:autoSpaceDE/>
              <w:autoSpaceDN/>
              <w:bidi w:val="0"/>
              <w:adjustRightInd/>
              <w:snapToGrid/>
              <w:spacing w:line="240" w:lineRule="auto"/>
              <w:textAlignment w:val="auto"/>
              <w:rPr>
                <w:color w:val="auto"/>
                <w:szCs w:val="21"/>
              </w:rPr>
            </w:pPr>
            <w:r>
              <w:rPr>
                <w:rFonts w:hint="eastAsia"/>
                <w:color w:val="auto"/>
                <w:szCs w:val="21"/>
              </w:rPr>
              <w:t>目数</w:t>
            </w:r>
          </w:p>
        </w:tc>
        <w:tc>
          <w:tcPr>
            <w:tcW w:w="2017" w:type="pct"/>
            <w:vAlign w:val="center"/>
          </w:tcPr>
          <w:p w14:paraId="6531B7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Cs w:val="21"/>
              </w:rPr>
            </w:pPr>
            <w:r>
              <w:rPr>
                <w:rFonts w:hint="eastAsia"/>
                <w:color w:val="auto"/>
                <w:szCs w:val="21"/>
              </w:rPr>
              <w:t>8×30</w:t>
            </w:r>
          </w:p>
        </w:tc>
      </w:tr>
      <w:tr w14:paraId="6F8CD7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52" w:hRule="atLeast"/>
          <w:jc w:val="center"/>
        </w:trPr>
        <w:tc>
          <w:tcPr>
            <w:tcW w:w="782" w:type="pct"/>
            <w:vAlign w:val="center"/>
          </w:tcPr>
          <w:p w14:paraId="7EAABF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Cs w:val="21"/>
              </w:rPr>
            </w:pPr>
            <w:r>
              <w:rPr>
                <w:rFonts w:hint="eastAsia"/>
                <w:color w:val="auto"/>
                <w:szCs w:val="21"/>
              </w:rPr>
              <w:t>4</w:t>
            </w:r>
          </w:p>
        </w:tc>
        <w:tc>
          <w:tcPr>
            <w:tcW w:w="2199" w:type="pct"/>
            <w:vAlign w:val="center"/>
          </w:tcPr>
          <w:p w14:paraId="3FD4AE8D">
            <w:pPr>
              <w:keepNext w:val="0"/>
              <w:keepLines w:val="0"/>
              <w:pageBreakBefore w:val="0"/>
              <w:widowControl w:val="0"/>
              <w:kinsoku/>
              <w:wordWrap/>
              <w:overflowPunct/>
              <w:topLinePunct w:val="0"/>
              <w:autoSpaceDE/>
              <w:autoSpaceDN/>
              <w:bidi w:val="0"/>
              <w:adjustRightInd/>
              <w:snapToGrid/>
              <w:spacing w:line="240" w:lineRule="auto"/>
              <w:textAlignment w:val="auto"/>
              <w:rPr>
                <w:color w:val="auto"/>
                <w:szCs w:val="21"/>
              </w:rPr>
            </w:pPr>
            <w:r>
              <w:rPr>
                <w:rFonts w:hint="eastAsia"/>
                <w:color w:val="auto"/>
                <w:szCs w:val="21"/>
              </w:rPr>
              <w:t>水分</w:t>
            </w:r>
            <w:r>
              <w:rPr>
                <w:color w:val="auto"/>
                <w:szCs w:val="21"/>
              </w:rPr>
              <w:t>（</w:t>
            </w:r>
            <w:r>
              <w:rPr>
                <w:rFonts w:hint="eastAsia"/>
                <w:color w:val="auto"/>
                <w:szCs w:val="21"/>
              </w:rPr>
              <w:t>%</w:t>
            </w:r>
            <w:r>
              <w:rPr>
                <w:color w:val="auto"/>
                <w:szCs w:val="21"/>
              </w:rPr>
              <w:t>）</w:t>
            </w:r>
          </w:p>
        </w:tc>
        <w:tc>
          <w:tcPr>
            <w:tcW w:w="2017" w:type="pct"/>
            <w:vAlign w:val="center"/>
          </w:tcPr>
          <w:p w14:paraId="28BFE5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Cs w:val="21"/>
              </w:rPr>
            </w:pPr>
            <w:r>
              <w:rPr>
                <w:rFonts w:hint="eastAsia"/>
                <w:color w:val="auto"/>
                <w:szCs w:val="21"/>
              </w:rPr>
              <w:t>≤5</w:t>
            </w:r>
          </w:p>
        </w:tc>
      </w:tr>
      <w:tr w14:paraId="41CDF1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52" w:hRule="atLeast"/>
          <w:jc w:val="center"/>
        </w:trPr>
        <w:tc>
          <w:tcPr>
            <w:tcW w:w="782" w:type="pct"/>
            <w:vAlign w:val="center"/>
          </w:tcPr>
          <w:p w14:paraId="61F9FE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Cs w:val="21"/>
              </w:rPr>
            </w:pPr>
            <w:r>
              <w:rPr>
                <w:rFonts w:hint="eastAsia"/>
                <w:color w:val="auto"/>
                <w:szCs w:val="21"/>
              </w:rPr>
              <w:t>5</w:t>
            </w:r>
          </w:p>
        </w:tc>
        <w:tc>
          <w:tcPr>
            <w:tcW w:w="2199" w:type="pct"/>
            <w:vAlign w:val="center"/>
          </w:tcPr>
          <w:p w14:paraId="341E3EF9">
            <w:pPr>
              <w:keepNext w:val="0"/>
              <w:keepLines w:val="0"/>
              <w:pageBreakBefore w:val="0"/>
              <w:widowControl w:val="0"/>
              <w:kinsoku/>
              <w:wordWrap/>
              <w:overflowPunct/>
              <w:topLinePunct w:val="0"/>
              <w:autoSpaceDE/>
              <w:autoSpaceDN/>
              <w:bidi w:val="0"/>
              <w:adjustRightInd/>
              <w:snapToGrid/>
              <w:spacing w:line="240" w:lineRule="auto"/>
              <w:textAlignment w:val="auto"/>
              <w:rPr>
                <w:color w:val="auto"/>
                <w:szCs w:val="21"/>
              </w:rPr>
            </w:pPr>
            <w:r>
              <w:rPr>
                <w:rFonts w:hint="eastAsia"/>
                <w:color w:val="auto"/>
                <w:szCs w:val="21"/>
              </w:rPr>
              <w:t>灰分（%）</w:t>
            </w:r>
          </w:p>
        </w:tc>
        <w:tc>
          <w:tcPr>
            <w:tcW w:w="2017" w:type="pct"/>
            <w:tcBorders>
              <w:bottom w:val="single" w:color="auto" w:sz="4" w:space="0"/>
            </w:tcBorders>
            <w:vAlign w:val="center"/>
          </w:tcPr>
          <w:p w14:paraId="584561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Cs w:val="21"/>
              </w:rPr>
            </w:pPr>
            <w:r>
              <w:rPr>
                <w:rFonts w:hint="eastAsia"/>
                <w:color w:val="auto"/>
                <w:szCs w:val="21"/>
              </w:rPr>
              <w:t>10~15</w:t>
            </w:r>
          </w:p>
        </w:tc>
      </w:tr>
      <w:tr w14:paraId="5880CC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52" w:hRule="atLeast"/>
          <w:jc w:val="center"/>
        </w:trPr>
        <w:tc>
          <w:tcPr>
            <w:tcW w:w="782" w:type="pct"/>
            <w:vAlign w:val="center"/>
          </w:tcPr>
          <w:p w14:paraId="2B43A4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Cs w:val="21"/>
              </w:rPr>
            </w:pPr>
            <w:r>
              <w:rPr>
                <w:rFonts w:hint="eastAsia"/>
                <w:color w:val="auto"/>
                <w:szCs w:val="21"/>
              </w:rPr>
              <w:t>6</w:t>
            </w:r>
          </w:p>
        </w:tc>
        <w:tc>
          <w:tcPr>
            <w:tcW w:w="2199" w:type="pct"/>
            <w:vAlign w:val="center"/>
          </w:tcPr>
          <w:p w14:paraId="33CE8302">
            <w:pPr>
              <w:keepNext w:val="0"/>
              <w:keepLines w:val="0"/>
              <w:pageBreakBefore w:val="0"/>
              <w:widowControl w:val="0"/>
              <w:kinsoku/>
              <w:wordWrap/>
              <w:overflowPunct/>
              <w:topLinePunct w:val="0"/>
              <w:autoSpaceDE/>
              <w:autoSpaceDN/>
              <w:bidi w:val="0"/>
              <w:adjustRightInd/>
              <w:snapToGrid/>
              <w:spacing w:line="240" w:lineRule="auto"/>
              <w:jc w:val="left"/>
              <w:textAlignment w:val="auto"/>
              <w:rPr>
                <w:color w:val="auto"/>
                <w:szCs w:val="21"/>
              </w:rPr>
            </w:pPr>
            <w:r>
              <w:rPr>
                <w:rFonts w:hint="eastAsia"/>
                <w:color w:val="auto"/>
                <w:szCs w:val="21"/>
              </w:rPr>
              <w:t>堆积重（g/l）</w:t>
            </w:r>
          </w:p>
        </w:tc>
        <w:tc>
          <w:tcPr>
            <w:tcW w:w="2017" w:type="pct"/>
            <w:vAlign w:val="center"/>
          </w:tcPr>
          <w:p w14:paraId="6D42CA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Cs w:val="21"/>
              </w:rPr>
            </w:pPr>
            <w:r>
              <w:rPr>
                <w:rFonts w:hint="eastAsia"/>
                <w:color w:val="auto"/>
                <w:szCs w:val="21"/>
              </w:rPr>
              <w:t>430±50</w:t>
            </w:r>
          </w:p>
        </w:tc>
      </w:tr>
      <w:tr w14:paraId="426B18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52" w:hRule="atLeast"/>
          <w:jc w:val="center"/>
        </w:trPr>
        <w:tc>
          <w:tcPr>
            <w:tcW w:w="782" w:type="pct"/>
            <w:vAlign w:val="center"/>
          </w:tcPr>
          <w:p w14:paraId="2811A0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Cs w:val="21"/>
              </w:rPr>
            </w:pPr>
            <w:r>
              <w:rPr>
                <w:rFonts w:hint="eastAsia"/>
                <w:color w:val="auto"/>
                <w:szCs w:val="21"/>
              </w:rPr>
              <w:t>7</w:t>
            </w:r>
          </w:p>
        </w:tc>
        <w:tc>
          <w:tcPr>
            <w:tcW w:w="2199" w:type="pct"/>
            <w:vAlign w:val="center"/>
          </w:tcPr>
          <w:p w14:paraId="24DBDC2D">
            <w:pPr>
              <w:keepNext w:val="0"/>
              <w:keepLines w:val="0"/>
              <w:pageBreakBefore w:val="0"/>
              <w:widowControl w:val="0"/>
              <w:kinsoku/>
              <w:wordWrap/>
              <w:overflowPunct/>
              <w:topLinePunct w:val="0"/>
              <w:autoSpaceDE/>
              <w:autoSpaceDN/>
              <w:bidi w:val="0"/>
              <w:adjustRightInd/>
              <w:snapToGrid/>
              <w:spacing w:line="240" w:lineRule="auto"/>
              <w:jc w:val="left"/>
              <w:textAlignment w:val="auto"/>
              <w:rPr>
                <w:color w:val="auto"/>
                <w:szCs w:val="21"/>
              </w:rPr>
            </w:pPr>
            <w:r>
              <w:rPr>
                <w:rFonts w:hint="eastAsia"/>
                <w:color w:val="auto"/>
                <w:szCs w:val="21"/>
              </w:rPr>
              <w:t>亚甲蓝值（</w:t>
            </w:r>
            <w:r>
              <w:rPr>
                <w:color w:val="auto"/>
                <w:szCs w:val="21"/>
              </w:rPr>
              <w:t>mg/g</w:t>
            </w:r>
            <w:r>
              <w:rPr>
                <w:rFonts w:hint="eastAsia"/>
                <w:color w:val="auto"/>
                <w:szCs w:val="21"/>
              </w:rPr>
              <w:t>）</w:t>
            </w:r>
          </w:p>
        </w:tc>
        <w:tc>
          <w:tcPr>
            <w:tcW w:w="2017" w:type="pct"/>
            <w:vAlign w:val="center"/>
          </w:tcPr>
          <w:p w14:paraId="0DE248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Cs w:val="21"/>
              </w:rPr>
            </w:pPr>
            <w:r>
              <w:rPr>
                <w:rFonts w:hint="eastAsia"/>
                <w:color w:val="auto"/>
                <w:szCs w:val="21"/>
              </w:rPr>
              <w:t>＞180</w:t>
            </w:r>
          </w:p>
        </w:tc>
      </w:tr>
    </w:tbl>
    <w:p w14:paraId="0A455899">
      <w:pPr>
        <w:rPr>
          <w:rFonts w:hint="eastAsia" w:ascii="宋体" w:hAnsi="宋体" w:cs="宋体"/>
          <w:b w:val="0"/>
          <w:bCs w:val="0"/>
          <w:color w:val="auto"/>
          <w:sz w:val="24"/>
          <w:szCs w:val="22"/>
          <w:lang w:val="en-US" w:eastAsia="zh-CN"/>
        </w:rPr>
      </w:pPr>
    </w:p>
    <w:p w14:paraId="5BA8387E">
      <w:pPr>
        <w:keepNext w:val="0"/>
        <w:keepLines w:val="0"/>
        <w:pageBreakBefore w:val="0"/>
        <w:widowControl w:val="0"/>
        <w:numPr>
          <w:ilvl w:val="0"/>
          <w:numId w:val="26"/>
        </w:numPr>
        <w:kinsoku/>
        <w:wordWrap/>
        <w:overflowPunct/>
        <w:topLinePunct w:val="0"/>
        <w:autoSpaceDE/>
        <w:autoSpaceDN/>
        <w:bidi w:val="0"/>
        <w:adjustRightInd/>
        <w:snapToGrid/>
        <w:spacing w:line="360" w:lineRule="auto"/>
        <w:jc w:val="left"/>
        <w:textAlignment w:val="auto"/>
        <w:rPr>
          <w:rFonts w:hint="eastAsia" w:ascii="宋体" w:hAnsi="宋体" w:cs="宋体"/>
          <w:b/>
          <w:bCs/>
          <w:color w:val="auto"/>
          <w:sz w:val="24"/>
          <w:szCs w:val="22"/>
          <w:lang w:val="en-US" w:eastAsia="zh-CN"/>
        </w:rPr>
      </w:pPr>
      <w:r>
        <w:rPr>
          <w:rFonts w:hint="eastAsia" w:ascii="宋体" w:hAnsi="宋体" w:cs="宋体"/>
          <w:b/>
          <w:bCs/>
          <w:color w:val="auto"/>
          <w:sz w:val="24"/>
          <w:szCs w:val="22"/>
          <w:lang w:val="en-US" w:eastAsia="zh-CN"/>
        </w:rPr>
        <w:t>活性炭吸附罐技术要求</w:t>
      </w:r>
    </w:p>
    <w:p w14:paraId="2811C0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活性炭吸附罐为钢制焊接的柱形容器，本体材质为碳钢（Q235B），所用主焊缝为埋弧自动焊焊接，本体内部衬胶二层（衬胶厚度5mm）并应延至外部法兰结合面，设备衬胶应完整无针孔，能耐受20000伏电火花实验并不被击穿；</w:t>
      </w:r>
    </w:p>
    <w:p w14:paraId="6C7339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2）设备上部留100%的活性炭层膨胀空间；</w:t>
      </w:r>
    </w:p>
    <w:p w14:paraId="680ECB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设备顶部进水装置型式为母管支管式，T型绕丝，绕丝缝隙宽度/目数为100目，母管和支管材质为不锈钢（SS304），应保证布水均匀。底部出水装置为多孔板水帽型，多孔板材质碳钢衬胶，水帽材质ABS，水帽缝隙宽度应小于0.3mm；</w:t>
      </w:r>
    </w:p>
    <w:p w14:paraId="526681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bidi="he-IL"/>
        </w:rPr>
        <w:tab/>
      </w:r>
      <w:r>
        <w:rPr>
          <w:rFonts w:hint="eastAsia" w:ascii="宋体" w:hAnsi="宋体" w:eastAsia="宋体" w:cs="宋体"/>
          <w:color w:val="auto"/>
          <w:sz w:val="24"/>
          <w:szCs w:val="24"/>
          <w:lang w:val="en-US" w:eastAsia="zh-CN" w:bidi="he-IL"/>
        </w:rPr>
        <w:t>4）</w:t>
      </w:r>
      <w:r>
        <w:rPr>
          <w:rFonts w:hint="eastAsia" w:ascii="宋体" w:hAnsi="宋体" w:eastAsia="宋体" w:cs="宋体"/>
          <w:color w:val="auto"/>
          <w:sz w:val="24"/>
          <w:szCs w:val="24"/>
          <w:lang w:val="en-US" w:eastAsia="zh-CN"/>
        </w:rPr>
        <w:t>设备本体上设人孔，以便于设备、填料、设备附件的安装检修，人孔不少于2个，窥视孔不少于2个，窥视孔分布位置在：反洗时活性炭膨胀高度处，填料装填顶位；</w:t>
      </w:r>
    </w:p>
    <w:p w14:paraId="59F1B4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bidi="he-IL"/>
        </w:rPr>
        <w:tab/>
      </w:r>
      <w:r>
        <w:rPr>
          <w:rFonts w:hint="eastAsia" w:ascii="宋体" w:hAnsi="宋体" w:eastAsia="宋体" w:cs="宋体"/>
          <w:color w:val="auto"/>
          <w:sz w:val="24"/>
          <w:szCs w:val="24"/>
          <w:lang w:val="en-US" w:eastAsia="zh-CN" w:bidi="he-IL"/>
        </w:rPr>
        <w:t>5）</w:t>
      </w:r>
      <w:r>
        <w:rPr>
          <w:rFonts w:hint="eastAsia" w:ascii="宋体" w:hAnsi="宋体" w:eastAsia="宋体" w:cs="宋体"/>
          <w:color w:val="auto"/>
          <w:sz w:val="24"/>
          <w:szCs w:val="24"/>
          <w:lang w:val="en-US" w:eastAsia="zh-CN"/>
        </w:rPr>
        <w:t>设备本体上分别设有活性炭进出口；</w:t>
      </w:r>
    </w:p>
    <w:p w14:paraId="30D304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bidi="he-IL"/>
        </w:rPr>
        <w:tab/>
      </w:r>
      <w:r>
        <w:rPr>
          <w:rFonts w:hint="eastAsia" w:ascii="宋体" w:hAnsi="宋体" w:eastAsia="宋体" w:cs="宋体"/>
          <w:color w:val="auto"/>
          <w:sz w:val="24"/>
          <w:szCs w:val="24"/>
          <w:lang w:val="en-US" w:eastAsia="zh-CN" w:bidi="he-IL"/>
        </w:rPr>
        <w:t>6）</w:t>
      </w:r>
      <w:r>
        <w:rPr>
          <w:rFonts w:hint="eastAsia" w:ascii="宋体" w:hAnsi="宋体" w:eastAsia="宋体" w:cs="宋体"/>
          <w:color w:val="auto"/>
          <w:sz w:val="24"/>
          <w:szCs w:val="24"/>
          <w:lang w:val="en-US" w:eastAsia="zh-CN"/>
        </w:rPr>
        <w:t>进出水管各设一套测压装置，材质为耐腐蚀不锈钢，压力表位耐腐蚀压力表，量程：0-1.0MPa，同时配耐腐蚀取样阀2只，取样槽材质不锈钢；</w:t>
      </w:r>
    </w:p>
    <w:p w14:paraId="73C9A2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bidi="he-IL"/>
        </w:rPr>
        <w:tab/>
      </w:r>
      <w:r>
        <w:rPr>
          <w:rFonts w:hint="eastAsia" w:ascii="宋体" w:hAnsi="宋体" w:eastAsia="宋体" w:cs="宋体"/>
          <w:color w:val="auto"/>
          <w:sz w:val="24"/>
          <w:szCs w:val="24"/>
          <w:lang w:val="en-US" w:eastAsia="zh-CN" w:bidi="he-IL"/>
        </w:rPr>
        <w:t>7）</w:t>
      </w:r>
      <w:r>
        <w:rPr>
          <w:rFonts w:hint="eastAsia" w:ascii="宋体" w:hAnsi="宋体" w:eastAsia="宋体" w:cs="宋体"/>
          <w:color w:val="auto"/>
          <w:sz w:val="24"/>
          <w:szCs w:val="24"/>
          <w:lang w:val="en-US" w:eastAsia="zh-CN"/>
        </w:rPr>
        <w:t>设备本体连接管道为碳钢（Q235B）,管道内部衬胶（衬胶厚度3mm）；</w:t>
      </w:r>
    </w:p>
    <w:p w14:paraId="7B57A1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bidi="he-IL"/>
        </w:rPr>
        <w:tab/>
      </w:r>
      <w:r>
        <w:rPr>
          <w:rFonts w:hint="eastAsia" w:ascii="宋体" w:hAnsi="宋体" w:eastAsia="宋体" w:cs="宋体"/>
          <w:color w:val="auto"/>
          <w:sz w:val="24"/>
          <w:szCs w:val="24"/>
          <w:lang w:val="en-US" w:eastAsia="zh-CN" w:bidi="he-IL"/>
        </w:rPr>
        <w:t>8）</w:t>
      </w:r>
      <w:r>
        <w:rPr>
          <w:rFonts w:hint="eastAsia" w:ascii="宋体" w:hAnsi="宋体" w:eastAsia="宋体" w:cs="宋体"/>
          <w:color w:val="auto"/>
          <w:sz w:val="24"/>
          <w:szCs w:val="24"/>
          <w:lang w:val="en-US" w:eastAsia="zh-CN"/>
        </w:rPr>
        <w:t>设备本体连接管道预留进水口/反洗出水口、出水口/反洗进水口、排气口、放空口等管道口。</w:t>
      </w:r>
    </w:p>
    <w:p w14:paraId="3A65418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cs="宋体"/>
          <w:b/>
          <w:bCs/>
          <w:color w:val="auto"/>
          <w:sz w:val="24"/>
          <w:szCs w:val="22"/>
          <w:lang w:val="en-US" w:eastAsia="zh-CN"/>
        </w:rPr>
      </w:pPr>
      <w:r>
        <w:rPr>
          <w:rFonts w:hint="eastAsia" w:ascii="宋体" w:hAnsi="宋体" w:cs="宋体"/>
          <w:b/>
          <w:bCs/>
          <w:color w:val="auto"/>
          <w:sz w:val="24"/>
          <w:szCs w:val="22"/>
          <w:lang w:val="en-US" w:eastAsia="zh-CN"/>
        </w:rPr>
        <w:t>（5）性能保证</w:t>
      </w:r>
    </w:p>
    <w:p w14:paraId="3903254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b w:val="0"/>
          <w:bCs w:val="0"/>
          <w:color w:val="auto"/>
          <w:sz w:val="24"/>
          <w:szCs w:val="22"/>
          <w:lang w:val="en-US" w:eastAsia="zh-CN"/>
        </w:rPr>
      </w:pPr>
      <w:r>
        <w:rPr>
          <w:rFonts w:hint="eastAsia" w:ascii="宋体" w:hAnsi="宋体" w:cs="宋体"/>
          <w:b w:val="0"/>
          <w:bCs w:val="0"/>
          <w:color w:val="auto"/>
          <w:sz w:val="24"/>
          <w:szCs w:val="22"/>
          <w:lang w:val="en-US" w:eastAsia="zh-CN"/>
        </w:rPr>
        <w:t>1）性能保证</w:t>
      </w:r>
    </w:p>
    <w:p w14:paraId="04847393">
      <w:pPr>
        <w:adjustRightInd w:val="0"/>
        <w:snapToGrid w:val="0"/>
        <w:spacing w:line="360" w:lineRule="auto"/>
        <w:ind w:firstLine="420" w:firstLineChars="0"/>
        <w:rPr>
          <w:rFonts w:hint="eastAsia" w:ascii="宋体" w:hAnsi="宋体"/>
          <w:color w:val="auto"/>
          <w:sz w:val="24"/>
        </w:rPr>
      </w:pPr>
      <w:r>
        <w:rPr>
          <w:rFonts w:hint="eastAsia" w:ascii="宋体" w:hAnsi="宋体"/>
          <w:color w:val="auto"/>
          <w:sz w:val="24"/>
          <w:lang w:val="en-US" w:eastAsia="zh-CN"/>
        </w:rPr>
        <w:t>投标人</w:t>
      </w:r>
      <w:r>
        <w:rPr>
          <w:rFonts w:hint="eastAsia" w:ascii="宋体" w:hAnsi="宋体"/>
          <w:color w:val="auto"/>
          <w:sz w:val="24"/>
        </w:rPr>
        <w:t>在完成系统安装调试后，将在</w:t>
      </w:r>
      <w:r>
        <w:rPr>
          <w:rFonts w:hint="eastAsia" w:ascii="宋体" w:hAnsi="宋体"/>
          <w:color w:val="auto"/>
          <w:sz w:val="24"/>
          <w:lang w:val="en-US" w:eastAsia="zh-CN"/>
        </w:rPr>
        <w:t>招标人</w:t>
      </w:r>
      <w:r>
        <w:rPr>
          <w:rFonts w:hint="eastAsia" w:ascii="宋体" w:hAnsi="宋体"/>
          <w:color w:val="auto"/>
          <w:sz w:val="24"/>
        </w:rPr>
        <w:t>的监督下，按系统要求的程序进行试运转，由</w:t>
      </w:r>
      <w:r>
        <w:rPr>
          <w:rFonts w:hint="eastAsia" w:ascii="宋体" w:hAnsi="宋体"/>
          <w:color w:val="auto"/>
          <w:sz w:val="24"/>
          <w:lang w:val="en-US" w:eastAsia="zh-CN"/>
        </w:rPr>
        <w:t>投标人</w:t>
      </w:r>
      <w:r>
        <w:rPr>
          <w:rFonts w:hint="eastAsia" w:ascii="宋体" w:hAnsi="宋体"/>
          <w:color w:val="auto"/>
          <w:sz w:val="24"/>
        </w:rPr>
        <w:t>的人员进行操作，并进行所有必要的试验来证明设备情况良好，且符合</w:t>
      </w:r>
      <w:r>
        <w:rPr>
          <w:rFonts w:hint="eastAsia" w:ascii="宋体" w:hAnsi="宋体"/>
          <w:color w:val="auto"/>
          <w:sz w:val="24"/>
          <w:lang w:val="en-US" w:eastAsia="zh-CN"/>
        </w:rPr>
        <w:t>技术规范</w:t>
      </w:r>
      <w:r>
        <w:rPr>
          <w:rFonts w:hint="eastAsia" w:ascii="宋体" w:hAnsi="宋体"/>
          <w:color w:val="auto"/>
          <w:sz w:val="24"/>
        </w:rPr>
        <w:t>的要求，在试验后，设备即可交付</w:t>
      </w:r>
      <w:r>
        <w:rPr>
          <w:rFonts w:hint="eastAsia" w:ascii="宋体" w:hAnsi="宋体"/>
          <w:color w:val="auto"/>
          <w:sz w:val="24"/>
          <w:lang w:val="en-US" w:eastAsia="zh-CN"/>
        </w:rPr>
        <w:t>招标人</w:t>
      </w:r>
      <w:r>
        <w:rPr>
          <w:rFonts w:hint="eastAsia" w:ascii="宋体" w:hAnsi="宋体"/>
          <w:color w:val="auto"/>
          <w:sz w:val="24"/>
        </w:rPr>
        <w:t>作正常运行用。</w:t>
      </w:r>
    </w:p>
    <w:p w14:paraId="1C9FA140">
      <w:pPr>
        <w:adjustRightInd w:val="0"/>
        <w:snapToGrid w:val="0"/>
        <w:spacing w:line="360" w:lineRule="auto"/>
        <w:ind w:firstLine="420" w:firstLineChars="0"/>
        <w:rPr>
          <w:rFonts w:hint="eastAsia" w:ascii="宋体" w:hAnsi="宋体"/>
          <w:color w:val="auto"/>
          <w:sz w:val="24"/>
        </w:rPr>
      </w:pPr>
      <w:r>
        <w:rPr>
          <w:rFonts w:hint="eastAsia" w:ascii="宋体" w:hAnsi="宋体"/>
          <w:color w:val="auto"/>
          <w:sz w:val="24"/>
        </w:rPr>
        <w:t>整个系统及设备的性能测试应在安装结束后7天内进行，测试结果应满足</w:t>
      </w:r>
      <w:r>
        <w:rPr>
          <w:rFonts w:hint="eastAsia" w:ascii="宋体" w:hAnsi="宋体"/>
          <w:color w:val="auto"/>
          <w:sz w:val="24"/>
          <w:lang w:val="en-US" w:eastAsia="zh-CN"/>
        </w:rPr>
        <w:t>技术规范</w:t>
      </w:r>
      <w:r>
        <w:rPr>
          <w:rFonts w:hint="eastAsia" w:ascii="宋体" w:hAnsi="宋体"/>
          <w:color w:val="auto"/>
          <w:sz w:val="24"/>
        </w:rPr>
        <w:t>中所述技术要求。</w:t>
      </w:r>
    </w:p>
    <w:p w14:paraId="70719F75">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宋体"/>
          <w:b w:val="0"/>
          <w:bCs w:val="0"/>
          <w:color w:val="auto"/>
          <w:sz w:val="24"/>
          <w:szCs w:val="22"/>
          <w:lang w:val="en-US" w:eastAsia="zh-CN"/>
        </w:rPr>
      </w:pPr>
      <w:r>
        <w:rPr>
          <w:rFonts w:hint="eastAsia" w:ascii="宋体" w:hAnsi="宋体" w:cs="宋体"/>
          <w:b w:val="0"/>
          <w:bCs w:val="0"/>
          <w:color w:val="auto"/>
          <w:sz w:val="24"/>
          <w:szCs w:val="22"/>
          <w:lang w:val="en-US" w:eastAsia="zh-CN"/>
        </w:rPr>
        <w:t>机械保证</w:t>
      </w:r>
    </w:p>
    <w:p w14:paraId="43637804">
      <w:pPr>
        <w:adjustRightInd w:val="0"/>
        <w:snapToGrid w:val="0"/>
        <w:spacing w:line="360" w:lineRule="auto"/>
        <w:ind w:firstLine="480" w:firstLineChars="200"/>
        <w:rPr>
          <w:rFonts w:hint="eastAsia" w:ascii="宋体" w:hAnsi="宋体"/>
          <w:color w:val="auto"/>
          <w:sz w:val="24"/>
        </w:rPr>
      </w:pPr>
      <w:r>
        <w:rPr>
          <w:rFonts w:hint="eastAsia" w:ascii="宋体" w:hAnsi="宋体"/>
          <w:color w:val="auto"/>
          <w:sz w:val="24"/>
        </w:rPr>
        <w:t>各类机械设备的性能在运行后的12个月或货物运抵现场后18个月（消耗性材料除外）内发现的缺陷，都可以认为是供货不当引起的。</w:t>
      </w:r>
    </w:p>
    <w:p w14:paraId="28AA161B">
      <w:pPr>
        <w:adjustRightInd w:val="0"/>
        <w:snapToGrid w:val="0"/>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在保质期内，设备在正确操作运行下出现质量问题，</w:t>
      </w:r>
      <w:r>
        <w:rPr>
          <w:rFonts w:hint="eastAsia" w:ascii="宋体" w:hAnsi="宋体" w:eastAsia="宋体" w:cs="Times New Roman"/>
          <w:color w:val="auto"/>
          <w:sz w:val="24"/>
          <w:lang w:val="en-US" w:eastAsia="zh-CN"/>
        </w:rPr>
        <w:t>投标人</w:t>
      </w:r>
      <w:r>
        <w:rPr>
          <w:rFonts w:hint="eastAsia" w:ascii="宋体" w:hAnsi="宋体" w:eastAsia="宋体" w:cs="Times New Roman"/>
          <w:color w:val="auto"/>
          <w:sz w:val="24"/>
        </w:rPr>
        <w:t>负责免费更换与维修损坏件。</w:t>
      </w:r>
    </w:p>
    <w:p w14:paraId="678CC4CA">
      <w:pPr>
        <w:adjustRightInd w:val="0"/>
        <w:snapToGrid w:val="0"/>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在质量保证期后，</w:t>
      </w:r>
      <w:r>
        <w:rPr>
          <w:rFonts w:hint="eastAsia" w:ascii="宋体" w:hAnsi="宋体" w:eastAsia="宋体" w:cs="Times New Roman"/>
          <w:color w:val="auto"/>
          <w:sz w:val="24"/>
          <w:lang w:val="en-US" w:eastAsia="zh-CN"/>
        </w:rPr>
        <w:t>投标人</w:t>
      </w:r>
      <w:r>
        <w:rPr>
          <w:rFonts w:hint="eastAsia" w:ascii="宋体" w:hAnsi="宋体" w:eastAsia="宋体" w:cs="Times New Roman"/>
          <w:color w:val="auto"/>
          <w:sz w:val="24"/>
        </w:rPr>
        <w:t>以优惠价格长期供应备件。</w:t>
      </w:r>
    </w:p>
    <w:p w14:paraId="49A72876">
      <w:pPr>
        <w:widowControl w:val="0"/>
        <w:numPr>
          <w:ilvl w:val="0"/>
          <w:numId w:val="0"/>
        </w:numPr>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（6）工作范围与技术文件</w:t>
      </w:r>
    </w:p>
    <w:p w14:paraId="61EA3F01">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1）工作范围</w:t>
      </w:r>
    </w:p>
    <w:p w14:paraId="307963F0">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lang w:eastAsia="zh-CN"/>
        </w:rPr>
        <w:t>负责</w:t>
      </w:r>
      <w:r>
        <w:rPr>
          <w:rFonts w:hint="eastAsia" w:ascii="宋体" w:hAnsi="宋体" w:eastAsia="宋体" w:cs="宋体"/>
          <w:color w:val="auto"/>
          <w:sz w:val="24"/>
          <w:szCs w:val="24"/>
          <w:lang w:val="en-US" w:eastAsia="zh-CN"/>
        </w:rPr>
        <w:t>活性炭吸附罐</w:t>
      </w:r>
      <w:r>
        <w:rPr>
          <w:rFonts w:hint="eastAsia" w:ascii="宋体" w:hAnsi="宋体" w:eastAsia="宋体" w:cs="宋体"/>
          <w:color w:val="auto"/>
          <w:sz w:val="24"/>
          <w:szCs w:val="24"/>
          <w:lang w:eastAsia="zh-CN"/>
        </w:rPr>
        <w:t>等设备的结构设计及制造（设计图需经</w:t>
      </w:r>
      <w:r>
        <w:rPr>
          <w:rFonts w:hint="eastAsia" w:ascii="宋体" w:hAnsi="宋体" w:eastAsia="宋体" w:cs="宋体"/>
          <w:color w:val="auto"/>
          <w:sz w:val="24"/>
          <w:szCs w:val="24"/>
          <w:lang w:val="en-US" w:eastAsia="zh-CN"/>
        </w:rPr>
        <w:t>招标人及设计</w:t>
      </w:r>
      <w:r>
        <w:rPr>
          <w:rFonts w:hint="eastAsia" w:ascii="宋体" w:hAnsi="宋体" w:eastAsia="宋体" w:cs="宋体"/>
          <w:color w:val="auto"/>
          <w:sz w:val="24"/>
          <w:szCs w:val="24"/>
          <w:lang w:eastAsia="zh-CN"/>
        </w:rPr>
        <w:t>确认后方可生产）。</w:t>
      </w:r>
    </w:p>
    <w:p w14:paraId="6AFCC4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2）工作分工</w:t>
      </w:r>
    </w:p>
    <w:p w14:paraId="54605E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承担</w:t>
      </w:r>
      <w:r>
        <w:rPr>
          <w:rFonts w:hint="eastAsia" w:ascii="宋体" w:hAnsi="宋体" w:eastAsia="宋体" w:cs="宋体"/>
          <w:color w:val="auto"/>
          <w:sz w:val="24"/>
          <w:szCs w:val="24"/>
          <w:lang w:val="en-US" w:eastAsia="zh-CN"/>
        </w:rPr>
        <w:t>工艺范围内活性炭吸附罐</w:t>
      </w:r>
      <w:r>
        <w:rPr>
          <w:rFonts w:hint="eastAsia" w:ascii="宋体" w:hAnsi="宋体" w:eastAsia="宋体" w:cs="宋体"/>
          <w:color w:val="auto"/>
          <w:sz w:val="24"/>
          <w:szCs w:val="24"/>
        </w:rPr>
        <w:t>系统设计、设备材料供货、安装、调试及人员培训等。</w:t>
      </w:r>
    </w:p>
    <w:p w14:paraId="5E4955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招标人</w:t>
      </w:r>
      <w:r>
        <w:rPr>
          <w:rFonts w:hint="eastAsia" w:ascii="宋体" w:hAnsi="宋体" w:eastAsia="宋体" w:cs="宋体"/>
          <w:color w:val="auto"/>
          <w:sz w:val="24"/>
          <w:szCs w:val="24"/>
        </w:rPr>
        <w:t>承担</w:t>
      </w:r>
      <w:r>
        <w:rPr>
          <w:rFonts w:hint="eastAsia" w:ascii="宋体" w:hAnsi="宋体" w:eastAsia="宋体" w:cs="宋体"/>
          <w:color w:val="auto"/>
          <w:sz w:val="24"/>
          <w:szCs w:val="24"/>
          <w:lang w:val="en-US" w:eastAsia="zh-CN"/>
        </w:rPr>
        <w:t>工艺范围内</w:t>
      </w:r>
      <w:r>
        <w:rPr>
          <w:rFonts w:hint="eastAsia" w:ascii="宋体" w:hAnsi="宋体" w:eastAsia="宋体" w:cs="宋体"/>
          <w:color w:val="auto"/>
          <w:sz w:val="24"/>
          <w:szCs w:val="24"/>
        </w:rPr>
        <w:t>相关的其它设备材料以及界区内的土建（含预埋件）、照明、电缆沟（含预埋件）及电缆预埋管等。</w:t>
      </w:r>
    </w:p>
    <w:p w14:paraId="2A1933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3）技术资料</w:t>
      </w:r>
    </w:p>
    <w:p w14:paraId="4B3F09D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技术文件资料包括以下内容：</w:t>
      </w:r>
    </w:p>
    <w:p w14:paraId="6BF54BC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①</w:t>
      </w:r>
      <w:r>
        <w:rPr>
          <w:rFonts w:hint="eastAsia" w:ascii="宋体" w:hAnsi="宋体" w:eastAsia="宋体" w:cs="宋体"/>
          <w:color w:val="auto"/>
          <w:sz w:val="24"/>
          <w:szCs w:val="24"/>
          <w:lang w:eastAsia="zh-CN"/>
        </w:rPr>
        <w:t>设备安装图</w:t>
      </w:r>
      <w:r>
        <w:rPr>
          <w:rFonts w:hint="eastAsia" w:ascii="宋体" w:hAnsi="宋体" w:eastAsia="宋体" w:cs="宋体"/>
          <w:color w:val="auto"/>
          <w:sz w:val="24"/>
          <w:szCs w:val="24"/>
        </w:rPr>
        <w:t>；</w:t>
      </w:r>
    </w:p>
    <w:p w14:paraId="644CEBB9">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②</w:t>
      </w:r>
      <w:r>
        <w:rPr>
          <w:rFonts w:hint="eastAsia" w:ascii="宋体" w:hAnsi="宋体" w:eastAsia="宋体" w:cs="宋体"/>
          <w:color w:val="auto"/>
          <w:sz w:val="24"/>
          <w:szCs w:val="24"/>
        </w:rPr>
        <w:t>设备及材料清单（包括设备型号、规范、数量、产地、厂家及相关设备和</w:t>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rPr>
        <w:t>化学仪表的样表）；</w:t>
      </w:r>
    </w:p>
    <w:p w14:paraId="5B24B7CB">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③</w:t>
      </w:r>
      <w:r>
        <w:rPr>
          <w:rFonts w:hint="eastAsia" w:ascii="宋体" w:hAnsi="宋体" w:eastAsia="宋体" w:cs="宋体"/>
          <w:color w:val="auto"/>
          <w:sz w:val="24"/>
          <w:szCs w:val="24"/>
        </w:rPr>
        <w:t>安装、维护及运行手册；</w:t>
      </w:r>
    </w:p>
    <w:p w14:paraId="12FADB79">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④</w:t>
      </w:r>
      <w:r>
        <w:rPr>
          <w:rFonts w:hint="eastAsia" w:ascii="宋体" w:hAnsi="宋体" w:eastAsia="宋体" w:cs="宋体"/>
          <w:color w:val="auto"/>
          <w:sz w:val="24"/>
          <w:szCs w:val="24"/>
        </w:rPr>
        <w:t>专用工具清单；</w:t>
      </w:r>
    </w:p>
    <w:p w14:paraId="3C972F7B">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⑤</w:t>
      </w:r>
      <w:r>
        <w:rPr>
          <w:rFonts w:hint="eastAsia" w:ascii="宋体" w:hAnsi="宋体" w:eastAsia="宋体" w:cs="宋体"/>
          <w:color w:val="auto"/>
          <w:sz w:val="24"/>
          <w:szCs w:val="24"/>
        </w:rPr>
        <w:t>备品备件清单；</w:t>
      </w:r>
    </w:p>
    <w:p w14:paraId="1DFB66BC">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⑥</w:t>
      </w:r>
      <w:r>
        <w:rPr>
          <w:rFonts w:hint="eastAsia" w:ascii="宋体" w:hAnsi="宋体" w:eastAsia="宋体" w:cs="宋体"/>
          <w:color w:val="auto"/>
          <w:sz w:val="24"/>
          <w:szCs w:val="24"/>
        </w:rPr>
        <w:t>竣工图和竣工资料；</w:t>
      </w:r>
    </w:p>
    <w:p w14:paraId="142090EB">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⑦投标人</w:t>
      </w:r>
      <w:r>
        <w:rPr>
          <w:rFonts w:hint="eastAsia" w:ascii="宋体" w:hAnsi="宋体" w:eastAsia="宋体" w:cs="宋体"/>
          <w:color w:val="auto"/>
          <w:sz w:val="24"/>
          <w:szCs w:val="24"/>
        </w:rPr>
        <w:t>供应范围之内的制造厂资料；</w:t>
      </w:r>
    </w:p>
    <w:p w14:paraId="156FBD0C">
      <w:pPr>
        <w:keepNext w:val="0"/>
        <w:keepLines w:val="0"/>
        <w:pageBreakBefore w:val="0"/>
        <w:widowControl w:val="0"/>
        <w:numPr>
          <w:ilvl w:val="0"/>
          <w:numId w:val="0"/>
        </w:numPr>
        <w:kinsoku/>
        <w:wordWrap/>
        <w:overflowPunct/>
        <w:topLinePunct w:val="0"/>
        <w:autoSpaceDE/>
        <w:autoSpaceDN/>
        <w:bidi w:val="0"/>
        <w:spacing w:line="360" w:lineRule="auto"/>
        <w:ind w:leftChars="0" w:firstLine="420" w:firstLineChars="0"/>
        <w:textAlignment w:val="auto"/>
        <w:rPr>
          <w:rFonts w:hint="eastAsia" w:ascii="宋体" w:hAnsi="宋体" w:eastAsia="宋体" w:cs="宋体"/>
          <w:b/>
          <w:bCs/>
          <w:color w:val="auto"/>
          <w:sz w:val="24"/>
          <w:szCs w:val="22"/>
          <w:lang w:val="en-US" w:eastAsia="zh-CN"/>
        </w:rPr>
      </w:pPr>
      <w:r>
        <w:rPr>
          <w:rFonts w:hint="eastAsia" w:ascii="宋体" w:hAnsi="宋体" w:eastAsia="宋体" w:cs="宋体"/>
          <w:color w:val="auto"/>
          <w:sz w:val="24"/>
          <w:szCs w:val="24"/>
          <w:lang w:val="en-US" w:eastAsia="zh-CN"/>
        </w:rPr>
        <w:t>⑧</w:t>
      </w:r>
      <w:r>
        <w:rPr>
          <w:rFonts w:hint="eastAsia" w:ascii="宋体" w:hAnsi="宋体" w:eastAsia="宋体" w:cs="宋体"/>
          <w:color w:val="auto"/>
          <w:sz w:val="24"/>
          <w:szCs w:val="24"/>
        </w:rPr>
        <w:t>产品说明书</w:t>
      </w:r>
      <w:r>
        <w:rPr>
          <w:rFonts w:hint="eastAsia" w:ascii="宋体" w:hAnsi="宋体" w:eastAsia="宋体" w:cs="宋体"/>
          <w:color w:val="auto"/>
          <w:sz w:val="24"/>
          <w:szCs w:val="24"/>
          <w:lang w:eastAsia="zh-CN"/>
        </w:rPr>
        <w:t>。</w:t>
      </w:r>
    </w:p>
    <w:p w14:paraId="6A7A9EB4">
      <w:pPr>
        <w:spacing w:line="360" w:lineRule="auto"/>
        <w:ind w:firstLine="420" w:firstLineChars="0"/>
        <w:rPr>
          <w:rFonts w:hint="eastAsia" w:eastAsiaTheme="minorEastAsia"/>
          <w:lang w:eastAsia="zh-CN"/>
        </w:rPr>
      </w:pPr>
      <w:r>
        <w:rPr>
          <w:rFonts w:hint="eastAsia" w:ascii="宋体" w:hAnsi="宋体" w:eastAsia="宋体" w:cs="Times New Roman"/>
          <w:b/>
          <w:bCs/>
          <w:color w:val="0000FF"/>
          <w:sz w:val="24"/>
          <w:szCs w:val="24"/>
          <w:highlight w:val="yellow"/>
          <w:lang w:val="en-US" w:eastAsia="zh-CN"/>
        </w:rPr>
        <w:t>注：</w:t>
      </w:r>
      <w:r>
        <w:rPr>
          <w:rFonts w:hint="eastAsia" w:ascii="宋体" w:hAnsi="宋体" w:cs="宋体"/>
          <w:kern w:val="0"/>
          <w:sz w:val="24"/>
          <w:highlight w:val="yellow"/>
          <w:lang w:val="en-US" w:eastAsia="zh-CN"/>
        </w:rPr>
        <w:t>本次招标的设备需提供至少</w:t>
      </w:r>
      <w:r>
        <w:rPr>
          <w:rFonts w:hint="eastAsia" w:ascii="宋体" w:hAnsi="宋体" w:cs="宋体"/>
          <w:b/>
          <w:bCs/>
          <w:kern w:val="0"/>
          <w:sz w:val="24"/>
          <w:highlight w:val="yellow"/>
          <w:u w:val="single"/>
          <w:lang w:val="en-US" w:eastAsia="zh-CN"/>
        </w:rPr>
        <w:t>1年</w:t>
      </w:r>
      <w:r>
        <w:rPr>
          <w:rFonts w:hint="eastAsia" w:ascii="宋体" w:hAnsi="宋体" w:cs="宋体"/>
          <w:kern w:val="0"/>
          <w:sz w:val="24"/>
          <w:highlight w:val="yellow"/>
          <w:lang w:val="en-US" w:eastAsia="zh-CN"/>
        </w:rPr>
        <w:t>的免费质保服务，免费质保期自设备安装调试验收合格并连续运行满6个月之日起计算。</w:t>
      </w:r>
    </w:p>
    <w:p w14:paraId="23E69AAC">
      <w:pPr>
        <w:spacing w:line="360" w:lineRule="auto"/>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五、商务要求：</w:t>
      </w:r>
    </w:p>
    <w:p w14:paraId="2A589D04">
      <w:pPr>
        <w:spacing w:line="276" w:lineRule="auto"/>
        <w:ind w:firstLine="480" w:firstLineChars="200"/>
        <w:rPr>
          <w:rFonts w:hint="eastAsia" w:ascii="宋体" w:hAnsi="宋体" w:cs="宋体" w:eastAsiaTheme="minorEastAsia"/>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、交货地点：</w:t>
      </w:r>
      <w:r>
        <w:rPr>
          <w:rFonts w:hint="eastAsia" w:ascii="宋体" w:hAnsi="宋体" w:cs="宋体"/>
          <w:color w:val="auto"/>
          <w:kern w:val="0"/>
          <w:sz w:val="24"/>
          <w:szCs w:val="24"/>
          <w:highlight w:val="none"/>
        </w:rPr>
        <w:t>必须按采购人要求将本项目中货物送到指定地点</w:t>
      </w:r>
      <w:r>
        <w:rPr>
          <w:rFonts w:hint="eastAsia" w:ascii="宋体" w:hAnsi="宋体" w:cs="宋体"/>
          <w:color w:val="auto"/>
          <w:kern w:val="0"/>
          <w:sz w:val="24"/>
          <w:szCs w:val="24"/>
          <w:highlight w:val="none"/>
          <w:lang w:eastAsia="zh-CN"/>
        </w:rPr>
        <w:t>。</w:t>
      </w:r>
    </w:p>
    <w:p w14:paraId="116788B8">
      <w:pPr>
        <w:spacing w:line="600" w:lineRule="exact"/>
        <w:ind w:firstLine="480" w:firstLineChars="200"/>
        <w:rPr>
          <w:rFonts w:hint="eastAsia" w:ascii="宋体" w:hAnsi="宋体"/>
          <w:color w:val="auto"/>
          <w:sz w:val="24"/>
          <w:u w:val="singl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、交货期限：</w:t>
      </w:r>
      <w:r>
        <w:rPr>
          <w:rFonts w:hint="eastAsia" w:ascii="宋体" w:hAnsi="宋体"/>
          <w:color w:val="auto"/>
          <w:sz w:val="24"/>
          <w:u w:val="none"/>
        </w:rPr>
        <w:t>分批供货，</w:t>
      </w:r>
      <w:r>
        <w:rPr>
          <w:rFonts w:hint="eastAsia" w:ascii="宋体" w:hAnsi="宋体"/>
          <w:color w:val="auto"/>
          <w:sz w:val="24"/>
          <w:u w:val="none"/>
          <w:lang w:eastAsia="zh-CN"/>
        </w:rPr>
        <w:t>乙方</w:t>
      </w:r>
      <w:r>
        <w:rPr>
          <w:rFonts w:hint="eastAsia" w:ascii="宋体" w:hAnsi="宋体"/>
          <w:color w:val="auto"/>
          <w:sz w:val="24"/>
          <w:u w:val="none"/>
        </w:rPr>
        <w:t>接到</w:t>
      </w:r>
      <w:r>
        <w:rPr>
          <w:rFonts w:hint="eastAsia" w:ascii="宋体" w:hAnsi="宋体"/>
          <w:color w:val="auto"/>
          <w:sz w:val="24"/>
          <w:u w:val="none"/>
          <w:lang w:eastAsia="zh-CN"/>
        </w:rPr>
        <w:t>甲方</w:t>
      </w:r>
      <w:r>
        <w:rPr>
          <w:rFonts w:hint="eastAsia" w:ascii="宋体" w:hAnsi="宋体"/>
          <w:color w:val="auto"/>
          <w:sz w:val="24"/>
          <w:u w:val="none"/>
        </w:rPr>
        <w:t>的发货通知后</w:t>
      </w:r>
      <w:r>
        <w:rPr>
          <w:rFonts w:hint="eastAsia" w:ascii="宋体" w:hAnsi="宋体"/>
          <w:color w:val="auto"/>
          <w:sz w:val="24"/>
          <w:u w:val="none"/>
          <w:lang w:val="en-US" w:eastAsia="zh-CN"/>
        </w:rPr>
        <w:t>50</w:t>
      </w:r>
      <w:r>
        <w:rPr>
          <w:rFonts w:hint="eastAsia" w:ascii="宋体" w:hAnsi="宋体"/>
          <w:color w:val="auto"/>
          <w:sz w:val="24"/>
          <w:u w:val="none"/>
        </w:rPr>
        <w:t>天内供货</w:t>
      </w:r>
      <w:r>
        <w:rPr>
          <w:rFonts w:hint="eastAsia" w:ascii="宋体" w:hAnsi="宋体"/>
          <w:color w:val="auto"/>
          <w:sz w:val="24"/>
          <w:u w:val="none"/>
          <w:lang w:eastAsia="zh-CN"/>
        </w:rPr>
        <w:t>，</w:t>
      </w:r>
      <w:r>
        <w:rPr>
          <w:rFonts w:hint="eastAsia" w:ascii="宋体" w:hAnsi="宋体"/>
          <w:color w:val="auto"/>
          <w:sz w:val="24"/>
          <w:u w:val="none"/>
          <w:lang w:val="en-US" w:eastAsia="zh-CN"/>
        </w:rPr>
        <w:t>乙方接到甲方的安装调试通知之日起15天内完成安装调试。如延误交货或延误调试将承担违约责任。到货时间以施工单位、监理及建设方共同签收时间为准。</w:t>
      </w:r>
    </w:p>
    <w:p w14:paraId="1AD04E33">
      <w:pPr>
        <w:spacing w:line="6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、验收标准：采购人根据国家有关规定、招标文件、投标文件以及合同约定的内容和验收标准进行验收。验收情况作为支付货款的依据。</w:t>
      </w:r>
    </w:p>
    <w:p w14:paraId="3EA87B2C">
      <w:pPr>
        <w:pStyle w:val="65"/>
        <w:spacing w:line="360" w:lineRule="auto"/>
        <w:ind w:firstLine="490"/>
        <w:rPr>
          <w:rFonts w:ascii="宋体" w:hAnsi="宋体"/>
          <w:sz w:val="24"/>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、付款步骤：</w:t>
      </w:r>
      <w:r>
        <w:rPr>
          <w:rFonts w:hint="eastAsia" w:asciiTheme="minorEastAsia" w:hAnsiTheme="minorEastAsia" w:eastAsiaTheme="minorEastAsia"/>
          <w:color w:val="000000"/>
          <w:sz w:val="24"/>
          <w:szCs w:val="24"/>
        </w:rPr>
        <w:t>（1）</w:t>
      </w:r>
      <w:r>
        <w:rPr>
          <w:rFonts w:hint="eastAsia" w:ascii="宋体" w:hAnsi="宋体"/>
          <w:sz w:val="24"/>
        </w:rPr>
        <w:t>合同设备</w:t>
      </w:r>
      <w:r>
        <w:rPr>
          <w:rFonts w:hint="eastAsia" w:ascii="宋体" w:hAnsi="宋体"/>
          <w:sz w:val="24"/>
          <w:lang w:val="en-US" w:eastAsia="zh-CN"/>
        </w:rPr>
        <w:t>试运行</w:t>
      </w:r>
      <w:r>
        <w:rPr>
          <w:rFonts w:hint="eastAsia" w:ascii="宋体" w:hAnsi="宋体"/>
          <w:sz w:val="24"/>
        </w:rPr>
        <w:t>正常，经甲方现场验收合格</w:t>
      </w:r>
      <w:r>
        <w:rPr>
          <w:rFonts w:hint="eastAsia" w:ascii="宋体" w:hAnsi="宋体"/>
          <w:sz w:val="24"/>
          <w:lang w:val="en-US" w:eastAsia="zh-CN"/>
        </w:rPr>
        <w:t>后</w:t>
      </w:r>
      <w:r>
        <w:rPr>
          <w:rFonts w:hint="eastAsia" w:ascii="宋体" w:hAnsi="宋体"/>
          <w:sz w:val="24"/>
        </w:rPr>
        <w:t>，经甲方现场验收合格</w:t>
      </w:r>
      <w:r>
        <w:rPr>
          <w:rFonts w:hint="eastAsia" w:ascii="宋体" w:hAnsi="宋体"/>
          <w:sz w:val="24"/>
          <w:lang w:val="en-US" w:eastAsia="zh-CN"/>
        </w:rPr>
        <w:t>后</w:t>
      </w:r>
      <w:r>
        <w:rPr>
          <w:rFonts w:hint="eastAsia" w:ascii="宋体" w:hAnsi="宋体"/>
          <w:sz w:val="24"/>
        </w:rPr>
        <w:t>，乙方须于当月</w:t>
      </w:r>
      <w:r>
        <w:rPr>
          <w:rFonts w:hint="eastAsia" w:ascii="宋体" w:hAnsi="宋体"/>
          <w:sz w:val="24"/>
          <w:lang w:val="en-US" w:eastAsia="zh-CN"/>
        </w:rPr>
        <w:t>2</w:t>
      </w:r>
      <w:r>
        <w:rPr>
          <w:rFonts w:hint="eastAsia" w:ascii="宋体" w:hAnsi="宋体"/>
          <w:sz w:val="24"/>
        </w:rPr>
        <w:t>5日前开具所供货物的全额增值税税务发票，甲方在30天内支付发票金额的</w:t>
      </w:r>
      <w:r>
        <w:rPr>
          <w:rFonts w:hint="eastAsia" w:ascii="宋体" w:hAnsi="宋体"/>
          <w:sz w:val="24"/>
          <w:lang w:val="en-US" w:eastAsia="zh-CN"/>
        </w:rPr>
        <w:t>60</w:t>
      </w:r>
      <w:r>
        <w:rPr>
          <w:rFonts w:hint="eastAsia" w:ascii="宋体" w:hAnsi="宋体"/>
          <w:sz w:val="24"/>
        </w:rPr>
        <w:t>%货款；</w:t>
      </w:r>
      <w:r>
        <w:rPr>
          <w:rFonts w:hint="eastAsia" w:ascii="宋体" w:hAnsi="宋体" w:eastAsiaTheme="minorEastAsia"/>
          <w:sz w:val="24"/>
          <w:lang w:eastAsia="zh-CN"/>
        </w:rPr>
        <w:t>（</w:t>
      </w:r>
      <w:r>
        <w:rPr>
          <w:rFonts w:hint="eastAsia" w:ascii="宋体" w:hAnsi="宋体" w:eastAsiaTheme="minorEastAsia"/>
          <w:sz w:val="24"/>
          <w:lang w:val="en-US" w:eastAsia="zh-CN"/>
        </w:rPr>
        <w:t>2</w:t>
      </w:r>
      <w:r>
        <w:rPr>
          <w:rFonts w:hint="eastAsia" w:ascii="宋体" w:hAnsi="宋体" w:eastAsiaTheme="minorEastAsia"/>
          <w:sz w:val="24"/>
          <w:lang w:eastAsia="zh-CN"/>
        </w:rPr>
        <w:t>）</w:t>
      </w:r>
      <w:r>
        <w:rPr>
          <w:rFonts w:hint="eastAsia" w:ascii="宋体" w:hAnsi="宋体" w:eastAsiaTheme="minorEastAsia"/>
          <w:sz w:val="24"/>
          <w:lang w:val="en-US" w:eastAsia="zh-CN"/>
        </w:rPr>
        <w:t>连续</w:t>
      </w:r>
      <w:r>
        <w:rPr>
          <w:rFonts w:hint="eastAsia" w:asciiTheme="minorEastAsia" w:hAnsiTheme="minorEastAsia" w:eastAsiaTheme="minorEastAsia"/>
          <w:sz w:val="24"/>
          <w:szCs w:val="24"/>
        </w:rPr>
        <w:t>运行</w:t>
      </w:r>
      <w:r>
        <w:rPr>
          <w:rFonts w:hint="eastAsia" w:asciiTheme="minorEastAsia" w:hAnsiTheme="minorEastAsia" w:eastAsiaTheme="minorEastAsia"/>
          <w:sz w:val="24"/>
          <w:szCs w:val="24"/>
          <w:lang w:val="en-US" w:eastAsia="zh-CN"/>
        </w:rPr>
        <w:t>6个月</w:t>
      </w:r>
      <w:r>
        <w:rPr>
          <w:rFonts w:hint="eastAsia" w:asciiTheme="minorEastAsia" w:hAnsiTheme="minorEastAsia" w:eastAsiaTheme="minorEastAsia"/>
          <w:sz w:val="24"/>
          <w:szCs w:val="24"/>
        </w:rPr>
        <w:t>后，无质量问题，30天内支付所供货物发票金额的30%；（</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w:t>
      </w:r>
      <w:r>
        <w:rPr>
          <w:rFonts w:hint="eastAsia" w:ascii="宋体" w:hAnsi="宋体"/>
          <w:color w:val="000000"/>
          <w:sz w:val="24"/>
        </w:rPr>
        <w:t>余款10%作为质保金，</w:t>
      </w:r>
      <w:r>
        <w:rPr>
          <w:rFonts w:hint="eastAsia" w:ascii="宋体" w:hAnsi="宋体"/>
          <w:sz w:val="24"/>
          <w:szCs w:val="22"/>
        </w:rPr>
        <w:t>在质保期满后</w:t>
      </w:r>
      <w:r>
        <w:rPr>
          <w:rFonts w:hint="eastAsia" w:ascii="宋体" w:hAnsi="宋体"/>
          <w:sz w:val="24"/>
          <w:szCs w:val="22"/>
          <w:lang w:eastAsia="zh-CN"/>
        </w:rPr>
        <w:t>，</w:t>
      </w:r>
      <w:r>
        <w:rPr>
          <w:rFonts w:hint="eastAsia" w:ascii="宋体" w:hAnsi="宋体"/>
          <w:sz w:val="24"/>
          <w:szCs w:val="22"/>
          <w:lang w:val="en-US" w:eastAsia="zh-CN"/>
        </w:rPr>
        <w:t>无质量问题，</w:t>
      </w:r>
      <w:r>
        <w:rPr>
          <w:rFonts w:hint="eastAsia" w:ascii="宋体" w:hAnsi="宋体"/>
          <w:sz w:val="24"/>
          <w:szCs w:val="22"/>
        </w:rPr>
        <w:t>三十日内一次性付清。</w:t>
      </w:r>
      <w:r>
        <w:rPr>
          <w:rFonts w:hint="eastAsia" w:asciiTheme="minorEastAsia" w:hAnsiTheme="minorEastAsia" w:eastAsiaTheme="minorEastAsia"/>
          <w:sz w:val="24"/>
          <w:szCs w:val="24"/>
        </w:rPr>
        <w:t>（由于财政结算等流程设计问题，特殊情况结算会滞后）</w:t>
      </w:r>
    </w:p>
    <w:p w14:paraId="5FDF1188">
      <w:pPr>
        <w:spacing w:line="276" w:lineRule="auto"/>
        <w:ind w:firstLine="420" w:firstLineChars="200"/>
        <w:rPr>
          <w:rFonts w:hint="eastAsia" w:eastAsia="宋体"/>
          <w:color w:val="FF0000"/>
          <w:u w:val="single"/>
          <w:lang w:val="en-US" w:eastAsia="zh-CN"/>
        </w:rPr>
      </w:pPr>
    </w:p>
    <w:p w14:paraId="2A36CD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p>
    <w:p w14:paraId="660D62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p>
    <w:p w14:paraId="5906F0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p>
    <w:p w14:paraId="3B04B2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p>
    <w:p w14:paraId="533E78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p>
    <w:p w14:paraId="331D98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p>
    <w:p w14:paraId="0313D0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p>
    <w:p w14:paraId="69688B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p>
    <w:p w14:paraId="37F68E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p>
    <w:p w14:paraId="14E05B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p>
    <w:p w14:paraId="34BA8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p>
    <w:p w14:paraId="528948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p>
    <w:p w14:paraId="1381D10D">
      <w:pPr>
        <w:pStyle w:val="26"/>
        <w:ind w:left="0" w:leftChars="0" w:firstLine="0" w:firstLineChars="0"/>
        <w:rPr>
          <w:color w:val="auto"/>
          <w:highlight w:val="none"/>
        </w:rPr>
      </w:pPr>
    </w:p>
    <w:p w14:paraId="314FADB2">
      <w:pPr>
        <w:numPr>
          <w:ilvl w:val="0"/>
          <w:numId w:val="27"/>
        </w:numPr>
        <w:spacing w:line="360" w:lineRule="auto"/>
        <w:jc w:val="center"/>
        <w:outlineLvl w:val="0"/>
        <w:rPr>
          <w:rFonts w:hint="eastAsia" w:ascii="黑体" w:hAnsi="黑体" w:eastAsia="黑体"/>
          <w:color w:val="auto"/>
          <w:sz w:val="28"/>
          <w:highlight w:val="none"/>
        </w:rPr>
      </w:pPr>
      <w:r>
        <w:rPr>
          <w:rFonts w:hint="eastAsia" w:ascii="黑体" w:hAnsi="黑体" w:eastAsia="黑体"/>
          <w:color w:val="auto"/>
          <w:sz w:val="28"/>
          <w:highlight w:val="none"/>
          <w:lang w:val="en-US" w:eastAsia="zh-CN"/>
        </w:rPr>
        <w:t>西渚污水厂细格栅及精准除砂装置、除臭系统、活性</w:t>
      </w:r>
    </w:p>
    <w:p w14:paraId="3072E56B">
      <w:pPr>
        <w:numPr>
          <w:ilvl w:val="0"/>
          <w:numId w:val="0"/>
        </w:numPr>
        <w:spacing w:line="360" w:lineRule="auto"/>
        <w:jc w:val="center"/>
        <w:outlineLvl w:val="0"/>
        <w:rPr>
          <w:rFonts w:hint="eastAsia" w:ascii="黑体" w:hAnsi="黑体" w:eastAsia="黑体"/>
          <w:color w:val="auto"/>
          <w:sz w:val="28"/>
          <w:highlight w:val="none"/>
        </w:rPr>
      </w:pPr>
      <w:r>
        <w:rPr>
          <w:rFonts w:hint="eastAsia" w:ascii="黑体" w:hAnsi="黑体" w:eastAsia="黑体"/>
          <w:color w:val="auto"/>
          <w:sz w:val="28"/>
          <w:highlight w:val="none"/>
          <w:lang w:val="en-US" w:eastAsia="zh-CN"/>
        </w:rPr>
        <w:t>炭吸附罐设备采购合同</w:t>
      </w:r>
    </w:p>
    <w:p w14:paraId="5A35CE88">
      <w:pPr>
        <w:pStyle w:val="64"/>
        <w:jc w:val="center"/>
        <w:rPr>
          <w:b/>
          <w:kern w:val="2"/>
          <w:sz w:val="28"/>
        </w:rPr>
      </w:pPr>
      <w:bookmarkStart w:id="47" w:name="_Toc459706761"/>
      <w:bookmarkStart w:id="48" w:name="_Toc395096185"/>
      <w:bookmarkStart w:id="49" w:name="_Toc464206274"/>
      <w:r>
        <w:rPr>
          <w:rFonts w:hint="eastAsia"/>
          <w:kern w:val="2"/>
          <w:sz w:val="28"/>
        </w:rPr>
        <w:t>第一部分 协议书</w:t>
      </w:r>
    </w:p>
    <w:p w14:paraId="72C08CB7">
      <w:pPr>
        <w:pStyle w:val="64"/>
        <w:spacing w:line="380" w:lineRule="exact"/>
        <w:ind w:firstLine="490"/>
        <w:rPr>
          <w:rFonts w:hint="eastAsia" w:ascii="宋体" w:hAnsi="宋体" w:eastAsia="宋体" w:cs="宋体"/>
          <w:b w:val="0"/>
          <w:bCs/>
          <w:sz w:val="28"/>
          <w:szCs w:val="28"/>
          <w:lang w:eastAsia="zh-CN"/>
        </w:rPr>
      </w:pPr>
      <w:r>
        <w:rPr>
          <w:rFonts w:hint="eastAsia" w:ascii="宋体" w:hAnsi="宋体" w:eastAsia="宋体" w:cs="宋体"/>
          <w:b w:val="0"/>
          <w:bCs/>
          <w:kern w:val="2"/>
          <w:sz w:val="24"/>
          <w:lang w:eastAsia="zh-CN"/>
        </w:rPr>
        <w:t>甲方</w:t>
      </w:r>
      <w:r>
        <w:rPr>
          <w:rFonts w:hint="eastAsia" w:ascii="宋体" w:hAnsi="宋体" w:eastAsia="宋体" w:cs="宋体"/>
          <w:b w:val="0"/>
          <w:bCs/>
          <w:kern w:val="2"/>
          <w:sz w:val="24"/>
        </w:rPr>
        <w:t>（即甲方，全称）：</w:t>
      </w:r>
      <w:r>
        <w:rPr>
          <w:rFonts w:hint="eastAsia" w:ascii="宋体" w:hAnsi="宋体" w:eastAsia="宋体" w:cs="宋体"/>
          <w:b w:val="0"/>
          <w:bCs/>
          <w:kern w:val="2"/>
          <w:sz w:val="24"/>
          <w:u w:val="single"/>
          <w:lang w:eastAsia="zh-CN"/>
        </w:rPr>
        <w:t>宜兴市公用环保集团有限公司</w:t>
      </w:r>
    </w:p>
    <w:p w14:paraId="3A8300A7">
      <w:pPr>
        <w:pStyle w:val="64"/>
        <w:spacing w:line="380" w:lineRule="exact"/>
        <w:ind w:firstLine="490"/>
        <w:rPr>
          <w:rFonts w:hint="eastAsia" w:ascii="宋体" w:hAnsi="宋体" w:eastAsia="宋体" w:cs="宋体"/>
          <w:b w:val="0"/>
          <w:bCs/>
          <w:kern w:val="2"/>
          <w:sz w:val="24"/>
          <w:u w:val="single"/>
        </w:rPr>
      </w:pPr>
      <w:r>
        <w:rPr>
          <w:rFonts w:hint="eastAsia" w:ascii="宋体" w:hAnsi="宋体" w:eastAsia="宋体" w:cs="宋体"/>
          <w:b w:val="0"/>
          <w:bCs/>
          <w:kern w:val="2"/>
          <w:sz w:val="24"/>
          <w:lang w:eastAsia="zh-CN"/>
        </w:rPr>
        <w:t>乙方</w:t>
      </w:r>
      <w:r>
        <w:rPr>
          <w:rFonts w:hint="eastAsia" w:ascii="宋体" w:hAnsi="宋体" w:eastAsia="宋体" w:cs="宋体"/>
          <w:b w:val="0"/>
          <w:bCs/>
          <w:kern w:val="2"/>
          <w:sz w:val="24"/>
        </w:rPr>
        <w:t>（即乙方，全称）：</w:t>
      </w:r>
      <w:r>
        <w:rPr>
          <w:rFonts w:hint="eastAsia" w:ascii="宋体" w:hAnsi="宋体" w:eastAsia="宋体" w:cs="宋体"/>
          <w:b w:val="0"/>
          <w:bCs/>
          <w:kern w:val="2"/>
          <w:sz w:val="24"/>
          <w:u w:val="single"/>
        </w:rPr>
        <w:t xml:space="preserve">                           </w:t>
      </w:r>
      <w:bookmarkEnd w:id="47"/>
      <w:bookmarkEnd w:id="48"/>
      <w:bookmarkEnd w:id="49"/>
    </w:p>
    <w:p w14:paraId="0DC9A383">
      <w:pPr>
        <w:pStyle w:val="60"/>
        <w:spacing w:line="380" w:lineRule="exact"/>
        <w:ind w:firstLine="490"/>
        <w:rPr>
          <w:rFonts w:ascii="宋体" w:hAnsi="宋体"/>
          <w:sz w:val="24"/>
        </w:rPr>
      </w:pPr>
    </w:p>
    <w:p w14:paraId="4AC9A738">
      <w:pPr>
        <w:pStyle w:val="60"/>
        <w:ind w:firstLine="488"/>
        <w:rPr>
          <w:rFonts w:ascii="宋体" w:hAnsi="宋体"/>
          <w:sz w:val="24"/>
        </w:rPr>
      </w:pPr>
      <w:r>
        <w:rPr>
          <w:rFonts w:hint="eastAsia" w:ascii="宋体" w:hAnsi="宋体"/>
          <w:sz w:val="24"/>
        </w:rPr>
        <w:t>依照《中华人民共和国</w:t>
      </w:r>
      <w:r>
        <w:rPr>
          <w:rFonts w:hint="eastAsia" w:ascii="宋体" w:hAnsi="宋体"/>
          <w:sz w:val="24"/>
          <w:lang w:eastAsia="zh-CN"/>
        </w:rPr>
        <w:t>民法典</w:t>
      </w:r>
      <w:r>
        <w:rPr>
          <w:rFonts w:hint="eastAsia" w:ascii="宋体" w:hAnsi="宋体"/>
          <w:sz w:val="24"/>
        </w:rPr>
        <w:t>》、《中华人民共和国建筑法》及其他有关法律、行政法规，遵循平等、自愿、公平和诚实信用的原则，双方就本建设工程施工事项协商一致，订立本合同。</w:t>
      </w:r>
    </w:p>
    <w:p w14:paraId="6336F025">
      <w:pPr>
        <w:pStyle w:val="60"/>
        <w:spacing w:after="120" w:line="380" w:lineRule="exact"/>
        <w:ind w:left="420" w:leftChars="200"/>
      </w:pPr>
      <w:r>
        <w:rPr>
          <w:rFonts w:hint="eastAsia"/>
        </w:rPr>
        <w:t>一</w:t>
      </w:r>
      <w:r>
        <w:t>、</w:t>
      </w:r>
      <w:r>
        <w:rPr>
          <w:rFonts w:hint="eastAsia"/>
          <w:lang w:val="en-US" w:eastAsia="zh-CN"/>
        </w:rPr>
        <w:t>项目</w:t>
      </w:r>
      <w:r>
        <w:t>概况</w:t>
      </w:r>
    </w:p>
    <w:p w14:paraId="3FB4779C">
      <w:pPr>
        <w:pStyle w:val="60"/>
        <w:spacing w:line="380" w:lineRule="exact"/>
        <w:ind w:firstLine="490"/>
        <w:rPr>
          <w:rFonts w:hint="default" w:ascii="ˎ̥" w:hAnsi="ˎ̥" w:eastAsia="宋体" w:cs="宋体"/>
          <w:color w:val="0000FF"/>
          <w:kern w:val="0"/>
          <w:sz w:val="24"/>
          <w:u w:val="single"/>
          <w:lang w:val="en-US" w:eastAsia="zh-CN"/>
        </w:rPr>
      </w:pPr>
      <w:r>
        <w:rPr>
          <w:rFonts w:hint="eastAsia" w:ascii="宋体" w:hAnsi="宋体"/>
          <w:sz w:val="24"/>
        </w:rPr>
        <w:t>1.</w:t>
      </w:r>
      <w:r>
        <w:rPr>
          <w:rFonts w:hint="eastAsia" w:ascii="宋体" w:hAnsi="宋体"/>
          <w:sz w:val="24"/>
          <w:lang w:val="en-US" w:eastAsia="zh-CN"/>
        </w:rPr>
        <w:t>项目</w:t>
      </w:r>
      <w:r>
        <w:rPr>
          <w:rFonts w:hint="eastAsia" w:ascii="宋体" w:hAnsi="宋体"/>
          <w:sz w:val="24"/>
        </w:rPr>
        <w:t>名称</w:t>
      </w:r>
      <w:r>
        <w:rPr>
          <w:rFonts w:hint="eastAsia" w:ascii="ˎ̥" w:hAnsi="ˎ̥" w:cs="宋体"/>
          <w:color w:val="0000FF"/>
          <w:kern w:val="0"/>
          <w:sz w:val="24"/>
          <w:u w:val="none"/>
        </w:rPr>
        <w:t>：</w:t>
      </w:r>
      <w:r>
        <w:rPr>
          <w:rFonts w:hint="eastAsia" w:ascii="ˎ̥" w:hAnsi="ˎ̥" w:cs="宋体"/>
          <w:color w:val="0000FF"/>
          <w:kern w:val="0"/>
          <w:sz w:val="24"/>
          <w:u w:val="single"/>
          <w:lang w:val="en-US" w:eastAsia="zh-CN"/>
        </w:rPr>
        <w:t>西渚污水厂细格栅及精准除砂装置、除臭系统、活性炭吸附罐设备采购</w:t>
      </w:r>
    </w:p>
    <w:p w14:paraId="43EAC1D8">
      <w:pPr>
        <w:pStyle w:val="60"/>
        <w:spacing w:line="380" w:lineRule="exact"/>
        <w:ind w:firstLine="490"/>
        <w:rPr>
          <w:rFonts w:ascii="宋体" w:hAnsi="宋体"/>
          <w:sz w:val="24"/>
          <w:u w:val="single"/>
        </w:rPr>
      </w:pPr>
      <w:r>
        <w:rPr>
          <w:rFonts w:hint="eastAsia" w:ascii="宋体" w:hAnsi="宋体"/>
          <w:sz w:val="24"/>
        </w:rPr>
        <w:t>2.</w:t>
      </w:r>
      <w:r>
        <w:rPr>
          <w:rFonts w:hint="eastAsia" w:ascii="宋体" w:hAnsi="宋体"/>
          <w:sz w:val="24"/>
          <w:lang w:val="en-US" w:eastAsia="zh-CN"/>
        </w:rPr>
        <w:t>项目</w:t>
      </w:r>
      <w:r>
        <w:rPr>
          <w:rFonts w:hint="eastAsia" w:ascii="宋体" w:hAnsi="宋体"/>
          <w:sz w:val="24"/>
        </w:rPr>
        <w:t>地点：</w:t>
      </w:r>
      <w:r>
        <w:rPr>
          <w:rFonts w:hint="eastAsia" w:ascii="ˎ̥" w:hAnsi="ˎ̥" w:eastAsia="宋体" w:cs="宋体"/>
          <w:color w:val="0000FF"/>
          <w:kern w:val="0"/>
          <w:sz w:val="24"/>
          <w:u w:val="single"/>
          <w:lang w:val="en-US" w:eastAsia="zh-CN"/>
        </w:rPr>
        <w:t>宜兴市</w:t>
      </w:r>
    </w:p>
    <w:p w14:paraId="08E28F02">
      <w:pPr>
        <w:pStyle w:val="60"/>
        <w:spacing w:line="380" w:lineRule="exact"/>
        <w:ind w:left="489" w:leftChars="233"/>
        <w:rPr>
          <w:rFonts w:ascii="宋体" w:hAnsi="宋体"/>
          <w:sz w:val="24"/>
          <w:u w:val="single"/>
        </w:rPr>
      </w:pPr>
      <w:r>
        <w:rPr>
          <w:rFonts w:hint="eastAsia" w:ascii="宋体" w:hAnsi="宋体"/>
          <w:sz w:val="24"/>
        </w:rPr>
        <w:t>4.资金来源：</w:t>
      </w:r>
      <w:r>
        <w:rPr>
          <w:rFonts w:hint="eastAsia" w:ascii="ˎ̥" w:hAnsi="ˎ̥" w:cs="宋体"/>
          <w:color w:val="0000FF"/>
          <w:kern w:val="0"/>
          <w:sz w:val="24"/>
          <w:u w:val="single"/>
        </w:rPr>
        <w:t>企业自筹</w:t>
      </w:r>
    </w:p>
    <w:p w14:paraId="205E65B0">
      <w:pPr>
        <w:pStyle w:val="60"/>
        <w:spacing w:line="380" w:lineRule="exact"/>
        <w:ind w:left="479" w:leftChars="228" w:right="170"/>
        <w:rPr>
          <w:rFonts w:ascii="ˎ̥" w:hAnsi="ˎ̥" w:cs="宋体"/>
          <w:color w:val="0000FF"/>
          <w:kern w:val="0"/>
          <w:sz w:val="24"/>
          <w:u w:val="single"/>
        </w:rPr>
      </w:pPr>
      <w:r>
        <w:rPr>
          <w:rFonts w:hint="eastAsia" w:ascii="宋体" w:hAnsi="宋体"/>
          <w:sz w:val="24"/>
        </w:rPr>
        <w:t>5.</w:t>
      </w:r>
      <w:r>
        <w:rPr>
          <w:rFonts w:hint="eastAsia" w:ascii="宋体" w:hAnsi="宋体"/>
          <w:sz w:val="24"/>
          <w:lang w:val="en-US" w:eastAsia="zh-CN"/>
        </w:rPr>
        <w:t>项目</w:t>
      </w:r>
      <w:r>
        <w:rPr>
          <w:rFonts w:hint="eastAsia" w:ascii="宋体" w:hAnsi="宋体"/>
          <w:sz w:val="24"/>
        </w:rPr>
        <w:t>内容：</w:t>
      </w:r>
      <w:r>
        <w:rPr>
          <w:rFonts w:hint="eastAsia" w:ascii="ˎ̥" w:hAnsi="ˎ̥" w:cs="宋体"/>
          <w:color w:val="0000FF"/>
          <w:kern w:val="0"/>
          <w:sz w:val="24"/>
          <w:u w:val="single"/>
          <w:lang w:val="en-US" w:eastAsia="zh-CN"/>
        </w:rPr>
        <w:t>西渚污水厂细格栅及精准除砂装置、除臭系统、活性炭吸附罐设备</w:t>
      </w:r>
      <w:r>
        <w:rPr>
          <w:rFonts w:hint="eastAsia" w:ascii="ˎ̥" w:hAnsi="ˎ̥" w:cs="宋体"/>
          <w:color w:val="0000FF"/>
          <w:kern w:val="0"/>
          <w:sz w:val="24"/>
          <w:u w:val="single"/>
        </w:rPr>
        <w:t>的供货、运输、交货、</w:t>
      </w:r>
      <w:r>
        <w:rPr>
          <w:rFonts w:hint="eastAsia" w:ascii="ˎ̥" w:hAnsi="ˎ̥" w:cs="宋体"/>
          <w:color w:val="0000FF"/>
          <w:kern w:val="0"/>
          <w:sz w:val="24"/>
          <w:u w:val="single"/>
          <w:lang w:val="en-US" w:eastAsia="zh-CN"/>
        </w:rPr>
        <w:t>装卸、</w:t>
      </w:r>
      <w:r>
        <w:rPr>
          <w:rFonts w:hint="eastAsia" w:ascii="ˎ̥" w:hAnsi="ˎ̥" w:cs="宋体"/>
          <w:color w:val="0000FF"/>
          <w:kern w:val="0"/>
          <w:sz w:val="24"/>
          <w:u w:val="single"/>
          <w:lang w:eastAsia="zh-CN"/>
        </w:rPr>
        <w:t>安装、</w:t>
      </w:r>
      <w:r>
        <w:rPr>
          <w:rFonts w:hint="eastAsia" w:ascii="ˎ̥" w:hAnsi="ˎ̥" w:cs="宋体"/>
          <w:color w:val="0000FF"/>
          <w:kern w:val="0"/>
          <w:sz w:val="24"/>
          <w:u w:val="single"/>
          <w:lang w:val="en-US" w:eastAsia="zh-CN"/>
        </w:rPr>
        <w:t>调试及售后服务</w:t>
      </w:r>
      <w:r>
        <w:rPr>
          <w:rFonts w:hint="eastAsia" w:ascii="ˎ̥" w:hAnsi="ˎ̥" w:cs="宋体"/>
          <w:color w:val="0000FF"/>
          <w:kern w:val="0"/>
          <w:sz w:val="24"/>
          <w:u w:val="single"/>
        </w:rPr>
        <w:t>等。</w:t>
      </w:r>
    </w:p>
    <w:p w14:paraId="41AA64D9">
      <w:pPr>
        <w:pStyle w:val="60"/>
        <w:spacing w:line="380" w:lineRule="exact"/>
        <w:ind w:left="479" w:leftChars="228" w:right="170"/>
        <w:rPr>
          <w:rFonts w:ascii="宋体" w:hAnsi="MS Sans Serif"/>
          <w:spacing w:val="12"/>
          <w:kern w:val="0"/>
          <w:sz w:val="24"/>
          <w:szCs w:val="20"/>
        </w:rPr>
      </w:pPr>
      <w:r>
        <w:rPr>
          <w:rFonts w:hint="eastAsia" w:ascii="宋体" w:hAnsi="MS Sans Serif"/>
          <w:spacing w:val="12"/>
          <w:kern w:val="0"/>
          <w:sz w:val="24"/>
          <w:szCs w:val="20"/>
        </w:rPr>
        <w:t>二</w:t>
      </w:r>
      <w:r>
        <w:rPr>
          <w:rFonts w:ascii="宋体" w:hAnsi="MS Sans Serif"/>
          <w:spacing w:val="12"/>
          <w:kern w:val="0"/>
          <w:sz w:val="24"/>
          <w:szCs w:val="20"/>
        </w:rPr>
        <w:t>、合同工期</w:t>
      </w:r>
    </w:p>
    <w:p w14:paraId="2CB52C33">
      <w:pPr>
        <w:spacing w:line="360" w:lineRule="auto"/>
        <w:ind w:firstLine="480" w:firstLineChars="200"/>
        <w:rPr>
          <w:rFonts w:hint="eastAsia" w:ascii="宋体" w:hAnsi="宋体"/>
          <w:color w:val="000000"/>
          <w:sz w:val="24"/>
          <w:szCs w:val="22"/>
          <w:u w:val="single"/>
          <w:lang w:val="zh-CN"/>
        </w:rPr>
      </w:pPr>
      <w:r>
        <w:rPr>
          <w:rFonts w:hint="eastAsia" w:ascii="宋体" w:hAnsi="宋体"/>
          <w:sz w:val="24"/>
          <w:u w:val="single"/>
          <w:lang w:val="en-US" w:eastAsia="zh-CN"/>
        </w:rPr>
        <w:t>自中标之日起至2026年12月31日</w:t>
      </w:r>
      <w:r>
        <w:rPr>
          <w:rFonts w:hint="eastAsia" w:ascii="宋体" w:hAnsi="宋体"/>
          <w:bCs/>
          <w:sz w:val="24"/>
          <w:szCs w:val="24"/>
          <w:u w:val="single"/>
          <w:lang w:val="zh-CN"/>
        </w:rPr>
        <w:t>或</w:t>
      </w:r>
      <w:r>
        <w:rPr>
          <w:rFonts w:hint="eastAsia" w:ascii="宋体" w:hAnsi="宋体" w:eastAsia="宋体" w:cs="宋体"/>
          <w:sz w:val="24"/>
          <w:szCs w:val="24"/>
          <w:u w:val="single"/>
        </w:rPr>
        <w:t>合同总额先到者为准</w:t>
      </w:r>
      <w:r>
        <w:rPr>
          <w:rFonts w:hint="eastAsia" w:ascii="宋体" w:hAnsi="宋体"/>
          <w:sz w:val="24"/>
          <w:u w:val="single"/>
          <w:lang w:val="en-US" w:eastAsia="zh-CN"/>
        </w:rPr>
        <w:t>。</w:t>
      </w:r>
      <w:r>
        <w:rPr>
          <w:rFonts w:hint="eastAsia" w:ascii="宋体" w:hAnsi="宋体"/>
          <w:color w:val="000000"/>
          <w:sz w:val="24"/>
          <w:szCs w:val="22"/>
          <w:u w:val="single"/>
          <w:lang w:val="zh-CN"/>
        </w:rPr>
        <w:t>分批供货，</w:t>
      </w:r>
      <w:r>
        <w:rPr>
          <w:rFonts w:hint="eastAsia" w:ascii="宋体" w:hAnsi="宋体"/>
          <w:sz w:val="24"/>
          <w:u w:val="single"/>
          <w:lang w:val="en-US" w:eastAsia="zh-CN"/>
        </w:rPr>
        <w:t>乙方</w:t>
      </w:r>
      <w:r>
        <w:rPr>
          <w:rFonts w:hint="eastAsia" w:ascii="宋体" w:hAnsi="宋体"/>
          <w:sz w:val="24"/>
          <w:u w:val="single"/>
        </w:rPr>
        <w:t>接到</w:t>
      </w:r>
      <w:r>
        <w:rPr>
          <w:rFonts w:hint="eastAsia" w:ascii="宋体" w:hAnsi="宋体"/>
          <w:sz w:val="24"/>
          <w:u w:val="single"/>
          <w:lang w:val="en-US" w:eastAsia="zh-CN"/>
        </w:rPr>
        <w:t>甲</w:t>
      </w:r>
      <w:r>
        <w:rPr>
          <w:rFonts w:hint="eastAsia" w:ascii="宋体" w:hAnsi="宋体"/>
          <w:sz w:val="24"/>
          <w:u w:val="single"/>
        </w:rPr>
        <w:t>方的发货通知后</w:t>
      </w:r>
      <w:r>
        <w:rPr>
          <w:rFonts w:hint="eastAsia" w:ascii="宋体" w:hAnsi="宋体"/>
          <w:sz w:val="24"/>
          <w:u w:val="single"/>
          <w:lang w:val="en-US" w:eastAsia="zh-CN"/>
        </w:rPr>
        <w:t>50</w:t>
      </w:r>
      <w:r>
        <w:rPr>
          <w:rFonts w:hint="eastAsia" w:ascii="宋体" w:hAnsi="宋体"/>
          <w:sz w:val="24"/>
          <w:u w:val="single"/>
        </w:rPr>
        <w:t>天内</w:t>
      </w:r>
      <w:r>
        <w:rPr>
          <w:rFonts w:hint="eastAsia" w:ascii="宋体" w:hAnsi="宋体"/>
          <w:sz w:val="24"/>
          <w:u w:val="single"/>
          <w:lang w:val="en-US" w:eastAsia="zh-CN"/>
        </w:rPr>
        <w:t>完成</w:t>
      </w:r>
      <w:r>
        <w:rPr>
          <w:rFonts w:hint="eastAsia" w:ascii="宋体" w:hAnsi="宋体"/>
          <w:sz w:val="24"/>
          <w:u w:val="single"/>
        </w:rPr>
        <w:t>供货</w:t>
      </w:r>
      <w:r>
        <w:rPr>
          <w:rFonts w:hint="eastAsia" w:ascii="宋体" w:hAnsi="宋体"/>
          <w:sz w:val="24"/>
          <w:u w:val="single"/>
          <w:lang w:eastAsia="zh-CN"/>
        </w:rPr>
        <w:t>，</w:t>
      </w:r>
      <w:r>
        <w:rPr>
          <w:rFonts w:hint="eastAsia" w:ascii="宋体" w:hAnsi="宋体"/>
          <w:sz w:val="24"/>
          <w:u w:val="single"/>
          <w:lang w:val="en-US" w:eastAsia="zh-CN"/>
        </w:rPr>
        <w:t>乙方接到甲方的安装调试通知之日起15天内完成安装调试</w:t>
      </w:r>
      <w:r>
        <w:rPr>
          <w:rFonts w:hint="eastAsia" w:ascii="宋体" w:hAnsi="宋体"/>
          <w:color w:val="000000"/>
          <w:sz w:val="24"/>
          <w:szCs w:val="22"/>
          <w:u w:val="single"/>
          <w:lang w:val="zh-CN"/>
        </w:rPr>
        <w:t>。（具体交货期限接</w:t>
      </w:r>
      <w:r>
        <w:rPr>
          <w:rFonts w:hint="eastAsia" w:ascii="宋体" w:hAnsi="宋体"/>
          <w:color w:val="000000"/>
          <w:sz w:val="24"/>
          <w:szCs w:val="22"/>
          <w:u w:val="single"/>
        </w:rPr>
        <w:t>宜兴市公用环保集团有</w:t>
      </w:r>
      <w:r>
        <w:rPr>
          <w:rFonts w:hint="eastAsia" w:ascii="宋体" w:hAnsi="宋体"/>
          <w:color w:val="000000"/>
          <w:sz w:val="24"/>
          <w:szCs w:val="22"/>
          <w:u w:val="single"/>
          <w:lang w:val="zh-CN"/>
        </w:rPr>
        <w:t>限公司的通知，否则后果一切自负）。如延误交货或中断供货将承担违约责任。</w:t>
      </w:r>
    </w:p>
    <w:p w14:paraId="00D4612F">
      <w:pPr>
        <w:pStyle w:val="60"/>
        <w:spacing w:after="120" w:line="380" w:lineRule="exact"/>
        <w:ind w:left="420" w:leftChars="200"/>
      </w:pPr>
      <w:r>
        <w:rPr>
          <w:rFonts w:hint="eastAsia" w:ascii="宋体" w:hAnsi="MS Sans Serif"/>
          <w:spacing w:val="12"/>
          <w:kern w:val="0"/>
          <w:sz w:val="24"/>
          <w:szCs w:val="20"/>
        </w:rPr>
        <w:t>三</w:t>
      </w:r>
      <w:r>
        <w:rPr>
          <w:rFonts w:ascii="宋体" w:hAnsi="MS Sans Serif"/>
          <w:spacing w:val="12"/>
          <w:kern w:val="0"/>
          <w:sz w:val="24"/>
          <w:szCs w:val="20"/>
        </w:rPr>
        <w:t>、质量标准</w:t>
      </w:r>
    </w:p>
    <w:p w14:paraId="167F01B4">
      <w:pPr>
        <w:pStyle w:val="60"/>
        <w:keepNext w:val="0"/>
        <w:keepLines w:val="0"/>
        <w:pageBreakBefore w:val="0"/>
        <w:widowControl w:val="0"/>
        <w:kinsoku/>
        <w:wordWrap/>
        <w:overflowPunct/>
        <w:topLinePunct w:val="0"/>
        <w:autoSpaceDE/>
        <w:autoSpaceDN/>
        <w:bidi w:val="0"/>
        <w:adjustRightInd/>
        <w:snapToGrid/>
        <w:spacing w:line="360" w:lineRule="auto"/>
        <w:ind w:firstLine="488"/>
        <w:textAlignment w:val="auto"/>
        <w:rPr>
          <w:rFonts w:ascii="宋体" w:hAnsi="宋体"/>
          <w:sz w:val="24"/>
        </w:rPr>
      </w:pPr>
      <w:r>
        <w:rPr>
          <w:rFonts w:hint="eastAsia" w:ascii="宋体" w:hAnsi="宋体"/>
          <w:sz w:val="24"/>
        </w:rPr>
        <w:t>合格，符合国家现行有关标准、相关行业规范及</w:t>
      </w:r>
      <w:r>
        <w:rPr>
          <w:rFonts w:hint="eastAsia" w:ascii="宋体" w:hAnsi="宋体"/>
          <w:sz w:val="24"/>
          <w:lang w:val="en-US" w:eastAsia="zh-CN"/>
        </w:rPr>
        <w:t>甲方</w:t>
      </w:r>
      <w:r>
        <w:rPr>
          <w:rFonts w:hint="eastAsia" w:ascii="宋体" w:hAnsi="宋体"/>
          <w:sz w:val="24"/>
        </w:rPr>
        <w:t>要求，由用户单位负责验收。</w:t>
      </w:r>
    </w:p>
    <w:p w14:paraId="30D65C53">
      <w:pPr>
        <w:pStyle w:val="60"/>
        <w:spacing w:after="120" w:line="380" w:lineRule="exact"/>
        <w:ind w:left="420" w:leftChars="200"/>
        <w:rPr>
          <w:sz w:val="24"/>
          <w:u w:val="single"/>
        </w:rPr>
      </w:pPr>
      <w:r>
        <w:rPr>
          <w:rFonts w:hint="eastAsia"/>
          <w:sz w:val="24"/>
        </w:rPr>
        <w:t>四</w:t>
      </w:r>
      <w:r>
        <w:rPr>
          <w:sz w:val="24"/>
        </w:rPr>
        <w:t>、合同价款</w:t>
      </w:r>
    </w:p>
    <w:p w14:paraId="150FB51C">
      <w:pPr>
        <w:spacing w:line="360" w:lineRule="auto"/>
        <w:ind w:firstLine="480" w:firstLineChars="200"/>
        <w:rPr>
          <w:rFonts w:hint="eastAsia" w:ascii="宋体" w:hAnsi="宋体"/>
          <w:color w:val="000000"/>
          <w:sz w:val="24"/>
          <w:szCs w:val="22"/>
          <w:lang w:val="zh-CN"/>
        </w:rPr>
      </w:pPr>
      <w:bookmarkStart w:id="50" w:name="_Toc351203486"/>
      <w:r>
        <w:rPr>
          <w:rFonts w:hint="eastAsia" w:ascii="宋体" w:hAnsi="宋体"/>
          <w:color w:val="000000"/>
          <w:sz w:val="24"/>
          <w:szCs w:val="22"/>
          <w:lang w:val="zh-CN"/>
        </w:rPr>
        <w:t>金额（大写）：</w:t>
      </w:r>
      <w:r>
        <w:rPr>
          <w:rFonts w:hint="eastAsia" w:ascii="宋体" w:hAnsi="宋体"/>
          <w:color w:val="000000"/>
          <w:sz w:val="24"/>
          <w:szCs w:val="22"/>
          <w:u w:val="single"/>
          <w:lang w:val="en-US" w:eastAsia="zh-CN"/>
        </w:rPr>
        <w:t xml:space="preserve">                       </w:t>
      </w:r>
      <w:r>
        <w:rPr>
          <w:rFonts w:hint="eastAsia" w:ascii="宋体" w:hAnsi="宋体"/>
          <w:color w:val="000000"/>
          <w:sz w:val="24"/>
          <w:szCs w:val="22"/>
          <w:lang w:val="zh-CN"/>
        </w:rPr>
        <w:t>元（人民币）</w:t>
      </w:r>
    </w:p>
    <w:p w14:paraId="041484E3">
      <w:pPr>
        <w:pStyle w:val="60"/>
        <w:spacing w:after="120" w:line="380" w:lineRule="atLeast"/>
        <w:ind w:left="420" w:leftChars="200" w:firstLine="1200" w:firstLineChars="500"/>
        <w:rPr>
          <w:rFonts w:hint="eastAsia" w:ascii="宋体" w:hAnsi="宋体"/>
          <w:color w:val="000000"/>
          <w:sz w:val="24"/>
          <w:szCs w:val="22"/>
          <w:lang w:val="zh-CN"/>
        </w:rPr>
      </w:pPr>
      <w:r>
        <w:rPr>
          <w:rFonts w:hint="eastAsia" w:ascii="宋体" w:hAnsi="宋体"/>
          <w:color w:val="000000"/>
          <w:sz w:val="24"/>
          <w:szCs w:val="22"/>
          <w:lang w:val="zh-CN"/>
        </w:rPr>
        <w:t>￥：</w:t>
      </w:r>
      <w:r>
        <w:rPr>
          <w:rFonts w:hint="eastAsia" w:ascii="宋体" w:hAnsi="宋体"/>
          <w:color w:val="000000"/>
          <w:sz w:val="24"/>
          <w:szCs w:val="22"/>
          <w:u w:val="single"/>
          <w:lang w:val="en-US" w:eastAsia="zh-CN"/>
        </w:rPr>
        <w:t xml:space="preserve">                       </w:t>
      </w:r>
      <w:r>
        <w:rPr>
          <w:rFonts w:hint="eastAsia" w:ascii="宋体" w:hAnsi="宋体"/>
          <w:color w:val="000000"/>
          <w:sz w:val="24"/>
          <w:szCs w:val="22"/>
          <w:lang w:val="zh-CN"/>
        </w:rPr>
        <w:t>元（人民币）</w:t>
      </w:r>
    </w:p>
    <w:p w14:paraId="108AD8D0">
      <w:pPr>
        <w:pStyle w:val="60"/>
        <w:spacing w:after="120" w:line="380" w:lineRule="atLeast"/>
        <w:ind w:left="420" w:leftChars="200"/>
        <w:rPr>
          <w:sz w:val="24"/>
        </w:rPr>
      </w:pPr>
      <w:r>
        <w:rPr>
          <w:rFonts w:hint="eastAsia"/>
          <w:sz w:val="24"/>
        </w:rPr>
        <w:t>五</w:t>
      </w:r>
      <w:r>
        <w:rPr>
          <w:sz w:val="24"/>
        </w:rPr>
        <w:t>、合同文件构成</w:t>
      </w:r>
      <w:bookmarkEnd w:id="50"/>
    </w:p>
    <w:p w14:paraId="77D21BB8">
      <w:pPr>
        <w:pStyle w:val="60"/>
        <w:spacing w:line="380" w:lineRule="atLeast"/>
        <w:ind w:firstLine="480" w:firstLineChars="200"/>
        <w:rPr>
          <w:rFonts w:ascii="宋体" w:hAnsi="宋体"/>
          <w:bCs/>
          <w:color w:val="000000"/>
          <w:sz w:val="24"/>
        </w:rPr>
      </w:pPr>
      <w:r>
        <w:rPr>
          <w:rFonts w:ascii="宋体" w:hAnsi="宋体"/>
          <w:bCs/>
          <w:color w:val="000000"/>
          <w:sz w:val="24"/>
        </w:rPr>
        <w:t>本协议书与下列文件一起构成合同文件：</w:t>
      </w:r>
    </w:p>
    <w:p w14:paraId="0D57E7C7">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（1）中标通知书；</w:t>
      </w:r>
    </w:p>
    <w:p w14:paraId="04E77A93">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 xml:space="preserve">（2）投标函及其附录； </w:t>
      </w:r>
    </w:p>
    <w:p w14:paraId="1C312112">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（3）合同主要条款；</w:t>
      </w:r>
    </w:p>
    <w:p w14:paraId="3464B508">
      <w:pPr>
        <w:pStyle w:val="60"/>
        <w:autoSpaceDE w:val="0"/>
        <w:autoSpaceDN w:val="0"/>
        <w:adjustRightInd w:val="0"/>
        <w:spacing w:line="360" w:lineRule="auto"/>
        <w:ind w:firstLine="480" w:firstLineChars="200"/>
        <w:jc w:val="left"/>
        <w:rPr>
          <w:rFonts w:hint="eastAsia" w:ascii="宋体" w:hAnsi="宋体"/>
          <w:color w:val="000000"/>
          <w:sz w:val="24"/>
          <w:szCs w:val="22"/>
          <w:lang w:val="zh-CN"/>
        </w:rPr>
      </w:pPr>
      <w:r>
        <w:rPr>
          <w:rFonts w:hint="eastAsia" w:ascii="宋体" w:hAnsi="宋体"/>
          <w:color w:val="000000"/>
          <w:sz w:val="24"/>
          <w:szCs w:val="22"/>
          <w:lang w:val="zh-CN"/>
        </w:rPr>
        <w:t>（4）其他合同文件。</w:t>
      </w:r>
    </w:p>
    <w:p w14:paraId="500C0293">
      <w:pPr>
        <w:pStyle w:val="60"/>
        <w:autoSpaceDE w:val="0"/>
        <w:autoSpaceDN w:val="0"/>
        <w:adjustRightInd w:val="0"/>
        <w:spacing w:line="360" w:lineRule="auto"/>
        <w:ind w:firstLine="480" w:firstLineChars="200"/>
        <w:jc w:val="left"/>
        <w:rPr>
          <w:rFonts w:ascii="宋体" w:hAnsi="宋体"/>
          <w:color w:val="000000"/>
          <w:sz w:val="24"/>
        </w:rPr>
      </w:pPr>
      <w:r>
        <w:rPr>
          <w:rFonts w:ascii="宋体" w:hAnsi="宋体"/>
          <w:color w:val="000000"/>
          <w:sz w:val="24"/>
        </w:rPr>
        <w:t>在合同订立及履行过程中形成的与合同有关的文件均构成合同文件组成部分。</w:t>
      </w:r>
    </w:p>
    <w:p w14:paraId="7E053364">
      <w:pPr>
        <w:pStyle w:val="60"/>
        <w:spacing w:line="380" w:lineRule="exact"/>
        <w:ind w:firstLine="490"/>
        <w:rPr>
          <w:rFonts w:ascii="宋体" w:hAnsi="宋体"/>
          <w:sz w:val="24"/>
        </w:rPr>
      </w:pPr>
      <w:r>
        <w:rPr>
          <w:rFonts w:ascii="宋体" w:hAnsi="宋体"/>
          <w:color w:val="000000"/>
          <w:sz w:val="24"/>
        </w:rPr>
        <w:t>上述各项合同文件包括合同当事人就该项合同文件所作出的补充和修改，属于同一类内容的文件，应以最新签署的为准。</w:t>
      </w:r>
      <w:r>
        <w:rPr>
          <w:rFonts w:hint="eastAsia" w:ascii="宋体" w:hAnsi="宋体"/>
          <w:color w:val="000000"/>
          <w:sz w:val="24"/>
        </w:rPr>
        <w:t>专用合同条款及其附件须经合同当事人签字或盖章。</w:t>
      </w:r>
    </w:p>
    <w:p w14:paraId="7BAEFBF2">
      <w:pPr>
        <w:pStyle w:val="60"/>
        <w:spacing w:after="120" w:line="380" w:lineRule="exact"/>
        <w:ind w:left="420" w:leftChars="200"/>
        <w:rPr>
          <w:sz w:val="24"/>
        </w:rPr>
      </w:pPr>
      <w:bookmarkStart w:id="51" w:name="_Toc351203487"/>
      <w:r>
        <w:rPr>
          <w:rFonts w:hint="eastAsia"/>
          <w:sz w:val="24"/>
        </w:rPr>
        <w:t>六</w:t>
      </w:r>
      <w:r>
        <w:rPr>
          <w:sz w:val="24"/>
        </w:rPr>
        <w:t>、承诺</w:t>
      </w:r>
      <w:bookmarkEnd w:id="51"/>
    </w:p>
    <w:p w14:paraId="304E2872">
      <w:pPr>
        <w:pStyle w:val="60"/>
        <w:spacing w:line="360" w:lineRule="auto"/>
        <w:ind w:firstLine="480" w:firstLineChars="200"/>
        <w:rPr>
          <w:rFonts w:ascii="宋体" w:hAnsi="宋体"/>
          <w:bCs/>
          <w:color w:val="000000"/>
          <w:sz w:val="24"/>
        </w:rPr>
      </w:pPr>
      <w:r>
        <w:rPr>
          <w:rFonts w:ascii="宋体" w:hAnsi="宋体"/>
          <w:bCs/>
          <w:color w:val="000000"/>
          <w:sz w:val="24"/>
        </w:rPr>
        <w:t>1.</w:t>
      </w:r>
      <w:r>
        <w:rPr>
          <w:rFonts w:hint="eastAsia" w:ascii="宋体" w:hAnsi="宋体"/>
          <w:bCs/>
          <w:color w:val="000000"/>
          <w:sz w:val="24"/>
          <w:lang w:eastAsia="zh-CN"/>
        </w:rPr>
        <w:t>甲方</w:t>
      </w:r>
      <w:r>
        <w:rPr>
          <w:rFonts w:ascii="宋体" w:hAnsi="宋体"/>
          <w:bCs/>
          <w:color w:val="000000"/>
          <w:sz w:val="24"/>
        </w:rPr>
        <w:t>承诺按照法律规定履行项目审批手续、筹集工程建设资金并按照合同约定的期限和方式支付合同价款。</w:t>
      </w:r>
    </w:p>
    <w:p w14:paraId="62A812D0">
      <w:pPr>
        <w:pStyle w:val="60"/>
        <w:spacing w:line="360" w:lineRule="auto"/>
        <w:ind w:firstLine="480" w:firstLineChars="200"/>
        <w:rPr>
          <w:rFonts w:ascii="宋体" w:hAnsi="宋体"/>
          <w:bCs/>
          <w:color w:val="000000"/>
          <w:sz w:val="24"/>
        </w:rPr>
      </w:pPr>
      <w:r>
        <w:rPr>
          <w:rFonts w:ascii="宋体" w:hAnsi="宋体"/>
          <w:bCs/>
          <w:color w:val="000000"/>
          <w:sz w:val="24"/>
        </w:rPr>
        <w:t>2.</w:t>
      </w:r>
      <w:r>
        <w:rPr>
          <w:rFonts w:hint="eastAsia" w:ascii="宋体" w:hAnsi="宋体"/>
          <w:bCs/>
          <w:color w:val="000000"/>
          <w:sz w:val="24"/>
          <w:lang w:eastAsia="zh-CN"/>
        </w:rPr>
        <w:t>乙方</w:t>
      </w:r>
      <w:r>
        <w:rPr>
          <w:rFonts w:ascii="宋体" w:hAnsi="宋体"/>
          <w:bCs/>
          <w:color w:val="000000"/>
          <w:sz w:val="24"/>
        </w:rPr>
        <w:t>承诺按照法律规定及合同约定组织完成工程施工，确保工程质量和安全，不进行转包及违法分包，并在缺陷责任期及保修期内承担相应的工程维修责任。</w:t>
      </w:r>
    </w:p>
    <w:p w14:paraId="41ACB330">
      <w:pPr>
        <w:pStyle w:val="60"/>
        <w:spacing w:line="360" w:lineRule="auto"/>
        <w:ind w:firstLine="480" w:firstLineChars="200"/>
        <w:rPr>
          <w:rFonts w:ascii="宋体" w:hAnsi="宋体"/>
          <w:bCs/>
          <w:color w:val="000000"/>
          <w:sz w:val="24"/>
        </w:rPr>
      </w:pPr>
      <w:r>
        <w:rPr>
          <w:rFonts w:ascii="宋体" w:hAnsi="宋体"/>
          <w:bCs/>
          <w:color w:val="000000"/>
          <w:sz w:val="24"/>
        </w:rPr>
        <w:t>3.</w:t>
      </w:r>
      <w:r>
        <w:rPr>
          <w:rFonts w:hint="eastAsia" w:ascii="宋体" w:hAnsi="宋体"/>
          <w:bCs/>
          <w:color w:val="000000"/>
          <w:sz w:val="24"/>
          <w:lang w:eastAsia="zh-CN"/>
        </w:rPr>
        <w:t>甲方</w:t>
      </w:r>
      <w:r>
        <w:rPr>
          <w:rFonts w:ascii="宋体" w:hAnsi="宋体"/>
          <w:bCs/>
          <w:color w:val="000000"/>
          <w:sz w:val="24"/>
        </w:rPr>
        <w:t>和</w:t>
      </w:r>
      <w:r>
        <w:rPr>
          <w:rFonts w:hint="eastAsia" w:ascii="宋体" w:hAnsi="宋体"/>
          <w:bCs/>
          <w:color w:val="000000"/>
          <w:sz w:val="24"/>
          <w:lang w:eastAsia="zh-CN"/>
        </w:rPr>
        <w:t>乙方</w:t>
      </w:r>
      <w:r>
        <w:rPr>
          <w:rFonts w:ascii="宋体" w:hAnsi="宋体"/>
          <w:bCs/>
          <w:color w:val="000000"/>
          <w:sz w:val="24"/>
        </w:rPr>
        <w:t>通过招投标形式签订合同的，双方理解并</w:t>
      </w:r>
      <w:r>
        <w:rPr>
          <w:rFonts w:hint="eastAsia" w:ascii="宋体" w:hAnsi="宋体"/>
          <w:bCs/>
          <w:color w:val="000000"/>
          <w:sz w:val="24"/>
        </w:rPr>
        <w:t>承诺</w:t>
      </w:r>
      <w:r>
        <w:rPr>
          <w:rFonts w:ascii="宋体" w:hAnsi="宋体"/>
          <w:bCs/>
          <w:color w:val="000000"/>
          <w:sz w:val="24"/>
        </w:rPr>
        <w:t>不再就同一工程另行签订与合同实质性内容相背离的协议。</w:t>
      </w:r>
    </w:p>
    <w:p w14:paraId="6055017B">
      <w:pPr>
        <w:pStyle w:val="60"/>
        <w:spacing w:after="120" w:line="380" w:lineRule="exact"/>
        <w:ind w:left="420" w:leftChars="200"/>
        <w:rPr>
          <w:rFonts w:eastAsia="黑体"/>
          <w:bCs/>
          <w:color w:val="000000"/>
          <w:sz w:val="24"/>
        </w:rPr>
      </w:pPr>
      <w:bookmarkStart w:id="52" w:name="_Toc351203488"/>
      <w:r>
        <w:rPr>
          <w:rFonts w:hint="eastAsia"/>
          <w:sz w:val="24"/>
        </w:rPr>
        <w:t xml:space="preserve"> 七</w:t>
      </w:r>
      <w:r>
        <w:rPr>
          <w:sz w:val="24"/>
        </w:rPr>
        <w:t>、词语含义</w:t>
      </w:r>
      <w:bookmarkEnd w:id="52"/>
    </w:p>
    <w:p w14:paraId="4359AC1C">
      <w:pPr>
        <w:pStyle w:val="60"/>
        <w:spacing w:line="360" w:lineRule="auto"/>
        <w:ind w:firstLine="480" w:firstLineChars="200"/>
        <w:rPr>
          <w:rFonts w:ascii="宋体" w:hAnsi="宋体"/>
          <w:bCs/>
          <w:color w:val="000000"/>
          <w:sz w:val="24"/>
        </w:rPr>
      </w:pPr>
      <w:r>
        <w:rPr>
          <w:rFonts w:ascii="宋体" w:hAnsi="宋体"/>
          <w:bCs/>
          <w:color w:val="000000"/>
          <w:sz w:val="24"/>
        </w:rPr>
        <w:t>本协议书中词语含义与第二部分通用合同条款中赋予的含义相同。</w:t>
      </w:r>
    </w:p>
    <w:p w14:paraId="3B387217">
      <w:pPr>
        <w:pStyle w:val="60"/>
        <w:spacing w:after="120" w:line="380" w:lineRule="exact"/>
        <w:ind w:left="420" w:leftChars="200"/>
        <w:rPr>
          <w:sz w:val="24"/>
        </w:rPr>
      </w:pPr>
      <w:bookmarkStart w:id="53" w:name="_Toc351203489"/>
      <w:r>
        <w:rPr>
          <w:rFonts w:hint="eastAsia"/>
          <w:sz w:val="24"/>
        </w:rPr>
        <w:t>八</w:t>
      </w:r>
      <w:r>
        <w:rPr>
          <w:sz w:val="24"/>
        </w:rPr>
        <w:t>、签订时间</w:t>
      </w:r>
      <w:bookmarkEnd w:id="53"/>
    </w:p>
    <w:p w14:paraId="6BF019AC">
      <w:pPr>
        <w:pStyle w:val="60"/>
        <w:spacing w:line="360" w:lineRule="auto"/>
        <w:ind w:firstLine="480" w:firstLineChars="200"/>
        <w:rPr>
          <w:rFonts w:ascii="宋体" w:hAnsi="宋体"/>
          <w:bCs/>
          <w:color w:val="000000"/>
          <w:sz w:val="24"/>
        </w:rPr>
      </w:pPr>
      <w:r>
        <w:rPr>
          <w:rFonts w:ascii="宋体" w:hAnsi="宋体"/>
          <w:bCs/>
          <w:color w:val="000000"/>
          <w:sz w:val="24"/>
        </w:rPr>
        <w:t xml:space="preserve">本合同于 </w:t>
      </w:r>
      <w:r>
        <w:rPr>
          <w:rFonts w:hint="eastAsia" w:ascii="宋体" w:hAnsi="宋体"/>
          <w:bCs/>
          <w:color w:val="000000"/>
          <w:sz w:val="24"/>
          <w:lang w:val="en-US" w:eastAsia="zh-CN"/>
        </w:rPr>
        <w:t xml:space="preserve"> </w:t>
      </w:r>
      <w:r>
        <w:rPr>
          <w:rFonts w:ascii="宋体" w:hAnsi="宋体"/>
          <w:bCs/>
          <w:color w:val="000000"/>
          <w:sz w:val="24"/>
        </w:rPr>
        <w:t xml:space="preserve"> 年    月    日签订。</w:t>
      </w:r>
    </w:p>
    <w:p w14:paraId="32F30364">
      <w:pPr>
        <w:pStyle w:val="60"/>
        <w:spacing w:after="120" w:line="380" w:lineRule="exact"/>
        <w:ind w:left="420" w:leftChars="200"/>
        <w:rPr>
          <w:sz w:val="24"/>
        </w:rPr>
      </w:pPr>
      <w:bookmarkStart w:id="54" w:name="_Toc351203490"/>
      <w:r>
        <w:rPr>
          <w:rFonts w:hint="eastAsia"/>
          <w:sz w:val="24"/>
        </w:rPr>
        <w:t>九</w:t>
      </w:r>
      <w:r>
        <w:rPr>
          <w:sz w:val="24"/>
        </w:rPr>
        <w:t>、签订地点</w:t>
      </w:r>
      <w:bookmarkEnd w:id="54"/>
    </w:p>
    <w:p w14:paraId="79A3BB27">
      <w:pPr>
        <w:pStyle w:val="60"/>
        <w:spacing w:line="360" w:lineRule="auto"/>
        <w:ind w:firstLine="480" w:firstLineChars="200"/>
        <w:rPr>
          <w:rFonts w:ascii="宋体" w:hAnsi="宋体"/>
          <w:bCs/>
          <w:color w:val="000000"/>
          <w:sz w:val="24"/>
        </w:rPr>
      </w:pPr>
      <w:r>
        <w:rPr>
          <w:rFonts w:ascii="宋体" w:hAnsi="宋体"/>
          <w:bCs/>
          <w:color w:val="000000"/>
          <w:sz w:val="24"/>
        </w:rPr>
        <w:t xml:space="preserve">本合同在   </w:t>
      </w:r>
      <w:r>
        <w:rPr>
          <w:rFonts w:hint="eastAsia" w:ascii="宋体" w:hAnsi="宋体"/>
          <w:bCs/>
          <w:color w:val="000000"/>
          <w:sz w:val="24"/>
          <w:lang w:eastAsia="zh-CN"/>
        </w:rPr>
        <w:t>甲方</w:t>
      </w:r>
      <w:r>
        <w:rPr>
          <w:rFonts w:hint="eastAsia" w:ascii="宋体" w:hAnsi="宋体"/>
          <w:bCs/>
          <w:color w:val="000000"/>
          <w:sz w:val="24"/>
        </w:rPr>
        <w:t>办公室</w:t>
      </w:r>
      <w:r>
        <w:rPr>
          <w:rFonts w:ascii="宋体" w:hAnsi="宋体"/>
          <w:bCs/>
          <w:color w:val="000000"/>
          <w:sz w:val="24"/>
        </w:rPr>
        <w:t xml:space="preserve">      签订。</w:t>
      </w:r>
    </w:p>
    <w:p w14:paraId="3BEABC99">
      <w:pPr>
        <w:pStyle w:val="60"/>
        <w:spacing w:after="120" w:line="380" w:lineRule="exact"/>
        <w:ind w:left="420" w:leftChars="200"/>
        <w:rPr>
          <w:sz w:val="24"/>
        </w:rPr>
      </w:pPr>
      <w:bookmarkStart w:id="55" w:name="_Toc351203491"/>
      <w:r>
        <w:rPr>
          <w:rFonts w:hint="eastAsia"/>
          <w:sz w:val="24"/>
        </w:rPr>
        <w:t>十</w:t>
      </w:r>
      <w:r>
        <w:rPr>
          <w:sz w:val="24"/>
        </w:rPr>
        <w:t>、补充协议</w:t>
      </w:r>
      <w:bookmarkEnd w:id="55"/>
    </w:p>
    <w:p w14:paraId="385B02FC">
      <w:pPr>
        <w:pStyle w:val="60"/>
        <w:spacing w:line="360" w:lineRule="auto"/>
        <w:ind w:firstLine="480" w:firstLineChars="200"/>
        <w:rPr>
          <w:rFonts w:ascii="宋体" w:hAnsi="宋体"/>
          <w:bCs/>
          <w:color w:val="000000"/>
          <w:sz w:val="24"/>
        </w:rPr>
      </w:pPr>
      <w:r>
        <w:rPr>
          <w:rFonts w:ascii="宋体" w:hAnsi="宋体"/>
          <w:bCs/>
          <w:color w:val="000000"/>
          <w:sz w:val="24"/>
        </w:rPr>
        <w:t>合同未尽事宜，合同当事人另行签订补充协议</w:t>
      </w:r>
      <w:r>
        <w:rPr>
          <w:rFonts w:hint="eastAsia" w:ascii="宋体" w:hAnsi="宋体"/>
          <w:bCs/>
          <w:color w:val="000000"/>
          <w:sz w:val="24"/>
        </w:rPr>
        <w:t>，</w:t>
      </w:r>
      <w:r>
        <w:rPr>
          <w:rFonts w:ascii="宋体" w:hAnsi="宋体"/>
          <w:bCs/>
          <w:color w:val="000000"/>
          <w:sz w:val="24"/>
        </w:rPr>
        <w:t>补充协议是合同的组成部分。</w:t>
      </w:r>
    </w:p>
    <w:p w14:paraId="481A5BF5">
      <w:pPr>
        <w:pStyle w:val="60"/>
        <w:spacing w:after="120" w:line="380" w:lineRule="exact"/>
        <w:ind w:left="420" w:leftChars="200"/>
        <w:rPr>
          <w:sz w:val="24"/>
        </w:rPr>
      </w:pPr>
      <w:bookmarkStart w:id="56" w:name="_Toc351203492"/>
      <w:r>
        <w:rPr>
          <w:rFonts w:hint="eastAsia"/>
          <w:sz w:val="24"/>
        </w:rPr>
        <w:t>十一</w:t>
      </w:r>
      <w:r>
        <w:rPr>
          <w:sz w:val="24"/>
        </w:rPr>
        <w:t>、合同生效</w:t>
      </w:r>
      <w:bookmarkEnd w:id="56"/>
    </w:p>
    <w:p w14:paraId="4FEA0E00">
      <w:pPr>
        <w:pStyle w:val="60"/>
        <w:spacing w:line="360" w:lineRule="auto"/>
        <w:ind w:firstLine="480" w:firstLineChars="200"/>
        <w:rPr>
          <w:rFonts w:ascii="宋体" w:hAnsi="宋体"/>
          <w:bCs/>
          <w:color w:val="000000"/>
          <w:sz w:val="24"/>
        </w:rPr>
      </w:pPr>
      <w:r>
        <w:rPr>
          <w:rFonts w:ascii="宋体" w:hAnsi="宋体"/>
          <w:bCs/>
          <w:color w:val="000000"/>
          <w:sz w:val="24"/>
        </w:rPr>
        <w:t xml:space="preserve">本合同自   </w:t>
      </w:r>
      <w:r>
        <w:rPr>
          <w:rFonts w:hint="eastAsia" w:ascii="宋体" w:hAnsi="宋体"/>
          <w:bCs/>
          <w:color w:val="000000"/>
          <w:sz w:val="24"/>
        </w:rPr>
        <w:t>双方签字盖章后</w:t>
      </w:r>
      <w:r>
        <w:rPr>
          <w:rFonts w:ascii="宋体" w:hAnsi="宋体"/>
          <w:bCs/>
          <w:color w:val="000000"/>
          <w:sz w:val="24"/>
        </w:rPr>
        <w:t xml:space="preserve">    生效。</w:t>
      </w:r>
    </w:p>
    <w:p w14:paraId="7280D953">
      <w:pPr>
        <w:pStyle w:val="60"/>
        <w:spacing w:after="120"/>
        <w:ind w:left="420" w:leftChars="200"/>
        <w:rPr>
          <w:rFonts w:eastAsia="黑体"/>
          <w:b/>
          <w:color w:val="000000"/>
          <w:sz w:val="24"/>
        </w:rPr>
      </w:pPr>
      <w:bookmarkStart w:id="57" w:name="_Toc351203493"/>
      <w:r>
        <w:rPr>
          <w:sz w:val="24"/>
        </w:rPr>
        <w:t>十</w:t>
      </w:r>
      <w:r>
        <w:rPr>
          <w:rFonts w:hint="eastAsia"/>
          <w:sz w:val="24"/>
        </w:rPr>
        <w:t>二</w:t>
      </w:r>
      <w:r>
        <w:rPr>
          <w:sz w:val="24"/>
        </w:rPr>
        <w:t>、合同份数</w:t>
      </w:r>
      <w:bookmarkEnd w:id="57"/>
    </w:p>
    <w:p w14:paraId="3BC6282D">
      <w:pPr>
        <w:pStyle w:val="60"/>
        <w:ind w:firstLine="480" w:firstLineChars="200"/>
        <w:rPr>
          <w:rFonts w:eastAsia="仿宋_GB2312"/>
          <w:bCs/>
          <w:color w:val="000000"/>
          <w:sz w:val="24"/>
        </w:rPr>
      </w:pPr>
      <w:r>
        <w:rPr>
          <w:rFonts w:ascii="宋体" w:hAnsi="宋体"/>
          <w:bCs/>
          <w:color w:val="000000"/>
          <w:sz w:val="24"/>
        </w:rPr>
        <w:t>本合同一式</w:t>
      </w:r>
      <w:r>
        <w:rPr>
          <w:rFonts w:hint="eastAsia" w:ascii="宋体" w:hAnsi="宋体"/>
          <w:bCs/>
          <w:color w:val="000000"/>
          <w:sz w:val="24"/>
          <w:lang w:val="en-US" w:eastAsia="zh-CN"/>
        </w:rPr>
        <w:t xml:space="preserve"> 陆 </w:t>
      </w:r>
      <w:r>
        <w:rPr>
          <w:rFonts w:ascii="宋体" w:hAnsi="宋体"/>
          <w:bCs/>
          <w:color w:val="000000"/>
          <w:sz w:val="24"/>
        </w:rPr>
        <w:t>份，均具有同等法律效力，</w:t>
      </w:r>
      <w:r>
        <w:rPr>
          <w:rFonts w:hint="eastAsia" w:ascii="宋体" w:hAnsi="宋体"/>
          <w:bCs/>
          <w:color w:val="000000"/>
          <w:sz w:val="24"/>
          <w:lang w:eastAsia="zh-CN"/>
        </w:rPr>
        <w:t>甲方</w:t>
      </w:r>
      <w:r>
        <w:rPr>
          <w:rFonts w:ascii="宋体" w:hAnsi="宋体"/>
          <w:bCs/>
          <w:color w:val="000000"/>
          <w:sz w:val="24"/>
        </w:rPr>
        <w:t>执</w:t>
      </w:r>
      <w:r>
        <w:rPr>
          <w:rFonts w:hint="eastAsia" w:ascii="宋体" w:hAnsi="宋体"/>
          <w:bCs/>
          <w:color w:val="000000"/>
          <w:sz w:val="24"/>
          <w:lang w:val="en-US" w:eastAsia="zh-CN"/>
        </w:rPr>
        <w:t xml:space="preserve"> 肆 </w:t>
      </w:r>
      <w:r>
        <w:rPr>
          <w:rFonts w:ascii="宋体" w:hAnsi="宋体"/>
          <w:bCs/>
          <w:color w:val="000000"/>
          <w:sz w:val="24"/>
        </w:rPr>
        <w:t>份，</w:t>
      </w:r>
      <w:r>
        <w:rPr>
          <w:rFonts w:hint="eastAsia" w:ascii="宋体" w:hAnsi="宋体"/>
          <w:bCs/>
          <w:color w:val="000000"/>
          <w:sz w:val="24"/>
          <w:lang w:eastAsia="zh-CN"/>
        </w:rPr>
        <w:t>乙方</w:t>
      </w:r>
      <w:r>
        <w:rPr>
          <w:rFonts w:ascii="宋体" w:hAnsi="宋体"/>
          <w:bCs/>
          <w:color w:val="000000"/>
          <w:sz w:val="24"/>
        </w:rPr>
        <w:t>执</w:t>
      </w:r>
      <w:r>
        <w:rPr>
          <w:rFonts w:hint="eastAsia" w:ascii="宋体" w:hAnsi="宋体"/>
          <w:bCs/>
          <w:color w:val="000000"/>
          <w:sz w:val="24"/>
          <w:lang w:val="en-US" w:eastAsia="zh-CN"/>
        </w:rPr>
        <w:t xml:space="preserve"> 贰 </w:t>
      </w:r>
      <w:r>
        <w:rPr>
          <w:rFonts w:ascii="宋体" w:hAnsi="宋体"/>
          <w:bCs/>
          <w:color w:val="000000"/>
          <w:sz w:val="24"/>
        </w:rPr>
        <w:t>份。</w:t>
      </w:r>
    </w:p>
    <w:p w14:paraId="3FF3B26D">
      <w:pPr>
        <w:pStyle w:val="60"/>
        <w:tabs>
          <w:tab w:val="left" w:pos="5000"/>
        </w:tabs>
        <w:ind w:left="420"/>
        <w:rPr>
          <w:rFonts w:hint="eastAsia" w:ascii="宋体" w:hAnsi="宋体" w:cs="宋体"/>
          <w:kern w:val="0"/>
          <w:sz w:val="24"/>
          <w:szCs w:val="24"/>
          <w:lang w:val="zh-CN"/>
        </w:rPr>
      </w:pPr>
    </w:p>
    <w:p w14:paraId="5057829A">
      <w:pPr>
        <w:pStyle w:val="60"/>
        <w:tabs>
          <w:tab w:val="left" w:pos="5000"/>
        </w:tabs>
        <w:ind w:left="420"/>
        <w:rPr>
          <w:rFonts w:ascii="宋体" w:hAnsi="宋体"/>
          <w:sz w:val="24"/>
        </w:rPr>
      </w:pPr>
      <w:r>
        <w:rPr>
          <w:rFonts w:hint="eastAsia" w:ascii="宋体" w:hAnsi="宋体" w:cs="宋体"/>
          <w:kern w:val="0"/>
          <w:sz w:val="24"/>
          <w:szCs w:val="24"/>
          <w:lang w:val="zh-CN"/>
        </w:rPr>
        <w:t>甲方（采购人）</w:t>
      </w:r>
      <w:r>
        <w:rPr>
          <w:rFonts w:hint="eastAsia" w:ascii="宋体" w:hAnsi="宋体"/>
          <w:sz w:val="24"/>
        </w:rPr>
        <w:t>（公章）：</w:t>
      </w:r>
      <w:r>
        <w:rPr>
          <w:rFonts w:hint="eastAsia" w:ascii="宋体" w:hAnsi="宋体"/>
          <w:sz w:val="24"/>
        </w:rPr>
        <w:tab/>
      </w:r>
      <w:r>
        <w:rPr>
          <w:rFonts w:hint="eastAsia" w:ascii="宋体" w:hAnsi="宋体" w:cs="宋体"/>
          <w:kern w:val="0"/>
          <w:sz w:val="24"/>
          <w:szCs w:val="24"/>
          <w:lang w:val="zh-CN"/>
        </w:rPr>
        <w:t>乙方（供应商）</w:t>
      </w:r>
      <w:r>
        <w:rPr>
          <w:rFonts w:hint="eastAsia" w:ascii="宋体" w:hAnsi="宋体"/>
          <w:sz w:val="24"/>
        </w:rPr>
        <w:t>（公章）：</w:t>
      </w:r>
    </w:p>
    <w:p w14:paraId="15E10069">
      <w:pPr>
        <w:pStyle w:val="60"/>
        <w:tabs>
          <w:tab w:val="left" w:pos="5000"/>
        </w:tabs>
        <w:ind w:left="420"/>
        <w:rPr>
          <w:rFonts w:ascii="宋体" w:hAnsi="宋体"/>
          <w:sz w:val="24"/>
        </w:rPr>
      </w:pPr>
    </w:p>
    <w:p w14:paraId="5056B5CD">
      <w:pPr>
        <w:pStyle w:val="60"/>
        <w:tabs>
          <w:tab w:val="left" w:pos="5000"/>
        </w:tabs>
        <w:ind w:left="420"/>
        <w:rPr>
          <w:rFonts w:hint="eastAsia" w:ascii="宋体" w:hAnsi="宋体"/>
          <w:sz w:val="24"/>
        </w:rPr>
      </w:pPr>
      <w:r>
        <w:rPr>
          <w:rFonts w:hint="eastAsia" w:ascii="宋体" w:hAnsi="宋体"/>
          <w:sz w:val="24"/>
        </w:rPr>
        <w:t>法定代表人（签字）：</w:t>
      </w:r>
      <w:r>
        <w:rPr>
          <w:rFonts w:hint="eastAsia" w:ascii="宋体" w:hAnsi="宋体"/>
          <w:sz w:val="24"/>
        </w:rPr>
        <w:tab/>
      </w:r>
      <w:r>
        <w:rPr>
          <w:rFonts w:hint="eastAsia" w:ascii="宋体" w:hAnsi="宋体"/>
          <w:sz w:val="24"/>
        </w:rPr>
        <w:t>法定代表人（签字）：</w:t>
      </w:r>
    </w:p>
    <w:p w14:paraId="2ADFF85A">
      <w:pPr>
        <w:pStyle w:val="60"/>
        <w:tabs>
          <w:tab w:val="left" w:pos="5000"/>
        </w:tabs>
        <w:ind w:left="420"/>
        <w:rPr>
          <w:rFonts w:hint="eastAsia" w:ascii="宋体" w:hAnsi="宋体"/>
          <w:sz w:val="24"/>
        </w:rPr>
      </w:pPr>
    </w:p>
    <w:p w14:paraId="4FF2D5CD">
      <w:pPr>
        <w:pStyle w:val="81"/>
        <w:keepNext w:val="0"/>
        <w:keepLines w:val="0"/>
        <w:widowControl/>
        <w:suppressLineNumbers w:val="0"/>
        <w:spacing w:line="360" w:lineRule="auto"/>
        <w:ind w:left="420"/>
        <w:rPr>
          <w:rFonts w:hint="eastAsia" w:ascii="宋体" w:hAnsi="宋体" w:eastAsia="宋体" w:cs="宋体"/>
          <w:sz w:val="24"/>
          <w:szCs w:val="24"/>
          <w:lang w:val="en-US"/>
        </w:rPr>
      </w:pPr>
      <w:r>
        <w:rPr>
          <w:rFonts w:hint="eastAsia" w:ascii="宋体" w:hAnsi="宋体" w:eastAsia="宋体" w:cs="宋体"/>
          <w:sz w:val="24"/>
          <w:szCs w:val="24"/>
          <w:lang w:val="en-US"/>
        </w:rPr>
        <w:t xml:space="preserve">开 户 银行：                         开 户 银行：  </w:t>
      </w:r>
    </w:p>
    <w:p w14:paraId="2FFC7FBD">
      <w:pPr>
        <w:pStyle w:val="81"/>
        <w:keepNext w:val="0"/>
        <w:keepLines w:val="0"/>
        <w:widowControl/>
        <w:suppressLineNumbers w:val="0"/>
        <w:spacing w:line="360" w:lineRule="auto"/>
        <w:ind w:left="420"/>
        <w:rPr>
          <w:rFonts w:hint="eastAsia" w:ascii="宋体" w:hAnsi="宋体" w:eastAsia="宋体" w:cs="宋体"/>
          <w:sz w:val="24"/>
          <w:szCs w:val="24"/>
          <w:lang w:val="en-US"/>
        </w:rPr>
      </w:pPr>
      <w:r>
        <w:rPr>
          <w:rFonts w:hint="eastAsia" w:ascii="宋体" w:hAnsi="宋体" w:eastAsia="宋体" w:cs="宋体"/>
          <w:sz w:val="24"/>
          <w:szCs w:val="24"/>
          <w:lang w:val="en-US"/>
        </w:rPr>
        <w:t xml:space="preserve">银 行 帐号：                         银 行 帐号： </w:t>
      </w:r>
    </w:p>
    <w:p w14:paraId="49F732BD">
      <w:pPr>
        <w:spacing w:line="360" w:lineRule="auto"/>
        <w:ind w:firstLine="720" w:firstLineChars="300"/>
        <w:rPr>
          <w:rFonts w:hint="eastAsia" w:ascii="宋体" w:hAnsi="宋体"/>
          <w:color w:val="000000"/>
          <w:sz w:val="24"/>
          <w:szCs w:val="22"/>
          <w:lang w:val="zh-CN"/>
        </w:rPr>
      </w:pP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r>
        <w:rPr>
          <w:rFonts w:hint="eastAsia" w:ascii="宋体" w:hAnsi="宋体"/>
          <w:sz w:val="24"/>
        </w:rPr>
        <w:tab/>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p w14:paraId="4CC68D5F">
      <w:pPr>
        <w:pStyle w:val="60"/>
        <w:jc w:val="center"/>
        <w:rPr>
          <w:rFonts w:ascii="黑体" w:eastAsia="黑体"/>
          <w:sz w:val="28"/>
        </w:rPr>
      </w:pPr>
      <w:r>
        <w:rPr>
          <w:rFonts w:ascii="黑体" w:eastAsia="黑体"/>
          <w:sz w:val="28"/>
        </w:rPr>
        <w:br w:type="page"/>
      </w:r>
      <w:r>
        <w:rPr>
          <w:rFonts w:hint="eastAsia" w:ascii="黑体" w:eastAsia="黑体"/>
          <w:sz w:val="28"/>
        </w:rPr>
        <w:t>第二部分   合同主要条款</w:t>
      </w:r>
    </w:p>
    <w:p w14:paraId="4C22FABB">
      <w:pPr>
        <w:pStyle w:val="60"/>
        <w:spacing w:line="380" w:lineRule="exact"/>
        <w:ind w:firstLine="490"/>
        <w:rPr>
          <w:rFonts w:ascii="宋体" w:hAnsi="宋体"/>
          <w:sz w:val="24"/>
        </w:rPr>
      </w:pPr>
      <w:r>
        <w:rPr>
          <w:rFonts w:hint="eastAsia" w:ascii="宋体" w:hAnsi="宋体"/>
          <w:sz w:val="24"/>
        </w:rPr>
        <w:t>根据招标文件和本项目的中标通知书，</w:t>
      </w:r>
      <w:r>
        <w:rPr>
          <w:rFonts w:hint="eastAsia" w:ascii="宋体" w:hAnsi="宋体"/>
          <w:sz w:val="24"/>
          <w:lang w:val="en-US" w:eastAsia="zh-CN"/>
        </w:rPr>
        <w:t>甲、乙</w:t>
      </w:r>
      <w:r>
        <w:rPr>
          <w:rFonts w:hint="eastAsia" w:ascii="宋体" w:hAnsi="宋体"/>
          <w:sz w:val="24"/>
        </w:rPr>
        <w:t>双方就此次中标的设备和相关问题，同意按下列条款规定执行。</w:t>
      </w:r>
    </w:p>
    <w:p w14:paraId="41F3A439">
      <w:pPr>
        <w:pStyle w:val="60"/>
        <w:spacing w:line="380" w:lineRule="exact"/>
        <w:ind w:firstLine="490"/>
        <w:rPr>
          <w:rFonts w:hint="default" w:ascii="宋体" w:hAnsi="宋体" w:eastAsia="宋体"/>
          <w:sz w:val="24"/>
          <w:u w:val="single"/>
          <w:lang w:val="en-US" w:eastAsia="zh-CN"/>
        </w:rPr>
      </w:pPr>
      <w:r>
        <w:rPr>
          <w:rFonts w:hint="eastAsia" w:ascii="宋体" w:hAnsi="宋体"/>
          <w:sz w:val="24"/>
        </w:rPr>
        <w:t>一、合同内容：</w:t>
      </w:r>
      <w:r>
        <w:rPr>
          <w:rFonts w:hint="eastAsia" w:ascii="ˎ̥" w:hAnsi="ˎ̥" w:cs="宋体"/>
          <w:color w:val="0000FF"/>
          <w:kern w:val="0"/>
          <w:sz w:val="24"/>
          <w:u w:val="single"/>
          <w:lang w:val="en-US" w:eastAsia="zh-CN"/>
        </w:rPr>
        <w:t>西渚污水厂细格栅及精准除砂装置、除臭系统、活性炭吸附罐设备</w:t>
      </w:r>
      <w:r>
        <w:rPr>
          <w:rFonts w:hint="eastAsia" w:ascii="ˎ̥" w:hAnsi="ˎ̥" w:cs="宋体"/>
          <w:color w:val="0000FF"/>
          <w:kern w:val="0"/>
          <w:sz w:val="24"/>
          <w:u w:val="single"/>
        </w:rPr>
        <w:t>的供货、运输、交货、</w:t>
      </w:r>
      <w:r>
        <w:rPr>
          <w:rFonts w:hint="eastAsia" w:ascii="ˎ̥" w:hAnsi="ˎ̥" w:cs="宋体"/>
          <w:color w:val="0000FF"/>
          <w:kern w:val="0"/>
          <w:sz w:val="24"/>
          <w:u w:val="single"/>
          <w:lang w:val="en-US" w:eastAsia="zh-CN"/>
        </w:rPr>
        <w:t>装卸、</w:t>
      </w:r>
      <w:r>
        <w:rPr>
          <w:rFonts w:hint="eastAsia" w:ascii="ˎ̥" w:hAnsi="ˎ̥" w:cs="宋体"/>
          <w:color w:val="0000FF"/>
          <w:kern w:val="0"/>
          <w:sz w:val="24"/>
          <w:u w:val="single"/>
          <w:lang w:eastAsia="zh-CN"/>
        </w:rPr>
        <w:t>安装、</w:t>
      </w:r>
      <w:r>
        <w:rPr>
          <w:rFonts w:hint="eastAsia" w:ascii="ˎ̥" w:hAnsi="ˎ̥" w:cs="宋体"/>
          <w:color w:val="0000FF"/>
          <w:kern w:val="0"/>
          <w:sz w:val="24"/>
          <w:u w:val="single"/>
          <w:lang w:val="en-US" w:eastAsia="zh-CN"/>
        </w:rPr>
        <w:t>调试及售后服务</w:t>
      </w:r>
      <w:r>
        <w:rPr>
          <w:rFonts w:hint="eastAsia" w:ascii="ˎ̥" w:hAnsi="ˎ̥" w:cs="宋体"/>
          <w:color w:val="0000FF"/>
          <w:kern w:val="0"/>
          <w:sz w:val="24"/>
          <w:u w:val="single"/>
        </w:rPr>
        <w:t>等。</w:t>
      </w:r>
    </w:p>
    <w:p w14:paraId="2D6F7A35">
      <w:pPr>
        <w:pStyle w:val="60"/>
        <w:spacing w:line="380" w:lineRule="exact"/>
        <w:ind w:firstLine="490"/>
        <w:rPr>
          <w:rFonts w:ascii="宋体" w:hAnsi="宋体"/>
          <w:sz w:val="24"/>
        </w:rPr>
      </w:pPr>
      <w:r>
        <w:rPr>
          <w:rFonts w:hint="eastAsia" w:ascii="宋体" w:hAnsi="宋体"/>
          <w:sz w:val="24"/>
        </w:rPr>
        <w:t>二、价格及支付：</w:t>
      </w:r>
    </w:p>
    <w:p w14:paraId="66B1098D">
      <w:pPr>
        <w:pStyle w:val="60"/>
        <w:spacing w:line="380" w:lineRule="exact"/>
        <w:ind w:firstLine="490"/>
        <w:rPr>
          <w:rFonts w:ascii="宋体" w:hAnsi="宋体"/>
          <w:sz w:val="24"/>
        </w:rPr>
      </w:pPr>
      <w:r>
        <w:rPr>
          <w:rFonts w:hint="eastAsia" w:ascii="宋体" w:hAnsi="宋体"/>
          <w:sz w:val="24"/>
        </w:rPr>
        <w:t>1．</w:t>
      </w:r>
      <w:r>
        <w:rPr>
          <w:rFonts w:hint="eastAsia" w:ascii="宋体" w:hAnsi="宋体"/>
          <w:color w:val="000000"/>
          <w:sz w:val="24"/>
        </w:rPr>
        <w:t>按此次中标价格执行，合同</w:t>
      </w:r>
      <w:r>
        <w:rPr>
          <w:rFonts w:hint="eastAsia" w:ascii="宋体" w:hAnsi="宋体"/>
          <w:bCs/>
          <w:color w:val="auto"/>
          <w:sz w:val="24"/>
          <w:highlight w:val="none"/>
        </w:rPr>
        <w:t>总标的额</w:t>
      </w:r>
      <w:r>
        <w:rPr>
          <w:rFonts w:hint="eastAsia" w:ascii="宋体" w:hAnsi="宋体"/>
          <w:color w:val="000000"/>
          <w:sz w:val="24"/>
        </w:rPr>
        <w:t>人民币（大写）：</w:t>
      </w:r>
      <w:r>
        <w:rPr>
          <w:rFonts w:hint="eastAsia" w:ascii="宋体" w:hAnsi="宋体"/>
          <w:color w:val="000000"/>
          <w:sz w:val="24"/>
          <w:u w:val="single"/>
          <w:lang w:val="en-US" w:eastAsia="zh-CN"/>
        </w:rPr>
        <w:t xml:space="preserve">    </w:t>
      </w:r>
      <w:r>
        <w:rPr>
          <w:rFonts w:hint="eastAsia" w:ascii="宋体" w:hAnsi="宋体"/>
          <w:color w:val="000000"/>
          <w:sz w:val="24"/>
        </w:rPr>
        <w:t>(小写￥</w:t>
      </w:r>
      <w:r>
        <w:rPr>
          <w:rFonts w:hint="eastAsia" w:ascii="宋体" w:hAnsi="宋体"/>
          <w:color w:val="000000"/>
          <w:sz w:val="24"/>
          <w:u w:val="single"/>
          <w:lang w:val="en-US" w:eastAsia="zh-CN"/>
        </w:rPr>
        <w:t xml:space="preserve">   </w:t>
      </w:r>
      <w:r>
        <w:rPr>
          <w:rFonts w:hint="eastAsia" w:ascii="宋体" w:hAnsi="宋体"/>
          <w:color w:val="000000"/>
          <w:sz w:val="24"/>
        </w:rPr>
        <w:t>元），以上为含税价。</w:t>
      </w:r>
      <w:r>
        <w:rPr>
          <w:rFonts w:hint="eastAsia" w:ascii="宋体" w:hAnsi="宋体"/>
          <w:bCs/>
          <w:color w:val="auto"/>
          <w:sz w:val="24"/>
          <w:highlight w:val="none"/>
        </w:rPr>
        <w:t>不含税价为小写</w:t>
      </w:r>
      <w:r>
        <w:rPr>
          <w:rFonts w:hint="eastAsia" w:ascii="宋体" w:hAnsi="宋体"/>
          <w:bCs/>
          <w:color w:val="auto"/>
          <w:sz w:val="24"/>
          <w:highlight w:val="none"/>
          <w:lang w:val="en-US" w:eastAsia="zh-CN"/>
        </w:rPr>
        <w:t>¥</w:t>
      </w:r>
      <w:r>
        <w:rPr>
          <w:rFonts w:hint="eastAsia" w:ascii="宋体" w:hAnsi="宋体"/>
          <w:bCs/>
          <w:color w:val="auto"/>
          <w:sz w:val="24"/>
          <w:highlight w:val="none"/>
          <w:u w:val="single"/>
        </w:rPr>
        <w:t xml:space="preserve">      </w:t>
      </w:r>
      <w:r>
        <w:rPr>
          <w:rFonts w:hint="eastAsia" w:ascii="宋体" w:hAnsi="宋体"/>
          <w:bCs/>
          <w:color w:val="auto"/>
          <w:sz w:val="24"/>
          <w:highlight w:val="none"/>
        </w:rPr>
        <w:t>元，税金为</w:t>
      </w:r>
      <w:r>
        <w:rPr>
          <w:rFonts w:hint="eastAsia" w:ascii="宋体" w:hAnsi="宋体"/>
          <w:bCs/>
          <w:sz w:val="24"/>
        </w:rPr>
        <w:t>￥</w:t>
      </w:r>
      <w:r>
        <w:rPr>
          <w:rFonts w:hint="eastAsia" w:ascii="宋体" w:hAnsi="宋体"/>
          <w:bCs/>
          <w:sz w:val="24"/>
          <w:u w:val="single"/>
        </w:rPr>
        <w:t xml:space="preserve">     </w:t>
      </w:r>
      <w:r>
        <w:rPr>
          <w:rFonts w:hint="eastAsia" w:ascii="宋体" w:hAnsi="宋体"/>
          <w:bCs/>
          <w:sz w:val="24"/>
        </w:rPr>
        <w:t>元</w:t>
      </w:r>
      <w:r>
        <w:rPr>
          <w:rFonts w:hint="eastAsia" w:ascii="宋体" w:hAnsi="宋体"/>
          <w:sz w:val="24"/>
        </w:rPr>
        <w:t>，增值税税率为</w:t>
      </w:r>
      <w:r>
        <w:rPr>
          <w:rFonts w:hint="eastAsia" w:ascii="宋体" w:hAnsi="宋体"/>
          <w:sz w:val="24"/>
          <w:u w:val="single"/>
          <w:lang w:val="en-US" w:eastAsia="zh-CN"/>
        </w:rPr>
        <w:t xml:space="preserve">    </w:t>
      </w:r>
      <w:r>
        <w:rPr>
          <w:rFonts w:hint="eastAsia" w:ascii="宋体" w:hAnsi="宋体"/>
          <w:sz w:val="24"/>
        </w:rPr>
        <w:t>%</w:t>
      </w:r>
      <w:r>
        <w:rPr>
          <w:rFonts w:hint="eastAsia" w:ascii="宋体" w:hAnsi="宋体"/>
          <w:bCs/>
          <w:color w:val="auto"/>
          <w:sz w:val="24"/>
          <w:highlight w:val="none"/>
        </w:rPr>
        <w:t>。</w:t>
      </w:r>
    </w:p>
    <w:p w14:paraId="43A3CBBB">
      <w:pPr>
        <w:pStyle w:val="60"/>
        <w:spacing w:line="380" w:lineRule="exact"/>
        <w:ind w:firstLine="490"/>
        <w:rPr>
          <w:rFonts w:hint="eastAsia" w:ascii="ˎ̥" w:hAnsi="ˎ̥" w:cs="宋体"/>
          <w:color w:val="000000"/>
          <w:kern w:val="0"/>
          <w:sz w:val="24"/>
          <w:u w:val="single"/>
        </w:rPr>
      </w:pPr>
      <w:r>
        <w:rPr>
          <w:rFonts w:hint="eastAsia" w:ascii="宋体" w:hAnsi="宋体"/>
          <w:color w:val="000000"/>
          <w:sz w:val="24"/>
        </w:rPr>
        <w:t>2．本合同为固定</w:t>
      </w:r>
      <w:r>
        <w:rPr>
          <w:rFonts w:hint="eastAsia" w:ascii="宋体" w:hAnsi="宋体"/>
          <w:color w:val="000000"/>
          <w:sz w:val="24"/>
          <w:lang w:val="en-US" w:eastAsia="zh-CN"/>
        </w:rPr>
        <w:t>总价</w:t>
      </w:r>
      <w:r>
        <w:rPr>
          <w:rFonts w:hint="eastAsia" w:ascii="宋体" w:hAnsi="宋体"/>
          <w:color w:val="000000"/>
          <w:sz w:val="24"/>
        </w:rPr>
        <w:t>合同，投标</w:t>
      </w:r>
      <w:r>
        <w:rPr>
          <w:rFonts w:hint="eastAsia" w:ascii="宋体" w:hAnsi="宋体"/>
          <w:color w:val="000000"/>
          <w:sz w:val="24"/>
          <w:lang w:val="en-US" w:eastAsia="zh-CN"/>
        </w:rPr>
        <w:t>总价</w:t>
      </w:r>
      <w:r>
        <w:rPr>
          <w:rFonts w:hint="eastAsia" w:ascii="ˎ̥" w:hAnsi="ˎ̥" w:cs="宋体"/>
          <w:color w:val="000000"/>
          <w:kern w:val="0"/>
          <w:sz w:val="24"/>
          <w:u w:val="single"/>
        </w:rPr>
        <w:t>已全部考虑了包括所有货物</w:t>
      </w:r>
      <w:r>
        <w:rPr>
          <w:rFonts w:hint="eastAsia" w:ascii="ˎ̥" w:hAnsi="ˎ̥" w:cs="宋体"/>
          <w:color w:val="000000"/>
          <w:kern w:val="0"/>
          <w:sz w:val="24"/>
          <w:u w:val="single"/>
          <w:lang w:val="en-US" w:eastAsia="zh-CN"/>
        </w:rPr>
        <w:t>装卸</w:t>
      </w:r>
      <w:r>
        <w:rPr>
          <w:rFonts w:hint="eastAsia" w:ascii="ˎ̥" w:hAnsi="ˎ̥" w:cs="宋体"/>
          <w:color w:val="000000"/>
          <w:kern w:val="0"/>
          <w:sz w:val="24"/>
          <w:u w:val="single"/>
        </w:rPr>
        <w:t>、</w:t>
      </w:r>
      <w:r>
        <w:rPr>
          <w:rFonts w:hint="eastAsia" w:ascii="ˎ̥" w:hAnsi="ˎ̥" w:cs="宋体"/>
          <w:color w:val="000000"/>
          <w:kern w:val="0"/>
          <w:sz w:val="24"/>
          <w:u w:val="single"/>
          <w:lang w:eastAsia="zh-CN"/>
        </w:rPr>
        <w:t>安装</w:t>
      </w:r>
      <w:r>
        <w:rPr>
          <w:rFonts w:hint="eastAsia" w:ascii="ˎ̥" w:hAnsi="ˎ̥" w:cs="宋体"/>
          <w:color w:val="000000"/>
          <w:kern w:val="0"/>
          <w:sz w:val="24"/>
          <w:u w:val="single"/>
        </w:rPr>
        <w:t>、调试、人力、机械、运输、仓储、各种税费（如发生政策性调整，将同步调整）、劳保、专利技术、质保、政策性文件规定及合同包含的所有风险、责任等各项所有费用。</w:t>
      </w:r>
    </w:p>
    <w:p w14:paraId="7DFED043">
      <w:pPr>
        <w:pStyle w:val="65"/>
        <w:spacing w:line="360" w:lineRule="auto"/>
        <w:ind w:firstLine="490"/>
        <w:rPr>
          <w:rFonts w:hint="eastAsia" w:ascii="宋体" w:hAnsi="宋体"/>
          <w:sz w:val="24"/>
        </w:rPr>
      </w:pPr>
      <w:r>
        <w:rPr>
          <w:rFonts w:hint="eastAsia" w:ascii="宋体" w:hAnsi="宋体"/>
          <w:sz w:val="24"/>
        </w:rPr>
        <w:t>3．付款步骤：</w:t>
      </w:r>
    </w:p>
    <w:p w14:paraId="48D72AE1">
      <w:pPr>
        <w:pStyle w:val="65"/>
        <w:spacing w:line="360" w:lineRule="auto"/>
        <w:ind w:firstLine="490"/>
        <w:rPr>
          <w:rFonts w:hint="eastAsia" w:ascii="宋体" w:hAnsi="宋体"/>
          <w:sz w:val="24"/>
        </w:rPr>
      </w:pPr>
      <w:r>
        <w:rPr>
          <w:rFonts w:hint="eastAsia" w:asciiTheme="minorEastAsia" w:hAnsiTheme="minorEastAsia" w:eastAsiaTheme="minorEastAsia"/>
          <w:color w:val="000000"/>
          <w:sz w:val="24"/>
          <w:szCs w:val="24"/>
        </w:rPr>
        <w:t>（1）</w:t>
      </w:r>
      <w:r>
        <w:rPr>
          <w:rFonts w:hint="eastAsia" w:ascii="宋体" w:hAnsi="宋体"/>
          <w:sz w:val="24"/>
        </w:rPr>
        <w:t>合同设备</w:t>
      </w:r>
      <w:r>
        <w:rPr>
          <w:rFonts w:hint="eastAsia" w:ascii="宋体" w:hAnsi="宋体"/>
          <w:sz w:val="24"/>
          <w:lang w:val="en-US" w:eastAsia="zh-CN"/>
        </w:rPr>
        <w:t>试运行</w:t>
      </w:r>
      <w:r>
        <w:rPr>
          <w:rFonts w:hint="eastAsia" w:ascii="宋体" w:hAnsi="宋体"/>
          <w:sz w:val="24"/>
        </w:rPr>
        <w:t>正常，经甲方现场验收合格</w:t>
      </w:r>
      <w:r>
        <w:rPr>
          <w:rFonts w:hint="eastAsia" w:ascii="宋体" w:hAnsi="宋体"/>
          <w:sz w:val="24"/>
          <w:lang w:val="en-US" w:eastAsia="zh-CN"/>
        </w:rPr>
        <w:t>后</w:t>
      </w:r>
      <w:r>
        <w:rPr>
          <w:rFonts w:hint="eastAsia" w:ascii="宋体" w:hAnsi="宋体"/>
          <w:sz w:val="24"/>
        </w:rPr>
        <w:t>，乙方须于当月</w:t>
      </w:r>
      <w:r>
        <w:rPr>
          <w:rFonts w:hint="eastAsia" w:ascii="宋体" w:hAnsi="宋体"/>
          <w:sz w:val="24"/>
          <w:lang w:val="en-US" w:eastAsia="zh-CN"/>
        </w:rPr>
        <w:t>2</w:t>
      </w:r>
      <w:r>
        <w:rPr>
          <w:rFonts w:hint="eastAsia" w:ascii="宋体" w:hAnsi="宋体"/>
          <w:sz w:val="24"/>
        </w:rPr>
        <w:t>5日前开具所供货物的全额增值税税务发票，甲方在30天内支付发票金额的</w:t>
      </w:r>
      <w:r>
        <w:rPr>
          <w:rFonts w:hint="eastAsia" w:ascii="宋体" w:hAnsi="宋体"/>
          <w:sz w:val="24"/>
          <w:lang w:val="en-US" w:eastAsia="zh-CN"/>
        </w:rPr>
        <w:t>60</w:t>
      </w:r>
      <w:r>
        <w:rPr>
          <w:rFonts w:hint="eastAsia" w:ascii="宋体" w:hAnsi="宋体"/>
          <w:sz w:val="24"/>
        </w:rPr>
        <w:t>%货款；</w:t>
      </w:r>
    </w:p>
    <w:p w14:paraId="58DC8470">
      <w:pPr>
        <w:pStyle w:val="65"/>
        <w:spacing w:line="360" w:lineRule="auto"/>
        <w:ind w:firstLine="490"/>
        <w:rPr>
          <w:rFonts w:asciiTheme="minorEastAsia" w:hAnsiTheme="minorEastAsia" w:eastAsiaTheme="minorEastAsia"/>
          <w:sz w:val="24"/>
          <w:szCs w:val="24"/>
        </w:rPr>
      </w:pPr>
      <w:r>
        <w:rPr>
          <w:rFonts w:hint="eastAsia" w:ascii="宋体" w:hAnsi="宋体" w:eastAsiaTheme="minorEastAsia"/>
          <w:sz w:val="24"/>
          <w:lang w:eastAsia="zh-CN"/>
        </w:rPr>
        <w:t>（</w:t>
      </w:r>
      <w:r>
        <w:rPr>
          <w:rFonts w:hint="eastAsia" w:ascii="宋体" w:hAnsi="宋体" w:eastAsiaTheme="minorEastAsia"/>
          <w:sz w:val="24"/>
          <w:lang w:val="en-US" w:eastAsia="zh-CN"/>
        </w:rPr>
        <w:t>2</w:t>
      </w:r>
      <w:r>
        <w:rPr>
          <w:rFonts w:hint="eastAsia" w:ascii="宋体" w:hAnsi="宋体" w:eastAsiaTheme="minorEastAsia"/>
          <w:sz w:val="24"/>
          <w:lang w:eastAsia="zh-CN"/>
        </w:rPr>
        <w:t>）</w:t>
      </w:r>
      <w:r>
        <w:rPr>
          <w:rFonts w:hint="eastAsia" w:ascii="宋体" w:hAnsi="宋体" w:eastAsiaTheme="minorEastAsia"/>
          <w:sz w:val="24"/>
          <w:lang w:val="en-US" w:eastAsia="zh-CN"/>
        </w:rPr>
        <w:t>连续</w:t>
      </w:r>
      <w:r>
        <w:rPr>
          <w:rFonts w:hint="eastAsia" w:asciiTheme="minorEastAsia" w:hAnsiTheme="minorEastAsia" w:eastAsiaTheme="minorEastAsia"/>
          <w:sz w:val="24"/>
          <w:szCs w:val="24"/>
        </w:rPr>
        <w:t>运行</w:t>
      </w:r>
      <w:r>
        <w:rPr>
          <w:rFonts w:hint="eastAsia" w:asciiTheme="minorEastAsia" w:hAnsiTheme="minorEastAsia" w:eastAsiaTheme="minorEastAsia"/>
          <w:sz w:val="24"/>
          <w:szCs w:val="24"/>
          <w:lang w:val="en-US" w:eastAsia="zh-CN"/>
        </w:rPr>
        <w:t>6个月</w:t>
      </w:r>
      <w:r>
        <w:rPr>
          <w:rFonts w:hint="eastAsia" w:asciiTheme="minorEastAsia" w:hAnsiTheme="minorEastAsia" w:eastAsiaTheme="minorEastAsia"/>
          <w:sz w:val="24"/>
          <w:szCs w:val="24"/>
        </w:rPr>
        <w:t>后，无质量问题，30天内支付所供货物发票金额的30%；</w:t>
      </w:r>
    </w:p>
    <w:p w14:paraId="693DD649">
      <w:pPr>
        <w:pStyle w:val="65"/>
        <w:spacing w:line="360" w:lineRule="auto"/>
        <w:ind w:firstLine="49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w:t>
      </w:r>
      <w:r>
        <w:rPr>
          <w:rFonts w:hint="eastAsia" w:ascii="宋体" w:hAnsi="宋体"/>
          <w:color w:val="000000"/>
          <w:sz w:val="24"/>
        </w:rPr>
        <w:t>余款10%作为质保金，</w:t>
      </w:r>
      <w:r>
        <w:rPr>
          <w:rFonts w:hint="eastAsia" w:ascii="宋体" w:hAnsi="宋体"/>
          <w:sz w:val="24"/>
          <w:szCs w:val="22"/>
        </w:rPr>
        <w:t>在质保期满后</w:t>
      </w:r>
      <w:r>
        <w:rPr>
          <w:rFonts w:hint="eastAsia" w:ascii="宋体" w:hAnsi="宋体"/>
          <w:sz w:val="24"/>
          <w:szCs w:val="22"/>
          <w:lang w:eastAsia="zh-CN"/>
        </w:rPr>
        <w:t>，</w:t>
      </w:r>
      <w:r>
        <w:rPr>
          <w:rFonts w:hint="eastAsia" w:ascii="宋体" w:hAnsi="宋体"/>
          <w:sz w:val="24"/>
          <w:szCs w:val="22"/>
          <w:lang w:val="en-US" w:eastAsia="zh-CN"/>
        </w:rPr>
        <w:t>无质量问题，</w:t>
      </w:r>
      <w:r>
        <w:rPr>
          <w:rFonts w:hint="eastAsia" w:ascii="宋体" w:hAnsi="宋体"/>
          <w:sz w:val="24"/>
          <w:szCs w:val="22"/>
        </w:rPr>
        <w:t>三十日内一次性付清。</w:t>
      </w:r>
    </w:p>
    <w:p w14:paraId="6309B23E">
      <w:pPr>
        <w:pStyle w:val="65"/>
        <w:spacing w:line="360" w:lineRule="auto"/>
        <w:ind w:firstLine="490"/>
        <w:rPr>
          <w:rFonts w:ascii="宋体" w:hAnsi="宋体"/>
          <w:sz w:val="24"/>
        </w:rPr>
      </w:pPr>
      <w:r>
        <w:rPr>
          <w:rFonts w:hint="eastAsia" w:asciiTheme="minorEastAsia" w:hAnsiTheme="minorEastAsia" w:eastAsiaTheme="minorEastAsia"/>
          <w:sz w:val="24"/>
          <w:szCs w:val="24"/>
        </w:rPr>
        <w:t>（由于财政结算等流程设计问题，特殊情况结算会滞后）</w:t>
      </w:r>
    </w:p>
    <w:p w14:paraId="59807135">
      <w:pPr>
        <w:pStyle w:val="60"/>
        <w:spacing w:line="380" w:lineRule="exact"/>
        <w:ind w:firstLine="490"/>
        <w:rPr>
          <w:rFonts w:ascii="宋体" w:hAnsi="宋体"/>
          <w:sz w:val="24"/>
        </w:rPr>
      </w:pPr>
      <w:r>
        <w:rPr>
          <w:rFonts w:hint="eastAsia" w:ascii="宋体" w:hAnsi="宋体"/>
          <w:sz w:val="24"/>
        </w:rPr>
        <w:t>4．履约保证金形式：</w:t>
      </w:r>
      <w:r>
        <w:rPr>
          <w:rFonts w:hint="eastAsia" w:ascii="宋体" w:hAnsi="宋体"/>
          <w:sz w:val="24"/>
          <w:lang w:val="en-US" w:eastAsia="zh-CN"/>
        </w:rPr>
        <w:t>银行转账</w:t>
      </w:r>
      <w:r>
        <w:rPr>
          <w:rFonts w:hint="eastAsia" w:ascii="宋体" w:hAnsi="宋体"/>
          <w:sz w:val="24"/>
        </w:rPr>
        <w:t>或者银行保函。</w:t>
      </w:r>
    </w:p>
    <w:p w14:paraId="01F6DBBB">
      <w:pPr>
        <w:spacing w:line="360" w:lineRule="auto"/>
        <w:ind w:firstLine="480" w:firstLineChars="200"/>
        <w:rPr>
          <w:rFonts w:hint="eastAsia"/>
          <w:b w:val="0"/>
          <w:bCs w:val="0"/>
          <w:sz w:val="24"/>
          <w:highlight w:val="yellow"/>
          <w:u w:val="none"/>
        </w:rPr>
      </w:pPr>
      <w:r>
        <w:rPr>
          <w:rFonts w:hint="eastAsia" w:ascii="宋体" w:hAnsi="宋体"/>
          <w:sz w:val="24"/>
        </w:rPr>
        <w:t>5．履约保证金的退还：</w:t>
      </w:r>
      <w:r>
        <w:rPr>
          <w:rFonts w:hint="eastAsia" w:ascii="宋体" w:hAnsi="宋体"/>
          <w:bCs/>
          <w:color w:val="auto"/>
          <w:sz w:val="24"/>
          <w:szCs w:val="24"/>
          <w:highlight w:val="yellow"/>
          <w:u w:val="single"/>
          <w:lang w:val="zh-CN"/>
        </w:rPr>
        <w:t>中标合同总金额</w:t>
      </w:r>
      <w:r>
        <w:rPr>
          <w:rFonts w:hint="eastAsia" w:ascii="宋体" w:hAnsi="宋体"/>
          <w:bCs/>
          <w:color w:val="FF0000"/>
          <w:sz w:val="24"/>
          <w:szCs w:val="24"/>
          <w:highlight w:val="yellow"/>
          <w:u w:val="single"/>
          <w:lang w:val="en-US" w:eastAsia="zh-CN"/>
        </w:rPr>
        <w:t>10</w:t>
      </w:r>
      <w:r>
        <w:rPr>
          <w:rFonts w:hint="eastAsia" w:ascii="宋体" w:hAnsi="宋体"/>
          <w:bCs/>
          <w:color w:val="FF0000"/>
          <w:sz w:val="24"/>
          <w:szCs w:val="24"/>
          <w:highlight w:val="yellow"/>
          <w:u w:val="single"/>
          <w:lang w:val="zh-CN"/>
        </w:rPr>
        <w:t>%</w:t>
      </w:r>
      <w:r>
        <w:rPr>
          <w:rFonts w:hint="eastAsia"/>
          <w:b/>
          <w:bCs/>
          <w:sz w:val="24"/>
          <w:u w:val="single"/>
        </w:rPr>
        <w:t>（履约保证金或银行保函）</w:t>
      </w:r>
      <w:r>
        <w:rPr>
          <w:rFonts w:hint="eastAsia"/>
          <w:b w:val="0"/>
          <w:bCs w:val="0"/>
          <w:sz w:val="24"/>
          <w:u w:val="none"/>
        </w:rPr>
        <w:t>，</w:t>
      </w:r>
      <w:r>
        <w:rPr>
          <w:rFonts w:hint="eastAsia"/>
          <w:b w:val="0"/>
          <w:bCs w:val="0"/>
          <w:sz w:val="24"/>
          <w:highlight w:val="yellow"/>
          <w:u w:val="none"/>
        </w:rPr>
        <w:t>于设备安装调试验收合格</w:t>
      </w:r>
      <w:r>
        <w:rPr>
          <w:rFonts w:hint="eastAsia"/>
          <w:b w:val="0"/>
          <w:bCs w:val="0"/>
          <w:sz w:val="24"/>
          <w:highlight w:val="yellow"/>
          <w:u w:val="none"/>
          <w:lang w:val="en-US" w:eastAsia="zh-CN"/>
        </w:rPr>
        <w:t>并连续运行6个月</w:t>
      </w:r>
      <w:r>
        <w:rPr>
          <w:rFonts w:hint="eastAsia"/>
          <w:b w:val="0"/>
          <w:bCs w:val="0"/>
          <w:sz w:val="24"/>
          <w:highlight w:val="yellow"/>
          <w:u w:val="none"/>
        </w:rPr>
        <w:t>后三十个工作日内无息退还。</w:t>
      </w:r>
    </w:p>
    <w:p w14:paraId="5C2A0F0F">
      <w:pPr>
        <w:spacing w:line="360" w:lineRule="auto"/>
        <w:ind w:firstLine="480" w:firstLineChars="200"/>
        <w:rPr>
          <w:rFonts w:ascii="宋体" w:hAnsi="宋体"/>
          <w:sz w:val="24"/>
          <w:u w:val="single"/>
        </w:rPr>
      </w:pPr>
      <w:r>
        <w:rPr>
          <w:rFonts w:hint="eastAsia" w:ascii="宋体" w:hAnsi="宋体"/>
          <w:bCs/>
          <w:sz w:val="24"/>
          <w:lang w:val="en-US" w:eastAsia="zh-CN"/>
        </w:rPr>
        <w:t>注：</w:t>
      </w:r>
      <w:r>
        <w:rPr>
          <w:rFonts w:hint="eastAsia" w:ascii="宋体" w:hAnsi="宋体"/>
          <w:bCs/>
          <w:sz w:val="24"/>
        </w:rPr>
        <w:t>若乙方缴纳履约保证金的形式为开具银行保函，需确保保函有效期覆盖合同期。若合同在执行过程中保函即将过期，乙方需提前一个月重新开具银行保函交至甲方，否则甲方将停付进度款。</w:t>
      </w:r>
    </w:p>
    <w:p w14:paraId="4ADCB99D">
      <w:pPr>
        <w:pStyle w:val="60"/>
        <w:spacing w:line="380" w:lineRule="exact"/>
        <w:ind w:firstLine="490"/>
        <w:rPr>
          <w:rFonts w:hint="eastAsia" w:ascii="宋体" w:hAnsi="宋体"/>
          <w:sz w:val="24"/>
        </w:rPr>
      </w:pPr>
      <w:r>
        <w:rPr>
          <w:rFonts w:hint="eastAsia" w:ascii="宋体" w:hAnsi="宋体"/>
          <w:sz w:val="24"/>
        </w:rPr>
        <w:t>6．付款方式：银行汇票或转帐支票。</w:t>
      </w:r>
    </w:p>
    <w:p w14:paraId="3C34957B">
      <w:pPr>
        <w:pStyle w:val="60"/>
        <w:spacing w:line="380" w:lineRule="exact"/>
        <w:ind w:firstLine="490"/>
        <w:rPr>
          <w:rFonts w:hint="default" w:ascii="宋体" w:hAnsi="宋体"/>
          <w:sz w:val="24"/>
          <w:u w:val="single"/>
          <w:lang w:val="en-US" w:eastAsia="zh-CN"/>
        </w:rPr>
      </w:pPr>
      <w:r>
        <w:rPr>
          <w:rFonts w:hint="eastAsia" w:ascii="宋体" w:hAnsi="宋体"/>
          <w:sz w:val="24"/>
          <w:lang w:val="en-US" w:eastAsia="zh-CN"/>
        </w:rPr>
        <w:t>7</w:t>
      </w:r>
      <w:r>
        <w:rPr>
          <w:rFonts w:hint="eastAsia" w:ascii="宋体" w:hAnsi="宋体"/>
          <w:sz w:val="24"/>
        </w:rPr>
        <w:t>．</w:t>
      </w:r>
      <w:r>
        <w:rPr>
          <w:rFonts w:hint="eastAsia" w:ascii="宋体" w:hAnsi="宋体"/>
          <w:sz w:val="24"/>
          <w:lang w:val="en-US" w:eastAsia="zh-CN"/>
        </w:rPr>
        <w:t>供货期：</w:t>
      </w:r>
      <w:r>
        <w:rPr>
          <w:rFonts w:hint="eastAsia" w:ascii="宋体" w:hAnsi="宋体"/>
          <w:sz w:val="24"/>
          <w:u w:val="single"/>
          <w:lang w:val="en-US" w:eastAsia="zh-CN"/>
        </w:rPr>
        <w:t>自中标之日起至2026年12月31日</w:t>
      </w:r>
      <w:r>
        <w:rPr>
          <w:rFonts w:hint="eastAsia" w:ascii="宋体" w:hAnsi="宋体"/>
          <w:bCs/>
          <w:sz w:val="24"/>
          <w:szCs w:val="24"/>
          <w:u w:val="single"/>
          <w:lang w:val="zh-CN"/>
        </w:rPr>
        <w:t>或</w:t>
      </w:r>
      <w:r>
        <w:rPr>
          <w:rFonts w:hint="eastAsia" w:ascii="宋体" w:hAnsi="宋体" w:eastAsia="宋体" w:cs="宋体"/>
          <w:sz w:val="24"/>
          <w:szCs w:val="24"/>
          <w:u w:val="single"/>
        </w:rPr>
        <w:t>合同总额先到者为准</w:t>
      </w:r>
      <w:r>
        <w:rPr>
          <w:rFonts w:hint="eastAsia" w:ascii="宋体" w:hAnsi="宋体"/>
          <w:sz w:val="24"/>
          <w:u w:val="single"/>
          <w:lang w:val="en-US" w:eastAsia="zh-CN"/>
        </w:rPr>
        <w:t>。</w:t>
      </w:r>
      <w:r>
        <w:rPr>
          <w:rFonts w:hint="eastAsia" w:ascii="宋体" w:hAnsi="宋体"/>
          <w:color w:val="000000"/>
          <w:sz w:val="24"/>
          <w:szCs w:val="22"/>
          <w:u w:val="single"/>
          <w:lang w:val="zh-CN"/>
        </w:rPr>
        <w:t>分批供货，</w:t>
      </w:r>
      <w:r>
        <w:rPr>
          <w:rFonts w:hint="eastAsia" w:ascii="宋体" w:hAnsi="宋体"/>
          <w:sz w:val="24"/>
          <w:u w:val="single"/>
          <w:lang w:val="en-US" w:eastAsia="zh-CN"/>
        </w:rPr>
        <w:t>乙方</w:t>
      </w:r>
      <w:r>
        <w:rPr>
          <w:rFonts w:hint="eastAsia" w:ascii="宋体" w:hAnsi="宋体"/>
          <w:sz w:val="24"/>
          <w:u w:val="single"/>
        </w:rPr>
        <w:t>接到</w:t>
      </w:r>
      <w:r>
        <w:rPr>
          <w:rFonts w:hint="eastAsia" w:ascii="宋体" w:hAnsi="宋体"/>
          <w:sz w:val="24"/>
          <w:u w:val="single"/>
          <w:lang w:val="en-US" w:eastAsia="zh-CN"/>
        </w:rPr>
        <w:t>甲</w:t>
      </w:r>
      <w:r>
        <w:rPr>
          <w:rFonts w:hint="eastAsia" w:ascii="宋体" w:hAnsi="宋体"/>
          <w:sz w:val="24"/>
          <w:u w:val="single"/>
        </w:rPr>
        <w:t>方的发货通知后</w:t>
      </w:r>
      <w:r>
        <w:rPr>
          <w:rFonts w:hint="eastAsia" w:ascii="宋体" w:hAnsi="宋体"/>
          <w:sz w:val="24"/>
          <w:u w:val="single"/>
          <w:lang w:val="en-US" w:eastAsia="zh-CN"/>
        </w:rPr>
        <w:t>50</w:t>
      </w:r>
      <w:r>
        <w:rPr>
          <w:rFonts w:hint="eastAsia" w:ascii="宋体" w:hAnsi="宋体"/>
          <w:sz w:val="24"/>
          <w:u w:val="single"/>
        </w:rPr>
        <w:t>天内</w:t>
      </w:r>
      <w:r>
        <w:rPr>
          <w:rFonts w:hint="eastAsia" w:ascii="宋体" w:hAnsi="宋体"/>
          <w:sz w:val="24"/>
          <w:u w:val="single"/>
          <w:lang w:val="en-US" w:eastAsia="zh-CN"/>
        </w:rPr>
        <w:t>完成</w:t>
      </w:r>
      <w:r>
        <w:rPr>
          <w:rFonts w:hint="eastAsia" w:ascii="宋体" w:hAnsi="宋体"/>
          <w:sz w:val="24"/>
          <w:u w:val="single"/>
        </w:rPr>
        <w:t>供货</w:t>
      </w:r>
      <w:r>
        <w:rPr>
          <w:rFonts w:hint="eastAsia" w:ascii="宋体" w:hAnsi="宋体"/>
          <w:sz w:val="24"/>
          <w:u w:val="single"/>
          <w:lang w:eastAsia="zh-CN"/>
        </w:rPr>
        <w:t>，</w:t>
      </w:r>
      <w:r>
        <w:rPr>
          <w:rFonts w:hint="eastAsia" w:ascii="宋体" w:hAnsi="宋体"/>
          <w:sz w:val="24"/>
          <w:u w:val="single"/>
          <w:lang w:val="en-US" w:eastAsia="zh-CN"/>
        </w:rPr>
        <w:t>乙方接到甲方的安装调试通知之日起15天内完成安装调试</w:t>
      </w:r>
      <w:r>
        <w:rPr>
          <w:rFonts w:hint="eastAsia" w:ascii="宋体" w:hAnsi="宋体"/>
          <w:color w:val="000000"/>
          <w:sz w:val="24"/>
          <w:szCs w:val="22"/>
          <w:u w:val="single"/>
          <w:lang w:val="zh-CN"/>
        </w:rPr>
        <w:t>。</w:t>
      </w:r>
    </w:p>
    <w:p w14:paraId="3FD4FFE3">
      <w:pPr>
        <w:pStyle w:val="60"/>
        <w:spacing w:line="380" w:lineRule="exact"/>
        <w:ind w:firstLine="490"/>
        <w:rPr>
          <w:rFonts w:ascii="宋体" w:hAnsi="宋体"/>
          <w:b/>
          <w:sz w:val="24"/>
        </w:rPr>
      </w:pPr>
      <w:r>
        <w:rPr>
          <w:rFonts w:hint="eastAsia" w:ascii="宋体" w:hAnsi="宋体"/>
          <w:b/>
          <w:sz w:val="24"/>
        </w:rPr>
        <w:t>三、质量保证：</w:t>
      </w:r>
    </w:p>
    <w:p w14:paraId="021AB06D">
      <w:pPr>
        <w:pStyle w:val="60"/>
        <w:spacing w:line="380" w:lineRule="exact"/>
        <w:ind w:firstLine="490"/>
        <w:rPr>
          <w:rFonts w:ascii="宋体" w:hAnsi="宋体"/>
          <w:color w:val="FF0000"/>
          <w:sz w:val="24"/>
        </w:rPr>
      </w:pPr>
      <w:r>
        <w:rPr>
          <w:rFonts w:hint="eastAsia" w:ascii="宋体" w:hAnsi="宋体"/>
          <w:sz w:val="24"/>
        </w:rPr>
        <w:t>1、</w:t>
      </w:r>
      <w:r>
        <w:rPr>
          <w:rFonts w:ascii="宋体" w:hAnsi="宋体"/>
          <w:color w:val="000000"/>
          <w:sz w:val="24"/>
        </w:rPr>
        <w:t>产品的质量、技术标准按</w:t>
      </w:r>
      <w:r>
        <w:rPr>
          <w:rFonts w:hint="eastAsia" w:ascii="宋体" w:hAnsi="宋体"/>
          <w:color w:val="000000"/>
          <w:sz w:val="24"/>
        </w:rPr>
        <w:t>国家有关约定、图纸设计要求、</w:t>
      </w:r>
      <w:r>
        <w:rPr>
          <w:rFonts w:ascii="宋体" w:hAnsi="宋体"/>
          <w:color w:val="000000"/>
          <w:sz w:val="24"/>
        </w:rPr>
        <w:t>招标文件和投标文件</w:t>
      </w:r>
      <w:r>
        <w:rPr>
          <w:rFonts w:hint="eastAsia" w:ascii="宋体" w:hAnsi="宋体"/>
          <w:color w:val="000000"/>
          <w:sz w:val="24"/>
        </w:rPr>
        <w:t>，安装完成后需通过当地产品质量技术监督检验机构的验收。</w:t>
      </w:r>
    </w:p>
    <w:p w14:paraId="1CCBE230">
      <w:pPr>
        <w:pStyle w:val="60"/>
        <w:spacing w:line="380" w:lineRule="exact"/>
        <w:ind w:firstLine="490"/>
        <w:rPr>
          <w:rFonts w:ascii="宋体" w:hAnsi="宋体"/>
          <w:sz w:val="24"/>
        </w:rPr>
      </w:pPr>
      <w:r>
        <w:rPr>
          <w:rFonts w:hint="eastAsia" w:ascii="宋体" w:hAnsi="宋体"/>
          <w:sz w:val="24"/>
        </w:rPr>
        <w:t>2、</w:t>
      </w:r>
      <w:r>
        <w:rPr>
          <w:rFonts w:ascii="宋体" w:hAnsi="宋体"/>
          <w:sz w:val="24"/>
        </w:rPr>
        <w:t>乙方应按合同规定的设备性能、质量标准向甲方提供未经使用的符合质量要求的全新设备。</w:t>
      </w:r>
    </w:p>
    <w:p w14:paraId="16FAE7A7">
      <w:pPr>
        <w:pStyle w:val="60"/>
        <w:spacing w:line="380" w:lineRule="exact"/>
        <w:ind w:firstLine="490"/>
        <w:rPr>
          <w:rFonts w:ascii="宋体" w:hAnsi="宋体"/>
          <w:sz w:val="24"/>
        </w:rPr>
      </w:pPr>
      <w:r>
        <w:rPr>
          <w:rFonts w:hint="eastAsia" w:ascii="宋体" w:hAnsi="宋体"/>
          <w:sz w:val="24"/>
        </w:rPr>
        <w:t>3、设备材料运至施工现场后</w:t>
      </w:r>
      <w:r>
        <w:rPr>
          <w:rFonts w:ascii="宋体" w:hAnsi="宋体"/>
          <w:sz w:val="24"/>
        </w:rPr>
        <w:t>,</w:t>
      </w:r>
      <w:r>
        <w:rPr>
          <w:rFonts w:hint="eastAsia" w:ascii="宋体" w:hAnsi="宋体"/>
          <w:sz w:val="24"/>
        </w:rPr>
        <w:t>在施工方未验收之前</w:t>
      </w:r>
      <w:r>
        <w:rPr>
          <w:rFonts w:ascii="宋体" w:hAnsi="宋体"/>
          <w:sz w:val="24"/>
        </w:rPr>
        <w:t>,</w:t>
      </w:r>
      <w:r>
        <w:rPr>
          <w:rFonts w:hint="eastAsia" w:ascii="宋体" w:hAnsi="宋体"/>
          <w:sz w:val="24"/>
        </w:rPr>
        <w:t>由</w:t>
      </w:r>
      <w:r>
        <w:rPr>
          <w:rFonts w:hint="eastAsia" w:ascii="宋体" w:hAnsi="宋体"/>
          <w:sz w:val="24"/>
          <w:lang w:val="en-US" w:eastAsia="zh-CN"/>
        </w:rPr>
        <w:t>乙方</w:t>
      </w:r>
      <w:r>
        <w:rPr>
          <w:rFonts w:hint="eastAsia" w:ascii="宋体" w:hAnsi="宋体"/>
          <w:sz w:val="24"/>
        </w:rPr>
        <w:t>承担一切保管责任。</w:t>
      </w:r>
    </w:p>
    <w:p w14:paraId="032C3737">
      <w:pPr>
        <w:pStyle w:val="60"/>
        <w:spacing w:line="380" w:lineRule="exact"/>
        <w:ind w:firstLine="490"/>
        <w:rPr>
          <w:b/>
          <w:sz w:val="24"/>
        </w:rPr>
      </w:pPr>
      <w:r>
        <w:rPr>
          <w:rFonts w:hint="eastAsia"/>
          <w:b/>
          <w:sz w:val="24"/>
        </w:rPr>
        <w:t>四、 验收</w:t>
      </w:r>
    </w:p>
    <w:p w14:paraId="7D871530">
      <w:pPr>
        <w:pStyle w:val="60"/>
        <w:spacing w:line="380" w:lineRule="exact"/>
        <w:ind w:firstLine="490"/>
        <w:rPr>
          <w:rFonts w:ascii="宋体" w:hAnsi="宋体"/>
          <w:sz w:val="24"/>
        </w:rPr>
      </w:pPr>
      <w:r>
        <w:rPr>
          <w:rFonts w:hint="eastAsia" w:ascii="宋体" w:hAnsi="宋体"/>
          <w:sz w:val="24"/>
        </w:rPr>
        <w:t>1、设备到达现场后，乙方应派人参与甲方的开箱检验工作，甲方将委托有关专家进行当场验收，乙方配合甲方完成验收工作。</w:t>
      </w:r>
    </w:p>
    <w:p w14:paraId="5425262B">
      <w:pPr>
        <w:pStyle w:val="60"/>
        <w:spacing w:line="380" w:lineRule="exact"/>
        <w:ind w:firstLine="490"/>
        <w:rPr>
          <w:rFonts w:ascii="宋体" w:hAnsi="宋体"/>
          <w:sz w:val="24"/>
        </w:rPr>
      </w:pPr>
      <w:r>
        <w:rPr>
          <w:rFonts w:ascii="宋体" w:hAnsi="宋体"/>
          <w:sz w:val="24"/>
        </w:rPr>
        <w:t>2、乙方交货前应按</w:t>
      </w:r>
      <w:r>
        <w:rPr>
          <w:rFonts w:hint="eastAsia" w:ascii="宋体" w:hAnsi="宋体"/>
          <w:sz w:val="24"/>
        </w:rPr>
        <w:t>国家有关</w:t>
      </w:r>
      <w:r>
        <w:rPr>
          <w:rFonts w:ascii="宋体" w:hAnsi="宋体"/>
          <w:sz w:val="24"/>
        </w:rPr>
        <w:t>规定的检验方法，作出全面检测。其记录附在质量证书内。但有关质量、规格、性能、数量或重量的检验不应视为最终检验。乙方检验的结果和详细要求应在质量证明书中加以说明。</w:t>
      </w:r>
    </w:p>
    <w:p w14:paraId="226D189C">
      <w:pPr>
        <w:pStyle w:val="60"/>
        <w:spacing w:line="380" w:lineRule="exact"/>
        <w:ind w:firstLine="490"/>
        <w:rPr>
          <w:rFonts w:ascii="ˎ̥" w:hAnsi="ˎ̥" w:cs="宋体"/>
          <w:color w:val="0000FF"/>
          <w:kern w:val="0"/>
          <w:sz w:val="24"/>
          <w:u w:val="single"/>
        </w:rPr>
      </w:pPr>
      <w:r>
        <w:rPr>
          <w:rFonts w:hint="eastAsia" w:ascii="宋体" w:hAnsi="宋体"/>
          <w:color w:val="000000"/>
          <w:sz w:val="24"/>
        </w:rPr>
        <w:t>3、验收标准：</w:t>
      </w:r>
      <w:r>
        <w:rPr>
          <w:rFonts w:hint="eastAsia" w:ascii="宋体" w:hAnsi="宋体"/>
          <w:sz w:val="24"/>
        </w:rPr>
        <w:t>合格，符合国家现行有关标准、相关行业规范及</w:t>
      </w:r>
      <w:r>
        <w:rPr>
          <w:rFonts w:hint="eastAsia" w:ascii="宋体" w:hAnsi="宋体"/>
          <w:sz w:val="24"/>
          <w:lang w:val="en-US" w:eastAsia="zh-CN"/>
        </w:rPr>
        <w:t>甲方</w:t>
      </w:r>
      <w:r>
        <w:rPr>
          <w:rFonts w:hint="eastAsia" w:ascii="宋体" w:hAnsi="宋体"/>
          <w:sz w:val="24"/>
        </w:rPr>
        <w:t>要求，由用户单位负责验收。</w:t>
      </w:r>
    </w:p>
    <w:p w14:paraId="18E0AF40">
      <w:pPr>
        <w:pStyle w:val="60"/>
        <w:widowControl/>
        <w:spacing w:line="380" w:lineRule="exact"/>
        <w:ind w:firstLine="480" w:firstLineChars="200"/>
        <w:jc w:val="left"/>
        <w:rPr>
          <w:rFonts w:ascii="ˎ̥" w:hAnsi="ˎ̥" w:cs="宋体"/>
          <w:color w:val="0000FF"/>
          <w:kern w:val="0"/>
          <w:sz w:val="24"/>
          <w:u w:val="single"/>
        </w:rPr>
      </w:pPr>
      <w:r>
        <w:rPr>
          <w:rFonts w:hint="eastAsia" w:ascii="宋体" w:hAnsi="宋体" w:cs="宋体"/>
          <w:kern w:val="0"/>
          <w:sz w:val="24"/>
        </w:rPr>
        <w:t>4</w:t>
      </w:r>
      <w:r>
        <w:rPr>
          <w:rFonts w:ascii="宋体" w:hAnsi="宋体" w:cs="宋体"/>
          <w:kern w:val="0"/>
          <w:sz w:val="24"/>
        </w:rPr>
        <w:t>、</w:t>
      </w:r>
      <w:r>
        <w:rPr>
          <w:rFonts w:hint="eastAsia" w:ascii="宋体" w:hAnsi="宋体" w:cs="宋体"/>
          <w:kern w:val="0"/>
          <w:sz w:val="24"/>
        </w:rPr>
        <w:t>供货前和供货过程中，</w:t>
      </w:r>
      <w:r>
        <w:rPr>
          <w:rFonts w:hint="eastAsia" w:ascii="宋体" w:hAnsi="宋体" w:cs="宋体"/>
          <w:kern w:val="0"/>
          <w:sz w:val="24"/>
          <w:lang w:val="en-US" w:eastAsia="zh-CN"/>
        </w:rPr>
        <w:t>甲方</w:t>
      </w:r>
      <w:r>
        <w:rPr>
          <w:rFonts w:hint="eastAsia" w:ascii="宋体" w:hAnsi="宋体" w:cs="宋体"/>
          <w:kern w:val="0"/>
          <w:sz w:val="24"/>
        </w:rPr>
        <w:t>将会自行对投标产品每种规格随机抽样检测，匿名送省级以上质量监督检验机构按合同约定技术标准要求进行质量检测，以此作为判定该合同货物质量是否合格的最终依据。投标产品一旦抽检不合格或不符合投标承诺要求，按违约处理，</w:t>
      </w:r>
      <w:r>
        <w:rPr>
          <w:rFonts w:hint="eastAsia" w:ascii="宋体" w:hAnsi="宋体" w:cs="宋体"/>
          <w:kern w:val="0"/>
          <w:sz w:val="24"/>
          <w:lang w:val="en-US" w:eastAsia="zh-CN"/>
        </w:rPr>
        <w:t>甲方</w:t>
      </w:r>
      <w:r>
        <w:rPr>
          <w:rFonts w:hint="eastAsia" w:ascii="宋体" w:hAnsi="宋体" w:cs="宋体"/>
          <w:kern w:val="0"/>
          <w:sz w:val="24"/>
        </w:rPr>
        <w:t>将终止合同，同时对</w:t>
      </w:r>
      <w:r>
        <w:rPr>
          <w:rFonts w:hint="eastAsia" w:ascii="宋体" w:hAnsi="宋体" w:cs="宋体"/>
          <w:kern w:val="0"/>
          <w:sz w:val="24"/>
          <w:lang w:eastAsia="zh-CN"/>
        </w:rPr>
        <w:t>乙方</w:t>
      </w:r>
      <w:r>
        <w:rPr>
          <w:rFonts w:hint="eastAsia" w:ascii="宋体" w:hAnsi="宋体" w:cs="宋体"/>
          <w:kern w:val="0"/>
          <w:sz w:val="24"/>
        </w:rPr>
        <w:t>处以扣除履约保证金作为违约处罚。</w:t>
      </w:r>
    </w:p>
    <w:p w14:paraId="7ADFF4DC">
      <w:pPr>
        <w:pStyle w:val="60"/>
        <w:spacing w:line="380" w:lineRule="exact"/>
        <w:ind w:firstLine="490"/>
        <w:rPr>
          <w:rFonts w:ascii="宋体" w:hAnsi="宋体"/>
          <w:sz w:val="24"/>
        </w:rPr>
      </w:pPr>
      <w:r>
        <w:rPr>
          <w:rFonts w:hint="eastAsia"/>
          <w:b/>
          <w:sz w:val="24"/>
        </w:rPr>
        <w:t>五、供货要求</w:t>
      </w:r>
      <w:r>
        <w:rPr>
          <w:rFonts w:hint="eastAsia" w:ascii="宋体" w:hAnsi="宋体"/>
          <w:sz w:val="24"/>
        </w:rPr>
        <w:t>：</w:t>
      </w:r>
      <w:r>
        <w:rPr>
          <w:rFonts w:hint="eastAsia" w:ascii="宋体" w:hAnsi="宋体"/>
          <w:color w:val="auto"/>
          <w:sz w:val="24"/>
          <w:u w:val="single"/>
        </w:rPr>
        <w:t>分批供货，</w:t>
      </w:r>
      <w:r>
        <w:rPr>
          <w:rFonts w:hint="eastAsia" w:ascii="宋体" w:hAnsi="宋体"/>
          <w:color w:val="auto"/>
          <w:sz w:val="24"/>
          <w:u w:val="single"/>
          <w:lang w:eastAsia="zh-CN"/>
        </w:rPr>
        <w:t>乙方</w:t>
      </w:r>
      <w:r>
        <w:rPr>
          <w:rFonts w:hint="eastAsia" w:ascii="宋体" w:hAnsi="宋体"/>
          <w:color w:val="auto"/>
          <w:sz w:val="24"/>
          <w:u w:val="single"/>
        </w:rPr>
        <w:t>接到</w:t>
      </w:r>
      <w:r>
        <w:rPr>
          <w:rFonts w:hint="eastAsia" w:ascii="宋体" w:hAnsi="宋体"/>
          <w:color w:val="auto"/>
          <w:sz w:val="24"/>
          <w:u w:val="single"/>
          <w:lang w:eastAsia="zh-CN"/>
        </w:rPr>
        <w:t>甲方</w:t>
      </w:r>
      <w:r>
        <w:rPr>
          <w:rFonts w:hint="eastAsia" w:ascii="宋体" w:hAnsi="宋体"/>
          <w:color w:val="auto"/>
          <w:sz w:val="24"/>
          <w:u w:val="single"/>
        </w:rPr>
        <w:t>的发货通知后</w:t>
      </w:r>
      <w:r>
        <w:rPr>
          <w:rFonts w:hint="eastAsia" w:ascii="宋体" w:hAnsi="宋体"/>
          <w:color w:val="auto"/>
          <w:sz w:val="24"/>
          <w:u w:val="single"/>
          <w:lang w:val="en-US" w:eastAsia="zh-CN"/>
        </w:rPr>
        <w:t>50</w:t>
      </w:r>
      <w:r>
        <w:rPr>
          <w:rFonts w:hint="eastAsia" w:ascii="宋体" w:hAnsi="宋体"/>
          <w:color w:val="auto"/>
          <w:sz w:val="24"/>
          <w:u w:val="single"/>
        </w:rPr>
        <w:t>天内供货</w:t>
      </w:r>
      <w:r>
        <w:rPr>
          <w:rFonts w:hint="eastAsia" w:ascii="宋体" w:hAnsi="宋体"/>
          <w:color w:val="auto"/>
          <w:sz w:val="24"/>
          <w:u w:val="single"/>
          <w:lang w:eastAsia="zh-CN"/>
        </w:rPr>
        <w:t>，</w:t>
      </w:r>
      <w:r>
        <w:rPr>
          <w:rFonts w:hint="eastAsia" w:ascii="宋体" w:hAnsi="宋体"/>
          <w:color w:val="auto"/>
          <w:sz w:val="24"/>
          <w:u w:val="single"/>
          <w:lang w:val="en-US" w:eastAsia="zh-CN"/>
        </w:rPr>
        <w:t>乙方接到甲方的安装调试通知之日起15天内完成安装调试。如延误交货或延误调试将承担违约责任。到货时间以施工单位、监理及建设方共同签收时间为准。</w:t>
      </w:r>
    </w:p>
    <w:p w14:paraId="5507BF87">
      <w:pPr>
        <w:pStyle w:val="60"/>
        <w:spacing w:line="380" w:lineRule="exact"/>
        <w:ind w:firstLine="490"/>
        <w:rPr>
          <w:rFonts w:ascii="宋体" w:hAnsi="宋体"/>
          <w:sz w:val="24"/>
        </w:rPr>
      </w:pPr>
      <w:r>
        <w:rPr>
          <w:rFonts w:hint="eastAsia" w:ascii="宋体" w:hAnsi="宋体"/>
          <w:sz w:val="24"/>
        </w:rPr>
        <w:t>在供货期限内，</w:t>
      </w:r>
      <w:r>
        <w:rPr>
          <w:rFonts w:hint="eastAsia" w:ascii="宋体" w:hAnsi="宋体"/>
          <w:sz w:val="24"/>
          <w:lang w:eastAsia="zh-CN"/>
        </w:rPr>
        <w:t>乙方</w:t>
      </w:r>
      <w:r>
        <w:rPr>
          <w:rFonts w:hint="eastAsia" w:ascii="宋体" w:hAnsi="宋体"/>
          <w:sz w:val="24"/>
        </w:rPr>
        <w:t>必须按照采购人的工程进度要求和实际需要数量保证供货的连续性，如延误交货或中断供货将承担违约责任。</w:t>
      </w:r>
    </w:p>
    <w:p w14:paraId="46E3BEBD">
      <w:pPr>
        <w:pStyle w:val="60"/>
        <w:tabs>
          <w:tab w:val="left" w:pos="993"/>
        </w:tabs>
        <w:spacing w:line="380" w:lineRule="exact"/>
        <w:ind w:firstLine="490"/>
        <w:rPr>
          <w:rFonts w:ascii="宋体" w:hAnsi="宋体"/>
          <w:sz w:val="24"/>
        </w:rPr>
      </w:pPr>
      <w:r>
        <w:rPr>
          <w:rFonts w:hint="eastAsia"/>
          <w:b/>
          <w:sz w:val="24"/>
        </w:rPr>
        <w:t>六、交货条件：</w:t>
      </w:r>
    </w:p>
    <w:p w14:paraId="71B34507">
      <w:pPr>
        <w:pStyle w:val="60"/>
        <w:spacing w:line="380" w:lineRule="exact"/>
        <w:ind w:firstLine="490"/>
        <w:rPr>
          <w:rFonts w:ascii="宋体" w:hAnsi="宋体"/>
          <w:sz w:val="24"/>
        </w:rPr>
      </w:pPr>
      <w:r>
        <w:rPr>
          <w:rFonts w:hint="eastAsia" w:ascii="宋体" w:hAnsi="宋体"/>
          <w:sz w:val="24"/>
        </w:rPr>
        <w:t>1、交货地点：宜兴市内</w:t>
      </w:r>
      <w:r>
        <w:rPr>
          <w:rFonts w:hint="eastAsia" w:ascii="宋体" w:hAnsi="宋体"/>
          <w:sz w:val="24"/>
          <w:lang w:eastAsia="zh-CN"/>
        </w:rPr>
        <w:t>甲方</w:t>
      </w:r>
      <w:r>
        <w:rPr>
          <w:rFonts w:hint="eastAsia" w:ascii="宋体" w:hAnsi="宋体"/>
          <w:sz w:val="24"/>
        </w:rPr>
        <w:t>指定的地点</w:t>
      </w:r>
    </w:p>
    <w:p w14:paraId="20D1A965">
      <w:pPr>
        <w:pStyle w:val="60"/>
        <w:tabs>
          <w:tab w:val="left" w:pos="993"/>
        </w:tabs>
        <w:spacing w:line="380" w:lineRule="exact"/>
        <w:ind w:firstLine="490"/>
        <w:rPr>
          <w:rFonts w:ascii="宋体" w:hAnsi="宋体"/>
          <w:sz w:val="24"/>
        </w:rPr>
      </w:pPr>
      <w:r>
        <w:rPr>
          <w:rFonts w:hint="eastAsia" w:ascii="宋体" w:hAnsi="宋体"/>
          <w:sz w:val="24"/>
        </w:rPr>
        <w:t>2、设备的外观、包装、运输应按国家规定或部颁标准执行。如因</w:t>
      </w:r>
      <w:r>
        <w:rPr>
          <w:rFonts w:hint="eastAsia" w:ascii="宋体" w:hAnsi="宋体"/>
          <w:sz w:val="24"/>
          <w:lang w:eastAsia="zh-CN"/>
        </w:rPr>
        <w:t>乙方</w:t>
      </w:r>
      <w:r>
        <w:rPr>
          <w:rFonts w:hint="eastAsia" w:ascii="宋体" w:hAnsi="宋体"/>
          <w:sz w:val="24"/>
        </w:rPr>
        <w:t>运输不当等原因造成损坏或丢失，应由</w:t>
      </w:r>
      <w:r>
        <w:rPr>
          <w:rFonts w:hint="eastAsia" w:ascii="宋体" w:hAnsi="宋体"/>
          <w:sz w:val="24"/>
          <w:lang w:eastAsia="zh-CN"/>
        </w:rPr>
        <w:t>乙方</w:t>
      </w:r>
      <w:r>
        <w:rPr>
          <w:rFonts w:hint="eastAsia" w:ascii="宋体" w:hAnsi="宋体"/>
          <w:sz w:val="24"/>
        </w:rPr>
        <w:t>负责修复或补缺。</w:t>
      </w:r>
    </w:p>
    <w:p w14:paraId="01B7E7B9">
      <w:pPr>
        <w:pStyle w:val="60"/>
        <w:spacing w:line="380" w:lineRule="exact"/>
        <w:ind w:firstLine="490"/>
        <w:rPr>
          <w:rFonts w:ascii="宋体" w:hAnsi="宋体"/>
          <w:sz w:val="24"/>
        </w:rPr>
      </w:pPr>
      <w:r>
        <w:rPr>
          <w:rFonts w:hint="eastAsia" w:ascii="宋体" w:hAnsi="宋体"/>
          <w:sz w:val="24"/>
        </w:rPr>
        <w:t>3、</w:t>
      </w:r>
      <w:r>
        <w:rPr>
          <w:rFonts w:hint="eastAsia" w:ascii="宋体" w:hAnsi="宋体"/>
          <w:sz w:val="24"/>
          <w:lang w:eastAsia="zh-CN"/>
        </w:rPr>
        <w:t>乙方</w:t>
      </w:r>
      <w:r>
        <w:rPr>
          <w:rFonts w:hint="eastAsia" w:ascii="宋体" w:hAnsi="宋体"/>
          <w:sz w:val="24"/>
        </w:rPr>
        <w:t>发货时应先用函、电通告</w:t>
      </w:r>
      <w:r>
        <w:rPr>
          <w:rFonts w:hint="eastAsia" w:ascii="宋体" w:hAnsi="宋体"/>
          <w:sz w:val="24"/>
          <w:lang w:eastAsia="zh-CN"/>
        </w:rPr>
        <w:t>甲方</w:t>
      </w:r>
      <w:r>
        <w:rPr>
          <w:rFonts w:hint="eastAsia" w:ascii="宋体" w:hAnsi="宋体"/>
          <w:sz w:val="24"/>
        </w:rPr>
        <w:t>。</w:t>
      </w:r>
    </w:p>
    <w:p w14:paraId="755D3779">
      <w:pPr>
        <w:pStyle w:val="60"/>
        <w:spacing w:line="380" w:lineRule="exact"/>
        <w:ind w:firstLine="490"/>
        <w:rPr>
          <w:b/>
          <w:sz w:val="24"/>
        </w:rPr>
      </w:pPr>
      <w:r>
        <w:rPr>
          <w:rFonts w:hint="eastAsia"/>
          <w:b/>
          <w:sz w:val="24"/>
        </w:rPr>
        <w:t>七、安装调试及售后服务：</w:t>
      </w:r>
    </w:p>
    <w:p w14:paraId="7EF77209">
      <w:pPr>
        <w:pStyle w:val="60"/>
        <w:spacing w:line="380" w:lineRule="exact"/>
        <w:ind w:firstLine="490"/>
        <w:rPr>
          <w:rFonts w:ascii="宋体" w:hAnsi="宋体"/>
          <w:sz w:val="24"/>
        </w:rPr>
      </w:pPr>
      <w:r>
        <w:rPr>
          <w:rFonts w:hint="eastAsia"/>
          <w:sz w:val="24"/>
        </w:rPr>
        <w:t>1</w:t>
      </w:r>
      <w:r>
        <w:rPr>
          <w:sz w:val="24"/>
        </w:rPr>
        <w:t>、</w:t>
      </w:r>
      <w:r>
        <w:rPr>
          <w:rFonts w:hint="eastAsia" w:ascii="宋体" w:hAnsi="宋体"/>
          <w:sz w:val="24"/>
          <w:lang w:eastAsia="zh-CN"/>
        </w:rPr>
        <w:t>乙方</w:t>
      </w:r>
      <w:r>
        <w:rPr>
          <w:rFonts w:hint="eastAsia" w:ascii="宋体" w:hAnsi="宋体"/>
          <w:sz w:val="24"/>
        </w:rPr>
        <w:t>负责本次设备的</w:t>
      </w:r>
      <w:r>
        <w:rPr>
          <w:rFonts w:hint="eastAsia" w:ascii="宋体" w:hAnsi="宋体"/>
          <w:sz w:val="24"/>
          <w:lang w:eastAsia="zh-CN"/>
        </w:rPr>
        <w:t>安装</w:t>
      </w:r>
      <w:r>
        <w:rPr>
          <w:rFonts w:hint="eastAsia" w:ascii="宋体" w:hAnsi="宋体"/>
          <w:sz w:val="24"/>
        </w:rPr>
        <w:t>和调试。在规定保修期内，如出现质量问题，</w:t>
      </w:r>
      <w:r>
        <w:rPr>
          <w:rFonts w:hint="eastAsia" w:ascii="宋体" w:hAnsi="宋体"/>
          <w:sz w:val="24"/>
          <w:lang w:eastAsia="zh-CN"/>
        </w:rPr>
        <w:t>乙方</w:t>
      </w:r>
      <w:r>
        <w:rPr>
          <w:rFonts w:hint="eastAsia" w:ascii="宋体" w:hAnsi="宋体"/>
          <w:sz w:val="24"/>
        </w:rPr>
        <w:t>收到</w:t>
      </w:r>
      <w:r>
        <w:rPr>
          <w:rFonts w:hint="eastAsia" w:ascii="宋体" w:hAnsi="宋体"/>
          <w:sz w:val="24"/>
          <w:lang w:eastAsia="zh-CN"/>
        </w:rPr>
        <w:t>甲方</w:t>
      </w:r>
      <w:r>
        <w:rPr>
          <w:rFonts w:hint="eastAsia" w:ascii="宋体" w:hAnsi="宋体"/>
          <w:sz w:val="24"/>
        </w:rPr>
        <w:t>函、电后应在</w:t>
      </w:r>
      <w:r>
        <w:rPr>
          <w:rFonts w:hint="eastAsia" w:ascii="宋体" w:hAnsi="宋体"/>
          <w:sz w:val="24"/>
          <w:lang w:val="en-US" w:eastAsia="zh-CN"/>
        </w:rPr>
        <w:t>4小时</w:t>
      </w:r>
      <w:r>
        <w:rPr>
          <w:rFonts w:hint="eastAsia" w:ascii="宋体" w:hAnsi="宋体"/>
          <w:sz w:val="24"/>
        </w:rPr>
        <w:t>内响应并解决问题。</w:t>
      </w:r>
    </w:p>
    <w:p w14:paraId="53850244">
      <w:pPr>
        <w:pStyle w:val="60"/>
        <w:spacing w:line="380" w:lineRule="exact"/>
        <w:ind w:firstLine="490"/>
        <w:rPr>
          <w:rFonts w:ascii="宋体" w:hAnsi="宋体"/>
          <w:sz w:val="24"/>
        </w:rPr>
      </w:pPr>
      <w:r>
        <w:rPr>
          <w:rFonts w:hint="eastAsia" w:ascii="宋体" w:hAnsi="宋体"/>
          <w:sz w:val="24"/>
        </w:rPr>
        <w:t>2、</w:t>
      </w:r>
      <w:r>
        <w:rPr>
          <w:rFonts w:hint="eastAsia" w:ascii="宋体" w:hAnsi="宋体"/>
          <w:sz w:val="24"/>
          <w:lang w:eastAsia="zh-CN"/>
        </w:rPr>
        <w:t>甲方</w:t>
      </w:r>
      <w:r>
        <w:rPr>
          <w:rFonts w:hint="eastAsia" w:ascii="宋体" w:hAnsi="宋体"/>
          <w:sz w:val="24"/>
        </w:rPr>
        <w:t>应向</w:t>
      </w:r>
      <w:r>
        <w:rPr>
          <w:rFonts w:hint="eastAsia" w:ascii="宋体" w:hAnsi="宋体"/>
          <w:sz w:val="24"/>
          <w:lang w:eastAsia="zh-CN"/>
        </w:rPr>
        <w:t>乙方</w:t>
      </w:r>
      <w:r>
        <w:rPr>
          <w:rFonts w:hint="eastAsia" w:ascii="宋体" w:hAnsi="宋体"/>
          <w:sz w:val="24"/>
        </w:rPr>
        <w:t>现场调试技术人员及维修人员提</w:t>
      </w:r>
      <w:r>
        <w:rPr>
          <w:rFonts w:hint="eastAsia" w:ascii="宋体" w:hAnsi="宋体"/>
          <w:sz w:val="24"/>
          <w:lang w:eastAsia="zh-CN"/>
        </w:rPr>
        <w:t>乙方</w:t>
      </w:r>
      <w:r>
        <w:rPr>
          <w:rFonts w:hint="eastAsia" w:ascii="宋体" w:hAnsi="宋体"/>
          <w:sz w:val="24"/>
        </w:rPr>
        <w:t>便条件，有关费用由</w:t>
      </w:r>
      <w:r>
        <w:rPr>
          <w:rFonts w:hint="eastAsia" w:ascii="宋体" w:hAnsi="宋体"/>
          <w:sz w:val="24"/>
          <w:lang w:eastAsia="zh-CN"/>
        </w:rPr>
        <w:t>乙方</w:t>
      </w:r>
      <w:r>
        <w:rPr>
          <w:rFonts w:hint="eastAsia" w:ascii="宋体" w:hAnsi="宋体"/>
          <w:sz w:val="24"/>
        </w:rPr>
        <w:t>负责。</w:t>
      </w:r>
    </w:p>
    <w:p w14:paraId="4021E41E">
      <w:pPr>
        <w:pStyle w:val="60"/>
        <w:spacing w:line="380" w:lineRule="exact"/>
        <w:ind w:firstLine="490"/>
        <w:rPr>
          <w:rFonts w:ascii="宋体" w:hAnsi="宋体"/>
          <w:sz w:val="24"/>
        </w:rPr>
      </w:pPr>
      <w:r>
        <w:rPr>
          <w:rFonts w:hint="eastAsia" w:ascii="宋体" w:hAnsi="宋体"/>
          <w:sz w:val="24"/>
        </w:rPr>
        <w:t>3、</w:t>
      </w:r>
      <w:r>
        <w:rPr>
          <w:rFonts w:hint="eastAsia" w:ascii="宋体" w:hAnsi="宋体"/>
          <w:sz w:val="24"/>
          <w:lang w:eastAsia="zh-CN"/>
        </w:rPr>
        <w:t>甲方</w:t>
      </w:r>
      <w:r>
        <w:rPr>
          <w:rFonts w:hint="eastAsia" w:ascii="宋体" w:hAnsi="宋体"/>
          <w:sz w:val="24"/>
        </w:rPr>
        <w:t>如邀请</w:t>
      </w:r>
      <w:r>
        <w:rPr>
          <w:rFonts w:hint="eastAsia" w:ascii="宋体" w:hAnsi="宋体"/>
          <w:sz w:val="24"/>
          <w:lang w:eastAsia="zh-CN"/>
        </w:rPr>
        <w:t>乙方</w:t>
      </w:r>
      <w:r>
        <w:rPr>
          <w:rFonts w:hint="eastAsia" w:ascii="宋体" w:hAnsi="宋体"/>
          <w:sz w:val="24"/>
        </w:rPr>
        <w:t>提供非质量问题的其它技术服务，其费用另定。</w:t>
      </w:r>
    </w:p>
    <w:p w14:paraId="1A08DBDC">
      <w:pPr>
        <w:pStyle w:val="60"/>
        <w:spacing w:line="380" w:lineRule="exact"/>
        <w:ind w:firstLine="490"/>
        <w:rPr>
          <w:rFonts w:ascii="宋体" w:hAnsi="宋体"/>
          <w:sz w:val="24"/>
        </w:rPr>
      </w:pPr>
      <w:r>
        <w:rPr>
          <w:rFonts w:hint="eastAsia" w:ascii="宋体" w:hAnsi="宋体"/>
          <w:sz w:val="24"/>
        </w:rPr>
        <w:t>4、</w:t>
      </w:r>
      <w:r>
        <w:rPr>
          <w:rFonts w:hint="eastAsia" w:ascii="宋体" w:hAnsi="宋体"/>
          <w:sz w:val="24"/>
          <w:lang w:eastAsia="zh-CN"/>
        </w:rPr>
        <w:t>乙方</w:t>
      </w:r>
      <w:r>
        <w:rPr>
          <w:rFonts w:hint="eastAsia" w:ascii="宋体" w:hAnsi="宋体"/>
          <w:sz w:val="24"/>
        </w:rPr>
        <w:t>对其供应的设备提供的质保按国家有关规定执行。</w:t>
      </w:r>
    </w:p>
    <w:p w14:paraId="5C7A1B89">
      <w:pPr>
        <w:pStyle w:val="60"/>
        <w:spacing w:line="360" w:lineRule="auto"/>
        <w:ind w:firstLine="464" w:firstLineChars="200"/>
        <w:rPr>
          <w:spacing w:val="-4"/>
          <w:sz w:val="24"/>
        </w:rPr>
      </w:pPr>
      <w:r>
        <w:rPr>
          <w:rFonts w:hint="eastAsia"/>
          <w:spacing w:val="-4"/>
          <w:sz w:val="24"/>
        </w:rPr>
        <w:t>5、</w:t>
      </w:r>
      <w:r>
        <w:rPr>
          <w:rFonts w:hint="eastAsia"/>
          <w:spacing w:val="-4"/>
          <w:sz w:val="24"/>
          <w:lang w:eastAsia="zh-CN"/>
        </w:rPr>
        <w:t>乙方</w:t>
      </w:r>
      <w:r>
        <w:rPr>
          <w:rFonts w:hint="eastAsia"/>
          <w:spacing w:val="-4"/>
          <w:sz w:val="24"/>
        </w:rPr>
        <w:t>投标产品</w:t>
      </w:r>
      <w:r>
        <w:rPr>
          <w:rFonts w:hint="eastAsia" w:ascii="宋体" w:hAnsi="宋体" w:cs="宋体"/>
          <w:kern w:val="0"/>
          <w:sz w:val="24"/>
          <w:highlight w:val="yellow"/>
          <w:lang w:val="en-US" w:eastAsia="zh-CN"/>
        </w:rPr>
        <w:t>需提供至少</w:t>
      </w:r>
      <w:r>
        <w:rPr>
          <w:rFonts w:hint="eastAsia" w:ascii="宋体" w:hAnsi="宋体" w:cs="宋体"/>
          <w:b/>
          <w:bCs/>
          <w:kern w:val="0"/>
          <w:sz w:val="24"/>
          <w:highlight w:val="yellow"/>
          <w:u w:val="single"/>
          <w:lang w:val="en-US" w:eastAsia="zh-CN"/>
        </w:rPr>
        <w:t>1年</w:t>
      </w:r>
      <w:r>
        <w:rPr>
          <w:rFonts w:hint="eastAsia" w:ascii="宋体" w:hAnsi="宋体" w:cs="宋体"/>
          <w:kern w:val="0"/>
          <w:sz w:val="24"/>
          <w:highlight w:val="yellow"/>
          <w:lang w:val="en-US" w:eastAsia="zh-CN"/>
        </w:rPr>
        <w:t>的免费质保服务，免费质保期自设备安装调试验收合格并连续运行满6个月之日起计算。</w:t>
      </w:r>
      <w:r>
        <w:rPr>
          <w:rFonts w:hint="eastAsia"/>
          <w:spacing w:val="-4"/>
          <w:sz w:val="24"/>
        </w:rPr>
        <w:t>（具体免费质保时间，按投标文件承诺），免费质保期过后，中标单位必须按出厂价提供配件。</w:t>
      </w:r>
    </w:p>
    <w:p w14:paraId="6A367BB1">
      <w:pPr>
        <w:pStyle w:val="60"/>
        <w:spacing w:line="380" w:lineRule="exact"/>
        <w:ind w:firstLine="480" w:firstLineChars="200"/>
        <w:rPr>
          <w:rFonts w:ascii="宋体" w:hAnsi="宋体" w:cs="宋体"/>
          <w:kern w:val="0"/>
          <w:sz w:val="24"/>
        </w:rPr>
      </w:pPr>
      <w:r>
        <w:rPr>
          <w:rFonts w:hint="eastAsia" w:ascii="宋体" w:hAnsi="宋体" w:cs="宋体"/>
          <w:kern w:val="0"/>
          <w:sz w:val="24"/>
          <w:lang w:val="en-US" w:eastAsia="zh-CN"/>
        </w:rPr>
        <w:t>6、</w:t>
      </w:r>
      <w:r>
        <w:rPr>
          <w:rFonts w:ascii="宋体" w:hAnsi="宋体" w:cs="宋体"/>
          <w:kern w:val="0"/>
          <w:sz w:val="24"/>
        </w:rPr>
        <w:t>在免费质保期内，</w:t>
      </w:r>
      <w:r>
        <w:rPr>
          <w:rFonts w:hint="eastAsia" w:ascii="宋体" w:hAnsi="宋体" w:cs="宋体"/>
          <w:kern w:val="0"/>
          <w:sz w:val="24"/>
        </w:rPr>
        <w:t>乙方</w:t>
      </w:r>
      <w:r>
        <w:rPr>
          <w:rFonts w:ascii="宋体" w:hAnsi="宋体" w:cs="宋体"/>
          <w:kern w:val="0"/>
          <w:sz w:val="24"/>
        </w:rPr>
        <w:t>提供免除一切费用的售后服务。</w:t>
      </w:r>
    </w:p>
    <w:p w14:paraId="3630FD89">
      <w:pPr>
        <w:pStyle w:val="60"/>
        <w:spacing w:line="380" w:lineRule="exact"/>
        <w:ind w:firstLine="480" w:firstLineChars="200"/>
        <w:rPr>
          <w:rFonts w:ascii="宋体" w:hAnsi="宋体" w:cs="宋体"/>
          <w:kern w:val="0"/>
          <w:sz w:val="24"/>
        </w:rPr>
      </w:pPr>
      <w:r>
        <w:rPr>
          <w:rFonts w:hint="eastAsia" w:ascii="宋体" w:hAnsi="宋体" w:cs="宋体"/>
          <w:kern w:val="0"/>
          <w:sz w:val="24"/>
          <w:lang w:val="en-US" w:eastAsia="zh-CN"/>
        </w:rPr>
        <w:t>7、</w:t>
      </w:r>
      <w:r>
        <w:rPr>
          <w:rFonts w:ascii="宋体" w:hAnsi="宋体" w:cs="宋体"/>
          <w:kern w:val="0"/>
          <w:sz w:val="24"/>
        </w:rPr>
        <w:t>对于在免费质保期内出现故障确需更换的零配件，</w:t>
      </w:r>
      <w:r>
        <w:rPr>
          <w:rFonts w:hint="eastAsia" w:ascii="宋体" w:hAnsi="宋体" w:cs="宋体"/>
          <w:kern w:val="0"/>
          <w:sz w:val="24"/>
        </w:rPr>
        <w:t>乙方必须</w:t>
      </w:r>
      <w:r>
        <w:rPr>
          <w:rFonts w:ascii="宋体" w:hAnsi="宋体" w:cs="宋体"/>
          <w:kern w:val="0"/>
          <w:sz w:val="24"/>
        </w:rPr>
        <w:t>确保</w:t>
      </w:r>
      <w:r>
        <w:rPr>
          <w:rFonts w:hint="eastAsia" w:ascii="宋体" w:hAnsi="宋体" w:cs="宋体"/>
          <w:kern w:val="0"/>
          <w:sz w:val="24"/>
        </w:rPr>
        <w:t>甲方</w:t>
      </w:r>
      <w:r>
        <w:rPr>
          <w:rFonts w:ascii="宋体" w:hAnsi="宋体" w:cs="宋体"/>
          <w:kern w:val="0"/>
          <w:sz w:val="24"/>
        </w:rPr>
        <w:t>能更换到原厂同种规格型号的零部件，以确保其正常使用；如因生产厂家停产等客观原因，不能提供同种规格型号的零配件时，应提供同等质量、档次的配件，且不补差价。</w:t>
      </w:r>
    </w:p>
    <w:p w14:paraId="4B1D8336">
      <w:pPr>
        <w:pStyle w:val="60"/>
        <w:spacing w:line="380" w:lineRule="exact"/>
        <w:ind w:firstLine="490"/>
        <w:rPr>
          <w:rFonts w:ascii="宋体" w:hAnsi="宋体"/>
          <w:b/>
          <w:sz w:val="24"/>
        </w:rPr>
      </w:pPr>
      <w:r>
        <w:rPr>
          <w:rFonts w:hint="eastAsia" w:ascii="宋体" w:hAnsi="宋体"/>
          <w:b/>
          <w:sz w:val="24"/>
        </w:rPr>
        <w:t>六、违约责任：</w:t>
      </w:r>
    </w:p>
    <w:p w14:paraId="3362FD91">
      <w:pPr>
        <w:pStyle w:val="60"/>
        <w:spacing w:line="380" w:lineRule="exact"/>
        <w:ind w:firstLine="490"/>
        <w:rPr>
          <w:rFonts w:hint="eastAsia" w:ascii="宋体" w:hAnsi="宋体"/>
          <w:sz w:val="24"/>
        </w:rPr>
      </w:pPr>
      <w:r>
        <w:rPr>
          <w:rFonts w:hint="eastAsia" w:ascii="宋体" w:hAnsi="宋体"/>
          <w:sz w:val="24"/>
        </w:rPr>
        <w:t>如</w:t>
      </w:r>
      <w:r>
        <w:rPr>
          <w:rFonts w:hint="eastAsia" w:ascii="宋体" w:hAnsi="宋体"/>
          <w:sz w:val="24"/>
          <w:lang w:val="en-US" w:eastAsia="zh-CN"/>
        </w:rPr>
        <w:t>乙方</w:t>
      </w:r>
      <w:r>
        <w:rPr>
          <w:rFonts w:hint="eastAsia" w:ascii="宋体" w:hAnsi="宋体"/>
          <w:sz w:val="24"/>
        </w:rPr>
        <w:t>逾期交货</w:t>
      </w:r>
      <w:r>
        <w:rPr>
          <w:rFonts w:hint="eastAsia" w:ascii="宋体" w:hAnsi="宋体"/>
          <w:sz w:val="24"/>
          <w:lang w:val="en-US" w:eastAsia="zh-CN"/>
        </w:rPr>
        <w:t>或逾期安装调试</w:t>
      </w:r>
      <w:r>
        <w:rPr>
          <w:rFonts w:hint="eastAsia" w:ascii="宋体" w:hAnsi="宋体"/>
          <w:sz w:val="24"/>
        </w:rPr>
        <w:t>，除不可抗力外，</w:t>
      </w:r>
      <w:r>
        <w:rPr>
          <w:rFonts w:hint="eastAsia" w:ascii="宋体" w:hAnsi="宋体"/>
          <w:sz w:val="24"/>
          <w:lang w:val="en-US" w:eastAsia="zh-CN"/>
        </w:rPr>
        <w:t>乙方</w:t>
      </w:r>
      <w:r>
        <w:rPr>
          <w:rFonts w:hint="eastAsia" w:ascii="宋体" w:hAnsi="宋体"/>
          <w:sz w:val="24"/>
        </w:rPr>
        <w:t>应向</w:t>
      </w:r>
      <w:r>
        <w:rPr>
          <w:rFonts w:hint="eastAsia" w:ascii="宋体" w:hAnsi="宋体"/>
          <w:sz w:val="24"/>
          <w:lang w:val="en-US" w:eastAsia="zh-CN"/>
        </w:rPr>
        <w:t>甲方</w:t>
      </w:r>
      <w:r>
        <w:rPr>
          <w:rFonts w:hint="eastAsia" w:ascii="宋体" w:hAnsi="宋体"/>
          <w:sz w:val="24"/>
        </w:rPr>
        <w:t>就逾期交货</w:t>
      </w:r>
      <w:r>
        <w:rPr>
          <w:rFonts w:hint="eastAsia" w:ascii="宋体" w:hAnsi="宋体"/>
          <w:sz w:val="24"/>
          <w:lang w:val="en-US" w:eastAsia="zh-CN"/>
        </w:rPr>
        <w:t>/逾期安装调试</w:t>
      </w:r>
      <w:r>
        <w:rPr>
          <w:rFonts w:hint="eastAsia" w:ascii="宋体" w:hAnsi="宋体"/>
          <w:sz w:val="24"/>
        </w:rPr>
        <w:t>部分支付违约金，具体支付比例如下：</w:t>
      </w:r>
    </w:p>
    <w:p w14:paraId="1424F2FC">
      <w:pPr>
        <w:pStyle w:val="60"/>
        <w:spacing w:line="380" w:lineRule="exact"/>
        <w:ind w:firstLine="490"/>
        <w:rPr>
          <w:rFonts w:hint="eastAsia" w:ascii="宋体" w:hAnsi="宋体"/>
          <w:sz w:val="24"/>
        </w:rPr>
      </w:pPr>
      <w:r>
        <w:rPr>
          <w:rFonts w:hint="eastAsia" w:ascii="宋体" w:hAnsi="宋体"/>
          <w:sz w:val="24"/>
          <w:lang w:val="en-US" w:eastAsia="zh-CN"/>
        </w:rPr>
        <w:t>延误</w:t>
      </w:r>
      <w:r>
        <w:rPr>
          <w:rFonts w:hint="eastAsia" w:ascii="宋体" w:hAnsi="宋体"/>
          <w:sz w:val="24"/>
        </w:rPr>
        <w:t>1～3天，每天违约金金额为逾期交货</w:t>
      </w:r>
      <w:r>
        <w:rPr>
          <w:rFonts w:hint="eastAsia" w:ascii="宋体" w:hAnsi="宋体"/>
          <w:sz w:val="24"/>
          <w:lang w:val="en-US" w:eastAsia="zh-CN"/>
        </w:rPr>
        <w:t>货物/安装调试</w:t>
      </w:r>
      <w:r>
        <w:rPr>
          <w:rFonts w:hint="eastAsia" w:ascii="宋体" w:hAnsi="宋体"/>
          <w:sz w:val="24"/>
        </w:rPr>
        <w:t>部分总价款的千分之三；</w:t>
      </w:r>
    </w:p>
    <w:p w14:paraId="5708F3AE">
      <w:pPr>
        <w:pStyle w:val="60"/>
        <w:spacing w:line="380" w:lineRule="exact"/>
        <w:ind w:firstLine="490"/>
        <w:rPr>
          <w:rFonts w:hint="eastAsia" w:ascii="宋体" w:hAnsi="宋体"/>
          <w:sz w:val="24"/>
        </w:rPr>
      </w:pPr>
      <w:r>
        <w:rPr>
          <w:rFonts w:hint="eastAsia" w:ascii="宋体" w:hAnsi="宋体"/>
          <w:sz w:val="24"/>
          <w:lang w:val="en-US" w:eastAsia="zh-CN"/>
        </w:rPr>
        <w:t>延误</w:t>
      </w:r>
      <w:r>
        <w:rPr>
          <w:rFonts w:hint="eastAsia" w:ascii="宋体" w:hAnsi="宋体"/>
          <w:sz w:val="24"/>
        </w:rPr>
        <w:t>4～7天，每天违约金金额为逾期交货</w:t>
      </w:r>
      <w:r>
        <w:rPr>
          <w:rFonts w:hint="eastAsia" w:ascii="宋体" w:hAnsi="宋体"/>
          <w:sz w:val="24"/>
          <w:lang w:val="en-US" w:eastAsia="zh-CN"/>
        </w:rPr>
        <w:t>货物/安装调试</w:t>
      </w:r>
      <w:r>
        <w:rPr>
          <w:rFonts w:hint="eastAsia" w:ascii="宋体" w:hAnsi="宋体"/>
          <w:sz w:val="24"/>
        </w:rPr>
        <w:t>总价款的千分之五；</w:t>
      </w:r>
    </w:p>
    <w:p w14:paraId="5F96F071">
      <w:pPr>
        <w:pStyle w:val="60"/>
        <w:spacing w:line="380" w:lineRule="exact"/>
        <w:ind w:firstLine="490"/>
        <w:rPr>
          <w:rFonts w:hint="eastAsia" w:ascii="宋体" w:hAnsi="宋体"/>
          <w:sz w:val="24"/>
        </w:rPr>
      </w:pPr>
      <w:r>
        <w:rPr>
          <w:rFonts w:hint="eastAsia" w:ascii="宋体" w:hAnsi="宋体"/>
          <w:sz w:val="24"/>
          <w:lang w:val="en-US" w:eastAsia="zh-CN"/>
        </w:rPr>
        <w:t>延误</w:t>
      </w:r>
      <w:r>
        <w:rPr>
          <w:rFonts w:hint="eastAsia" w:ascii="宋体" w:hAnsi="宋体"/>
          <w:sz w:val="24"/>
        </w:rPr>
        <w:t>8～15天，每天违约金金额为逾期交货</w:t>
      </w:r>
      <w:r>
        <w:rPr>
          <w:rFonts w:hint="eastAsia" w:ascii="宋体" w:hAnsi="宋体"/>
          <w:sz w:val="24"/>
          <w:lang w:val="en-US" w:eastAsia="zh-CN"/>
        </w:rPr>
        <w:t>货物/安装调试</w:t>
      </w:r>
      <w:r>
        <w:rPr>
          <w:rFonts w:hint="eastAsia" w:ascii="宋体" w:hAnsi="宋体"/>
          <w:sz w:val="24"/>
        </w:rPr>
        <w:t>总价款的千分之八，如因此严重延误施工工期的，则视为</w:t>
      </w:r>
      <w:r>
        <w:rPr>
          <w:rFonts w:hint="eastAsia" w:ascii="宋体" w:hAnsi="宋体"/>
          <w:sz w:val="24"/>
          <w:lang w:val="en-US" w:eastAsia="zh-CN"/>
        </w:rPr>
        <w:t>乙方</w:t>
      </w:r>
      <w:r>
        <w:rPr>
          <w:rFonts w:hint="eastAsia" w:ascii="宋体" w:hAnsi="宋体"/>
          <w:sz w:val="24"/>
        </w:rPr>
        <w:t>不履行合同。</w:t>
      </w:r>
    </w:p>
    <w:p w14:paraId="75BC6500">
      <w:pPr>
        <w:pStyle w:val="60"/>
        <w:spacing w:line="380" w:lineRule="exact"/>
        <w:ind w:firstLine="490"/>
        <w:rPr>
          <w:rFonts w:ascii="宋体" w:hAnsi="宋体"/>
          <w:sz w:val="24"/>
        </w:rPr>
      </w:pPr>
      <w:r>
        <w:rPr>
          <w:rFonts w:hint="eastAsia" w:ascii="宋体" w:hAnsi="宋体"/>
          <w:sz w:val="24"/>
        </w:rPr>
        <w:t>乙方逾期交货</w:t>
      </w:r>
      <w:r>
        <w:rPr>
          <w:rFonts w:hint="eastAsia" w:ascii="宋体" w:hAnsi="宋体"/>
          <w:sz w:val="24"/>
          <w:lang w:val="en-US" w:eastAsia="zh-CN"/>
        </w:rPr>
        <w:t>/逾期安装调试</w:t>
      </w:r>
      <w:r>
        <w:rPr>
          <w:rFonts w:hint="eastAsia" w:ascii="宋体" w:hAnsi="宋体"/>
          <w:sz w:val="24"/>
        </w:rPr>
        <w:t>超过15天以上的视为</w:t>
      </w:r>
      <w:r>
        <w:rPr>
          <w:rFonts w:hint="eastAsia" w:ascii="宋体" w:hAnsi="宋体"/>
          <w:sz w:val="24"/>
          <w:lang w:eastAsia="zh-CN"/>
        </w:rPr>
        <w:t>乙方</w:t>
      </w:r>
      <w:r>
        <w:rPr>
          <w:rFonts w:hint="eastAsia" w:ascii="宋体" w:hAnsi="宋体"/>
          <w:sz w:val="24"/>
        </w:rPr>
        <w:t>不履行合同。</w:t>
      </w:r>
      <w:r>
        <w:rPr>
          <w:rFonts w:hint="eastAsia" w:ascii="宋体" w:hAnsi="宋体"/>
          <w:sz w:val="24"/>
          <w:lang w:eastAsia="zh-CN"/>
        </w:rPr>
        <w:t>甲方</w:t>
      </w:r>
      <w:r>
        <w:rPr>
          <w:rFonts w:hint="eastAsia" w:ascii="宋体" w:hAnsi="宋体"/>
          <w:sz w:val="24"/>
        </w:rPr>
        <w:t>将解除合同，扣除违约金及履约保证金，违约金金额为每天逾期交货</w:t>
      </w:r>
      <w:r>
        <w:rPr>
          <w:rFonts w:hint="eastAsia" w:ascii="宋体" w:hAnsi="宋体"/>
          <w:sz w:val="24"/>
          <w:lang w:val="en-US" w:eastAsia="zh-CN"/>
        </w:rPr>
        <w:t>/逾期安装调试</w:t>
      </w:r>
      <w:r>
        <w:rPr>
          <w:rFonts w:hint="eastAsia" w:ascii="宋体" w:hAnsi="宋体"/>
          <w:sz w:val="24"/>
        </w:rPr>
        <w:t>部分总价款的千分之八，天数从下单日起到甲方完成下一次招标流程止。</w:t>
      </w:r>
    </w:p>
    <w:p w14:paraId="36299314">
      <w:pPr>
        <w:pStyle w:val="60"/>
        <w:spacing w:line="380" w:lineRule="exact"/>
        <w:ind w:firstLine="490"/>
        <w:rPr>
          <w:rFonts w:ascii="宋体" w:hAnsi="宋体"/>
          <w:sz w:val="24"/>
        </w:rPr>
      </w:pPr>
      <w:r>
        <w:rPr>
          <w:rFonts w:hint="eastAsia" w:ascii="宋体" w:hAnsi="宋体"/>
          <w:sz w:val="24"/>
        </w:rPr>
        <w:t>如</w:t>
      </w:r>
      <w:r>
        <w:rPr>
          <w:rFonts w:hint="eastAsia" w:ascii="宋体" w:hAnsi="宋体"/>
          <w:sz w:val="24"/>
          <w:lang w:eastAsia="zh-CN"/>
        </w:rPr>
        <w:t>乙方</w:t>
      </w:r>
      <w:r>
        <w:rPr>
          <w:rFonts w:hint="eastAsia" w:ascii="宋体" w:hAnsi="宋体"/>
          <w:sz w:val="24"/>
        </w:rPr>
        <w:t>不按照</w:t>
      </w:r>
      <w:r>
        <w:rPr>
          <w:rFonts w:hint="eastAsia" w:ascii="宋体" w:hAnsi="宋体"/>
          <w:sz w:val="24"/>
          <w:lang w:val="en-US" w:eastAsia="zh-CN"/>
        </w:rPr>
        <w:t>甲方</w:t>
      </w:r>
      <w:r>
        <w:rPr>
          <w:rFonts w:hint="eastAsia" w:ascii="宋体" w:hAnsi="宋体"/>
          <w:sz w:val="24"/>
        </w:rPr>
        <w:t>要求将合同货物送达</w:t>
      </w:r>
      <w:r>
        <w:rPr>
          <w:rFonts w:hint="eastAsia" w:ascii="宋体" w:hAnsi="宋体"/>
          <w:sz w:val="24"/>
          <w:lang w:val="en-US" w:eastAsia="zh-CN"/>
        </w:rPr>
        <w:t>甲方</w:t>
      </w:r>
      <w:r>
        <w:rPr>
          <w:rFonts w:hint="eastAsia" w:ascii="宋体" w:hAnsi="宋体"/>
          <w:sz w:val="24"/>
        </w:rPr>
        <w:t>指定地点的，每次支付违约金为逾期交货部分总价款的千分之八，情节严重的按违约处理，</w:t>
      </w:r>
      <w:r>
        <w:rPr>
          <w:rFonts w:hint="eastAsia" w:ascii="宋体" w:hAnsi="宋体"/>
          <w:sz w:val="24"/>
          <w:lang w:val="en-US" w:eastAsia="zh-CN"/>
        </w:rPr>
        <w:t>甲方</w:t>
      </w:r>
      <w:r>
        <w:rPr>
          <w:rFonts w:hint="eastAsia" w:ascii="宋体" w:hAnsi="宋体"/>
          <w:sz w:val="24"/>
        </w:rPr>
        <w:t>将终止合同，同时对</w:t>
      </w:r>
      <w:r>
        <w:rPr>
          <w:rFonts w:hint="eastAsia" w:ascii="宋体" w:hAnsi="宋体"/>
          <w:sz w:val="24"/>
          <w:lang w:eastAsia="zh-CN"/>
        </w:rPr>
        <w:t>乙方</w:t>
      </w:r>
      <w:r>
        <w:rPr>
          <w:rFonts w:hint="eastAsia" w:ascii="宋体" w:hAnsi="宋体"/>
          <w:sz w:val="24"/>
        </w:rPr>
        <w:t>处以扣除履约保证金的违约处罚。</w:t>
      </w:r>
    </w:p>
    <w:p w14:paraId="14FDC157">
      <w:pPr>
        <w:pStyle w:val="60"/>
        <w:spacing w:line="380" w:lineRule="exact"/>
        <w:ind w:firstLine="490"/>
        <w:rPr>
          <w:rFonts w:ascii="宋体" w:hAnsi="宋体"/>
          <w:sz w:val="24"/>
        </w:rPr>
      </w:pPr>
      <w:r>
        <w:rPr>
          <w:rFonts w:hint="eastAsia" w:ascii="宋体" w:hAnsi="宋体"/>
          <w:sz w:val="24"/>
        </w:rPr>
        <w:t>七、合同生效及其它：</w:t>
      </w:r>
    </w:p>
    <w:p w14:paraId="0F6FE860">
      <w:pPr>
        <w:pStyle w:val="60"/>
        <w:spacing w:line="380" w:lineRule="exact"/>
        <w:ind w:firstLine="490"/>
        <w:rPr>
          <w:rFonts w:ascii="宋体" w:hAnsi="宋体"/>
          <w:sz w:val="24"/>
        </w:rPr>
      </w:pPr>
      <w:r>
        <w:rPr>
          <w:rFonts w:hint="eastAsia" w:ascii="宋体" w:hAnsi="宋体"/>
          <w:sz w:val="24"/>
        </w:rPr>
        <w:t>1、</w:t>
      </w:r>
      <w:r>
        <w:rPr>
          <w:rFonts w:hint="eastAsia" w:ascii="宋体" w:hAnsi="宋体"/>
          <w:sz w:val="24"/>
          <w:lang w:eastAsia="zh-CN"/>
        </w:rPr>
        <w:t>乙方</w:t>
      </w:r>
      <w:r>
        <w:rPr>
          <w:rFonts w:hint="eastAsia" w:ascii="宋体" w:hAnsi="宋体"/>
          <w:sz w:val="24"/>
        </w:rPr>
        <w:t>不履行合同或履行合同不符合约定的，</w:t>
      </w:r>
      <w:r>
        <w:rPr>
          <w:rFonts w:hint="eastAsia" w:ascii="宋体" w:hAnsi="宋体"/>
          <w:sz w:val="24"/>
          <w:lang w:eastAsia="zh-CN"/>
        </w:rPr>
        <w:t>甲方</w:t>
      </w:r>
      <w:r>
        <w:rPr>
          <w:rFonts w:hint="eastAsia" w:ascii="宋体" w:hAnsi="宋体"/>
          <w:sz w:val="24"/>
        </w:rPr>
        <w:t>有权随时解除合同，并扣除相应的违约金及履约保证金。如果</w:t>
      </w:r>
      <w:r>
        <w:rPr>
          <w:rFonts w:hint="eastAsia" w:ascii="宋体" w:hAnsi="宋体"/>
          <w:sz w:val="24"/>
          <w:lang w:eastAsia="zh-CN"/>
        </w:rPr>
        <w:t>甲方</w:t>
      </w:r>
      <w:r>
        <w:rPr>
          <w:rFonts w:hint="eastAsia" w:ascii="宋体" w:hAnsi="宋体"/>
          <w:sz w:val="24"/>
        </w:rPr>
        <w:t>因此造成的实际损失超过约定的违约金及履约保证金，则</w:t>
      </w:r>
      <w:r>
        <w:rPr>
          <w:rFonts w:hint="eastAsia" w:ascii="宋体" w:hAnsi="宋体"/>
          <w:sz w:val="24"/>
          <w:lang w:eastAsia="zh-CN"/>
        </w:rPr>
        <w:t>乙方</w:t>
      </w:r>
      <w:r>
        <w:rPr>
          <w:rFonts w:hint="eastAsia" w:ascii="宋体" w:hAnsi="宋体"/>
          <w:sz w:val="24"/>
        </w:rPr>
        <w:t>的赔偿额应以</w:t>
      </w:r>
      <w:r>
        <w:rPr>
          <w:rFonts w:hint="eastAsia" w:ascii="宋体" w:hAnsi="宋体"/>
          <w:sz w:val="24"/>
          <w:lang w:eastAsia="zh-CN"/>
        </w:rPr>
        <w:t>甲方</w:t>
      </w:r>
      <w:r>
        <w:rPr>
          <w:rFonts w:hint="eastAsia" w:ascii="宋体" w:hAnsi="宋体"/>
          <w:sz w:val="24"/>
        </w:rPr>
        <w:t>的实际损失为准。</w:t>
      </w:r>
    </w:p>
    <w:p w14:paraId="72565288">
      <w:pPr>
        <w:pStyle w:val="60"/>
        <w:spacing w:line="380" w:lineRule="exact"/>
        <w:ind w:firstLine="490"/>
        <w:rPr>
          <w:rFonts w:ascii="宋体" w:hAnsi="宋体"/>
          <w:sz w:val="24"/>
        </w:rPr>
      </w:pPr>
      <w:r>
        <w:rPr>
          <w:rFonts w:hint="eastAsia" w:ascii="宋体" w:hAnsi="宋体"/>
          <w:sz w:val="24"/>
        </w:rPr>
        <w:t>2、合同经</w:t>
      </w:r>
      <w:r>
        <w:rPr>
          <w:rFonts w:hint="eastAsia" w:ascii="宋体" w:hAnsi="宋体"/>
          <w:sz w:val="24"/>
          <w:lang w:val="en-US" w:eastAsia="zh-CN"/>
        </w:rPr>
        <w:t>甲乙</w:t>
      </w:r>
      <w:r>
        <w:rPr>
          <w:rFonts w:hint="eastAsia" w:ascii="宋体" w:hAnsi="宋体"/>
          <w:sz w:val="24"/>
        </w:rPr>
        <w:t>双方代表签字并加盖公章（或合同章）后即生效。</w:t>
      </w:r>
    </w:p>
    <w:p w14:paraId="4B0276C5">
      <w:pPr>
        <w:pStyle w:val="60"/>
        <w:spacing w:line="380" w:lineRule="exact"/>
        <w:ind w:firstLine="490"/>
        <w:rPr>
          <w:rFonts w:ascii="宋体" w:hAnsi="宋体"/>
          <w:sz w:val="24"/>
        </w:rPr>
      </w:pPr>
      <w:r>
        <w:rPr>
          <w:rFonts w:hint="eastAsia" w:ascii="宋体" w:hAnsi="宋体"/>
          <w:sz w:val="24"/>
        </w:rPr>
        <w:t>3、合同签订后</w:t>
      </w:r>
      <w:r>
        <w:rPr>
          <w:rFonts w:hint="eastAsia" w:ascii="宋体" w:hAnsi="宋体"/>
          <w:sz w:val="24"/>
          <w:lang w:val="en-US" w:eastAsia="zh-CN"/>
        </w:rPr>
        <w:t>甲乙</w:t>
      </w:r>
      <w:r>
        <w:rPr>
          <w:rFonts w:hint="eastAsia" w:ascii="宋体" w:hAnsi="宋体"/>
          <w:sz w:val="24"/>
        </w:rPr>
        <w:t>双方即直接产生权利与义务的关系，合同执行过程中出现的问题应按照《</w:t>
      </w:r>
      <w:r>
        <w:rPr>
          <w:rFonts w:hint="eastAsia" w:ascii="宋体" w:hAnsi="宋体"/>
          <w:sz w:val="24"/>
          <w:lang w:eastAsia="zh-CN"/>
        </w:rPr>
        <w:t>民法典</w:t>
      </w:r>
      <w:r>
        <w:rPr>
          <w:rFonts w:hint="eastAsia" w:ascii="宋体" w:hAnsi="宋体"/>
          <w:sz w:val="24"/>
        </w:rPr>
        <w:t>》的规定办理，在合同履行过程中，双方如有争议，先由</w:t>
      </w:r>
      <w:r>
        <w:rPr>
          <w:rFonts w:hint="eastAsia" w:ascii="宋体" w:hAnsi="宋体"/>
          <w:sz w:val="24"/>
          <w:lang w:eastAsia="zh-CN"/>
        </w:rPr>
        <w:t>甲方</w:t>
      </w:r>
      <w:r>
        <w:rPr>
          <w:rFonts w:hint="eastAsia" w:ascii="宋体" w:hAnsi="宋体"/>
          <w:sz w:val="24"/>
        </w:rPr>
        <w:t>协调解决，如协调解决不成，则可向</w:t>
      </w:r>
      <w:r>
        <w:rPr>
          <w:rFonts w:hint="eastAsia" w:ascii="宋体" w:hAnsi="宋体"/>
          <w:sz w:val="24"/>
          <w:lang w:eastAsia="zh-CN"/>
        </w:rPr>
        <w:t>甲方</w:t>
      </w:r>
      <w:r>
        <w:rPr>
          <w:rFonts w:hint="eastAsia" w:ascii="宋体" w:hAnsi="宋体"/>
          <w:sz w:val="24"/>
        </w:rPr>
        <w:t>所在地（宜兴）法院起诉。</w:t>
      </w:r>
    </w:p>
    <w:p w14:paraId="6F52A30B">
      <w:pPr>
        <w:pStyle w:val="60"/>
        <w:spacing w:line="380" w:lineRule="exact"/>
        <w:ind w:firstLine="490"/>
        <w:rPr>
          <w:rFonts w:ascii="宋体" w:hAnsi="宋体"/>
          <w:sz w:val="24"/>
        </w:rPr>
      </w:pPr>
      <w:r>
        <w:rPr>
          <w:rFonts w:hint="eastAsia" w:ascii="宋体" w:hAnsi="宋体"/>
          <w:sz w:val="24"/>
        </w:rPr>
        <w:t>4、合同在执行过程中出现的未尽事宜，在不违背本合同和招标文件的原则下协议解决，协商结果必须报见证方同意后以书面形式盖章记录在案，作为合同的附件，与本合同具有同等效力。</w:t>
      </w:r>
    </w:p>
    <w:p w14:paraId="4E3E9B51">
      <w:pPr>
        <w:pStyle w:val="60"/>
        <w:spacing w:line="380" w:lineRule="exact"/>
        <w:ind w:firstLine="490"/>
        <w:rPr>
          <w:rFonts w:ascii="宋体" w:hAnsi="宋体"/>
          <w:sz w:val="24"/>
        </w:rPr>
      </w:pPr>
      <w:r>
        <w:rPr>
          <w:rFonts w:hint="eastAsia" w:ascii="宋体" w:hAnsi="宋体"/>
          <w:sz w:val="24"/>
        </w:rPr>
        <w:t>5、</w:t>
      </w:r>
      <w:r>
        <w:rPr>
          <w:rFonts w:hint="eastAsia" w:ascii="宋体" w:hAnsi="宋体"/>
          <w:sz w:val="24"/>
          <w:lang w:eastAsia="zh-CN"/>
        </w:rPr>
        <w:t>乙方</w:t>
      </w:r>
      <w:r>
        <w:rPr>
          <w:rFonts w:hint="eastAsia" w:ascii="宋体" w:hAnsi="宋体"/>
          <w:sz w:val="24"/>
        </w:rPr>
        <w:t>投标前应自行勘查安装和使用现场，充分考虑完成本项目的一切费用，在结算时以投标报价为准，不作调整。</w:t>
      </w:r>
    </w:p>
    <w:p w14:paraId="744C5075">
      <w:pPr>
        <w:pStyle w:val="60"/>
        <w:spacing w:line="380" w:lineRule="exact"/>
        <w:ind w:firstLine="490"/>
        <w:rPr>
          <w:rFonts w:hint="eastAsia" w:ascii="宋体" w:hAnsi="宋体" w:eastAsia="宋体"/>
          <w:sz w:val="24"/>
          <w:lang w:eastAsia="zh-CN"/>
        </w:rPr>
      </w:pPr>
      <w:r>
        <w:rPr>
          <w:rFonts w:hint="eastAsia" w:ascii="宋体" w:hAnsi="宋体"/>
          <w:sz w:val="24"/>
        </w:rPr>
        <w:t>6、供货期内如遇产品平滑（自然）升级，</w:t>
      </w:r>
      <w:r>
        <w:rPr>
          <w:rFonts w:hint="eastAsia" w:ascii="宋体" w:hAnsi="宋体"/>
          <w:sz w:val="24"/>
          <w:lang w:val="en-US" w:eastAsia="zh-CN"/>
        </w:rPr>
        <w:t>乙方</w:t>
      </w:r>
      <w:r>
        <w:rPr>
          <w:rFonts w:hint="eastAsia" w:ascii="宋体" w:hAnsi="宋体"/>
          <w:sz w:val="24"/>
        </w:rPr>
        <w:t>应提供平滑升级商品不补差价（招标文件中有特殊要求的除外）</w:t>
      </w:r>
      <w:r>
        <w:rPr>
          <w:rFonts w:hint="eastAsia" w:ascii="宋体" w:hAnsi="宋体"/>
          <w:sz w:val="24"/>
          <w:lang w:eastAsia="zh-CN"/>
        </w:rPr>
        <w:t>。</w:t>
      </w:r>
    </w:p>
    <w:p w14:paraId="57906532">
      <w:pPr>
        <w:pStyle w:val="60"/>
        <w:spacing w:line="380" w:lineRule="exact"/>
        <w:ind w:firstLine="490"/>
        <w:rPr>
          <w:rFonts w:ascii="宋体" w:hAnsi="宋体" w:cs="宋体"/>
          <w:kern w:val="0"/>
          <w:sz w:val="24"/>
        </w:rPr>
      </w:pPr>
      <w:r>
        <w:rPr>
          <w:rFonts w:hint="eastAsia" w:ascii="宋体" w:hAnsi="宋体"/>
          <w:sz w:val="24"/>
        </w:rPr>
        <w:t>7、</w:t>
      </w:r>
      <w:r>
        <w:rPr>
          <w:rFonts w:ascii="宋体" w:hAnsi="宋体" w:cs="宋体"/>
          <w:kern w:val="0"/>
          <w:sz w:val="24"/>
        </w:rPr>
        <w:t>“标后履约管理行为参照“宜招管发（201</w:t>
      </w:r>
      <w:r>
        <w:rPr>
          <w:rFonts w:hint="eastAsia" w:ascii="宋体" w:hAnsi="宋体" w:cs="宋体"/>
          <w:kern w:val="0"/>
          <w:sz w:val="24"/>
        </w:rPr>
        <w:t>7</w:t>
      </w:r>
      <w:r>
        <w:rPr>
          <w:rFonts w:ascii="宋体" w:hAnsi="宋体" w:cs="宋体"/>
          <w:kern w:val="0"/>
          <w:sz w:val="24"/>
        </w:rPr>
        <w:t>）7号文”。</w:t>
      </w:r>
    </w:p>
    <w:p w14:paraId="7380CB7A">
      <w:pPr>
        <w:pStyle w:val="60"/>
        <w:spacing w:line="380" w:lineRule="exact"/>
        <w:ind w:firstLine="490"/>
        <w:rPr>
          <w:rFonts w:ascii="宋体" w:hAnsi="宋体"/>
          <w:sz w:val="24"/>
        </w:rPr>
      </w:pPr>
      <w:r>
        <w:rPr>
          <w:rFonts w:hint="eastAsia" w:ascii="宋体" w:hAnsi="宋体" w:cs="宋体"/>
          <w:kern w:val="0"/>
          <w:sz w:val="24"/>
        </w:rPr>
        <w:t>8、</w:t>
      </w:r>
      <w:r>
        <w:rPr>
          <w:rFonts w:hint="eastAsia" w:ascii="宋体" w:hAnsi="宋体"/>
          <w:color w:val="000000"/>
          <w:sz w:val="24"/>
        </w:rPr>
        <w:t>合同签订时或实际使用时数量可能会有较大变动，乙方接到甲方发货通知后才能生产对应的设备，最终结算以实际使用数量结算，若由于</w:t>
      </w:r>
      <w:r>
        <w:rPr>
          <w:rFonts w:hint="eastAsia" w:ascii="宋体" w:hAnsi="宋体"/>
          <w:color w:val="000000"/>
          <w:sz w:val="24"/>
          <w:lang w:val="en-US" w:eastAsia="zh-CN"/>
        </w:rPr>
        <w:t>甲方</w:t>
      </w:r>
      <w:r>
        <w:rPr>
          <w:rFonts w:hint="eastAsia" w:ascii="宋体" w:hAnsi="宋体"/>
          <w:color w:val="000000"/>
          <w:sz w:val="24"/>
        </w:rPr>
        <w:t>原因导致使用数量不足而终止合同的，不作为违约处理。乙方必须充分考虑市场原料价格变动和实际使用数量的风险，最终结算以单价为准。</w:t>
      </w:r>
    </w:p>
    <w:p w14:paraId="6FB62508">
      <w:pPr>
        <w:pStyle w:val="60"/>
        <w:spacing w:line="380" w:lineRule="exact"/>
        <w:ind w:firstLine="490"/>
        <w:rPr>
          <w:rFonts w:ascii="宋体" w:hAnsi="宋体"/>
          <w:sz w:val="24"/>
        </w:rPr>
      </w:pPr>
      <w:r>
        <w:rPr>
          <w:rFonts w:hint="eastAsia" w:ascii="宋体" w:hAnsi="宋体" w:cs="宋体"/>
          <w:kern w:val="0"/>
          <w:sz w:val="24"/>
        </w:rPr>
        <w:t>9、</w:t>
      </w:r>
      <w:r>
        <w:rPr>
          <w:rFonts w:hint="eastAsia" w:ascii="宋体" w:hAnsi="宋体"/>
          <w:sz w:val="24"/>
        </w:rPr>
        <w:t>其它未尽事宜，合同双方签定附属协议。</w:t>
      </w:r>
    </w:p>
    <w:p w14:paraId="0108A1A0">
      <w:pPr>
        <w:spacing w:line="360" w:lineRule="auto"/>
        <w:jc w:val="center"/>
        <w:outlineLvl w:val="0"/>
        <w:rPr>
          <w:rFonts w:hint="eastAsia" w:ascii="黑体" w:hAnsi="黑体" w:eastAsia="黑体"/>
          <w:sz w:val="28"/>
        </w:rPr>
      </w:pPr>
    </w:p>
    <w:p w14:paraId="5BC31A2A">
      <w:pPr>
        <w:pStyle w:val="26"/>
        <w:numPr>
          <w:ilvl w:val="0"/>
          <w:numId w:val="0"/>
        </w:numPr>
      </w:pPr>
    </w:p>
    <w:p w14:paraId="548D1095">
      <w:pPr>
        <w:pStyle w:val="26"/>
        <w:numPr>
          <w:ilvl w:val="0"/>
          <w:numId w:val="0"/>
        </w:numPr>
      </w:pPr>
    </w:p>
    <w:p w14:paraId="41924B21">
      <w:pPr>
        <w:pStyle w:val="26"/>
        <w:numPr>
          <w:ilvl w:val="0"/>
          <w:numId w:val="0"/>
        </w:numPr>
      </w:pPr>
    </w:p>
    <w:p w14:paraId="0524759A">
      <w:pPr>
        <w:pStyle w:val="26"/>
        <w:numPr>
          <w:ilvl w:val="0"/>
          <w:numId w:val="0"/>
        </w:numPr>
      </w:pPr>
    </w:p>
    <w:p w14:paraId="3F54E616">
      <w:pPr>
        <w:pStyle w:val="26"/>
        <w:numPr>
          <w:ilvl w:val="0"/>
          <w:numId w:val="0"/>
        </w:numPr>
      </w:pPr>
    </w:p>
    <w:p w14:paraId="128F3F42">
      <w:pPr>
        <w:pStyle w:val="26"/>
        <w:numPr>
          <w:ilvl w:val="0"/>
          <w:numId w:val="0"/>
        </w:numPr>
      </w:pPr>
    </w:p>
    <w:p w14:paraId="0B539B9C">
      <w:pPr>
        <w:pStyle w:val="26"/>
        <w:numPr>
          <w:ilvl w:val="0"/>
          <w:numId w:val="0"/>
        </w:numPr>
      </w:pPr>
    </w:p>
    <w:bookmarkEnd w:id="29"/>
    <w:p w14:paraId="70BBF0BE">
      <w:pPr>
        <w:spacing w:line="360" w:lineRule="auto"/>
        <w:jc w:val="center"/>
        <w:outlineLvl w:val="0"/>
        <w:rPr>
          <w:rFonts w:ascii="黑体" w:hAnsi="黑体" w:eastAsia="黑体"/>
          <w:color w:val="auto"/>
          <w:sz w:val="28"/>
          <w:highlight w:val="none"/>
        </w:rPr>
      </w:pPr>
      <w:bookmarkStart w:id="58" w:name="_Toc64637570"/>
      <w:r>
        <w:rPr>
          <w:rFonts w:hint="eastAsia" w:ascii="黑体" w:hAnsi="黑体" w:eastAsia="黑体"/>
          <w:color w:val="auto"/>
          <w:sz w:val="28"/>
          <w:highlight w:val="none"/>
        </w:rPr>
        <w:t>第</w:t>
      </w:r>
      <w:r>
        <w:rPr>
          <w:rFonts w:hint="eastAsia" w:ascii="黑体" w:hAnsi="黑体" w:eastAsia="黑体"/>
          <w:color w:val="auto"/>
          <w:sz w:val="28"/>
          <w:highlight w:val="none"/>
          <w:lang w:val="en-US" w:eastAsia="zh-CN"/>
        </w:rPr>
        <w:t>六</w:t>
      </w:r>
      <w:r>
        <w:rPr>
          <w:rFonts w:hint="eastAsia" w:ascii="黑体" w:hAnsi="黑体" w:eastAsia="黑体"/>
          <w:color w:val="auto"/>
          <w:sz w:val="28"/>
          <w:highlight w:val="none"/>
        </w:rPr>
        <w:t>章 投标文件（格式）</w:t>
      </w:r>
      <w:bookmarkEnd w:id="58"/>
    </w:p>
    <w:p w14:paraId="35E5B41E">
      <w:pPr>
        <w:spacing w:line="360" w:lineRule="auto"/>
        <w:jc w:val="center"/>
        <w:outlineLvl w:val="0"/>
        <w:rPr>
          <w:rFonts w:ascii="黑体" w:hAnsi="黑体" w:eastAsia="黑体"/>
          <w:color w:val="auto"/>
          <w:sz w:val="28"/>
          <w:highlight w:val="none"/>
        </w:rPr>
      </w:pPr>
    </w:p>
    <w:p w14:paraId="2DAEDB1B">
      <w:pPr>
        <w:spacing w:line="360" w:lineRule="auto"/>
        <w:jc w:val="center"/>
        <w:outlineLvl w:val="0"/>
        <w:rPr>
          <w:rFonts w:ascii="黑体" w:hAnsi="黑体" w:eastAsia="黑体"/>
          <w:color w:val="auto"/>
          <w:sz w:val="28"/>
          <w:highlight w:val="none"/>
        </w:rPr>
      </w:pPr>
    </w:p>
    <w:p w14:paraId="78DB32A0">
      <w:pPr>
        <w:rPr>
          <w:rFonts w:ascii="黑体" w:eastAsia="黑体"/>
          <w:b/>
          <w:color w:val="auto"/>
          <w:sz w:val="120"/>
          <w:szCs w:val="120"/>
          <w:highlight w:val="none"/>
        </w:rPr>
      </w:pPr>
    </w:p>
    <w:p w14:paraId="5C4B84BE">
      <w:pPr>
        <w:jc w:val="center"/>
        <w:rPr>
          <w:rFonts w:ascii="宋体" w:hAnsi="宋体"/>
          <w:b/>
          <w:color w:val="auto"/>
          <w:sz w:val="120"/>
          <w:szCs w:val="120"/>
          <w:highlight w:val="none"/>
        </w:rPr>
      </w:pPr>
      <w:bookmarkStart w:id="59" w:name="_Toc29240"/>
      <w:r>
        <w:rPr>
          <w:rFonts w:hint="eastAsia" w:ascii="宋体" w:hAnsi="宋体"/>
          <w:b/>
          <w:color w:val="auto"/>
          <w:sz w:val="120"/>
          <w:szCs w:val="120"/>
          <w:highlight w:val="none"/>
        </w:rPr>
        <w:t>投标文件</w:t>
      </w:r>
      <w:bookmarkEnd w:id="59"/>
    </w:p>
    <w:p w14:paraId="53344A43">
      <w:pPr>
        <w:jc w:val="center"/>
        <w:rPr>
          <w:rFonts w:hint="eastAsia" w:ascii="宋体" w:hAnsi="宋体" w:eastAsiaTheme="minorEastAsia"/>
          <w:b/>
          <w:color w:val="auto"/>
          <w:sz w:val="32"/>
          <w:szCs w:val="32"/>
          <w:highlight w:val="none"/>
          <w:lang w:eastAsia="zh-CN"/>
        </w:rPr>
      </w:pPr>
      <w:bookmarkStart w:id="60" w:name="_Toc2400"/>
      <w:r>
        <w:rPr>
          <w:rFonts w:hint="eastAsia" w:ascii="宋体" w:hAnsi="宋体"/>
          <w:b/>
          <w:color w:val="auto"/>
          <w:sz w:val="32"/>
          <w:szCs w:val="32"/>
          <w:highlight w:val="none"/>
        </w:rPr>
        <w:t>项目编号：</w:t>
      </w:r>
      <w:bookmarkEnd w:id="60"/>
      <w:r>
        <w:rPr>
          <w:rFonts w:hint="eastAsia" w:ascii="宋体" w:hAnsi="宋体"/>
          <w:color w:val="auto"/>
          <w:sz w:val="32"/>
          <w:highlight w:val="none"/>
          <w:lang w:eastAsia="zh-CN"/>
        </w:rPr>
        <w:t>YXGYJT202512012（EPC）</w:t>
      </w:r>
    </w:p>
    <w:p w14:paraId="06926A78">
      <w:pPr>
        <w:jc w:val="center"/>
        <w:rPr>
          <w:rFonts w:ascii="宋体" w:hAnsi="宋体"/>
          <w:b/>
          <w:color w:val="auto"/>
          <w:sz w:val="32"/>
          <w:szCs w:val="32"/>
          <w:highlight w:val="none"/>
        </w:rPr>
      </w:pPr>
    </w:p>
    <w:p w14:paraId="075B30FA">
      <w:pPr>
        <w:rPr>
          <w:rFonts w:ascii="宋体" w:hAnsi="宋体"/>
          <w:b/>
          <w:color w:val="auto"/>
          <w:sz w:val="32"/>
          <w:szCs w:val="32"/>
          <w:highlight w:val="none"/>
        </w:rPr>
      </w:pPr>
    </w:p>
    <w:p w14:paraId="6FD7A3E9">
      <w:pPr>
        <w:rPr>
          <w:rFonts w:ascii="宋体" w:hAnsi="宋体"/>
          <w:b/>
          <w:color w:val="auto"/>
          <w:sz w:val="32"/>
          <w:szCs w:val="32"/>
          <w:highlight w:val="none"/>
        </w:rPr>
      </w:pPr>
    </w:p>
    <w:p w14:paraId="35A139C0">
      <w:pPr>
        <w:rPr>
          <w:rFonts w:hint="eastAsia" w:ascii="宋体" w:hAnsi="宋体" w:eastAsiaTheme="minorEastAsia"/>
          <w:b/>
          <w:bCs/>
          <w:color w:val="auto"/>
          <w:sz w:val="52"/>
          <w:highlight w:val="none"/>
          <w:u w:val="single"/>
          <w:lang w:eastAsia="zh-CN"/>
        </w:rPr>
      </w:pPr>
      <w:bookmarkStart w:id="61" w:name="_Toc10010"/>
      <w:r>
        <w:rPr>
          <w:rFonts w:hint="eastAsia" w:ascii="宋体" w:hAnsi="宋体"/>
          <w:b/>
          <w:color w:val="auto"/>
          <w:sz w:val="32"/>
          <w:szCs w:val="32"/>
          <w:highlight w:val="none"/>
        </w:rPr>
        <w:t>项目名称：</w:t>
      </w:r>
      <w:bookmarkEnd w:id="61"/>
      <w:r>
        <w:rPr>
          <w:rFonts w:hint="eastAsia" w:ascii="宋体" w:hAnsi="宋体" w:eastAsia="宋体" w:cs="Times New Roman"/>
          <w:b/>
          <w:color w:val="auto"/>
          <w:sz w:val="32"/>
          <w:szCs w:val="32"/>
          <w:highlight w:val="none"/>
          <w:u w:val="single"/>
          <w:lang w:eastAsia="zh-CN"/>
        </w:rPr>
        <w:t>西渚污水厂细格栅及精准除砂装置、除臭系统、活性炭吸附罐采购项目</w:t>
      </w:r>
    </w:p>
    <w:p w14:paraId="36BE7CC0">
      <w:pPr>
        <w:rPr>
          <w:rFonts w:ascii="宋体" w:hAnsi="宋体"/>
          <w:b/>
          <w:color w:val="auto"/>
          <w:sz w:val="32"/>
          <w:szCs w:val="32"/>
          <w:highlight w:val="none"/>
        </w:rPr>
      </w:pPr>
      <w:bookmarkStart w:id="62" w:name="_Toc8670"/>
      <w:r>
        <w:rPr>
          <w:rFonts w:hint="eastAsia" w:ascii="宋体" w:hAnsi="宋体"/>
          <w:b/>
          <w:color w:val="auto"/>
          <w:sz w:val="32"/>
          <w:szCs w:val="32"/>
          <w:highlight w:val="none"/>
        </w:rPr>
        <w:t>投标人名称：</w:t>
      </w:r>
      <w:r>
        <w:rPr>
          <w:rFonts w:hint="eastAsia" w:ascii="宋体" w:hAnsi="宋体"/>
          <w:b/>
          <w:color w:val="auto"/>
          <w:sz w:val="32"/>
          <w:szCs w:val="32"/>
          <w:highlight w:val="none"/>
          <w:u w:val="single"/>
        </w:rPr>
        <w:t xml:space="preserve">                           （盖公章）</w:t>
      </w:r>
      <w:bookmarkEnd w:id="62"/>
    </w:p>
    <w:p w14:paraId="7BBA35E8">
      <w:pPr>
        <w:rPr>
          <w:rFonts w:ascii="宋体" w:hAnsi="宋体"/>
          <w:color w:val="auto"/>
          <w:highlight w:val="none"/>
        </w:rPr>
      </w:pPr>
      <w:bookmarkStart w:id="63" w:name="_Toc24371"/>
      <w:r>
        <w:rPr>
          <w:rFonts w:hint="eastAsia" w:ascii="宋体" w:hAnsi="宋体"/>
          <w:b/>
          <w:color w:val="auto"/>
          <w:sz w:val="32"/>
          <w:szCs w:val="32"/>
          <w:highlight w:val="none"/>
        </w:rPr>
        <w:t>法定代表人或其被授权代表：</w:t>
      </w:r>
      <w:r>
        <w:rPr>
          <w:rFonts w:hint="eastAsia" w:ascii="宋体" w:hAnsi="宋体"/>
          <w:b/>
          <w:color w:val="auto"/>
          <w:sz w:val="32"/>
          <w:szCs w:val="32"/>
          <w:highlight w:val="none"/>
          <w:u w:val="single"/>
        </w:rPr>
        <w:t xml:space="preserve">                 （签名）</w:t>
      </w:r>
      <w:bookmarkEnd w:id="63"/>
    </w:p>
    <w:p w14:paraId="4CF7C592">
      <w:pPr>
        <w:rPr>
          <w:rFonts w:ascii="楷体_GB2312" w:eastAsia="楷体_GB2312"/>
          <w:b/>
          <w:color w:val="auto"/>
          <w:sz w:val="32"/>
          <w:szCs w:val="32"/>
          <w:highlight w:val="none"/>
        </w:rPr>
      </w:pPr>
    </w:p>
    <w:p w14:paraId="2EE7D9DA">
      <w:pPr>
        <w:rPr>
          <w:rFonts w:ascii="楷体_GB2312" w:eastAsia="楷体_GB2312"/>
          <w:b/>
          <w:color w:val="auto"/>
          <w:sz w:val="32"/>
          <w:szCs w:val="32"/>
          <w:highlight w:val="none"/>
        </w:rPr>
      </w:pPr>
    </w:p>
    <w:p w14:paraId="0EB85798">
      <w:pPr>
        <w:rPr>
          <w:rFonts w:ascii="楷体_GB2312" w:eastAsia="楷体_GB2312"/>
          <w:b/>
          <w:color w:val="auto"/>
          <w:sz w:val="32"/>
          <w:szCs w:val="32"/>
          <w:highlight w:val="none"/>
        </w:rPr>
      </w:pPr>
    </w:p>
    <w:p w14:paraId="61D1E52B">
      <w:pPr>
        <w:rPr>
          <w:rFonts w:ascii="楷体_GB2312" w:eastAsia="楷体_GB2312"/>
          <w:b/>
          <w:color w:val="auto"/>
          <w:sz w:val="32"/>
          <w:szCs w:val="32"/>
          <w:highlight w:val="none"/>
        </w:rPr>
      </w:pPr>
    </w:p>
    <w:p w14:paraId="46CFF5D2">
      <w:pPr>
        <w:jc w:val="center"/>
        <w:rPr>
          <w:rFonts w:ascii="宋体" w:hAnsi="宋体"/>
          <w:b/>
          <w:color w:val="auto"/>
          <w:sz w:val="32"/>
          <w:szCs w:val="32"/>
          <w:highlight w:val="none"/>
        </w:rPr>
      </w:pPr>
      <w:bookmarkStart w:id="64" w:name="_Toc1179"/>
      <w:r>
        <w:rPr>
          <w:rFonts w:hint="eastAsia" w:ascii="宋体" w:hAnsi="宋体"/>
          <w:b/>
          <w:color w:val="auto"/>
          <w:sz w:val="32"/>
          <w:szCs w:val="32"/>
          <w:highlight w:val="none"/>
        </w:rPr>
        <w:t>日期：</w:t>
      </w:r>
      <w:r>
        <w:rPr>
          <w:rFonts w:hint="eastAsia" w:ascii="宋体" w:hAnsi="宋体"/>
          <w:b/>
          <w:color w:val="auto"/>
          <w:sz w:val="32"/>
          <w:szCs w:val="32"/>
          <w:highlight w:val="none"/>
          <w:u w:val="single"/>
        </w:rPr>
        <w:t xml:space="preserve">      年    月    日</w:t>
      </w:r>
      <w:bookmarkEnd w:id="64"/>
    </w:p>
    <w:p w14:paraId="05F2BA0D">
      <w:pPr>
        <w:rPr>
          <w:rFonts w:ascii="楷体_GB2312" w:eastAsia="楷体_GB2312"/>
          <w:b/>
          <w:color w:val="auto"/>
          <w:sz w:val="32"/>
          <w:szCs w:val="32"/>
          <w:highlight w:val="none"/>
        </w:rPr>
      </w:pPr>
    </w:p>
    <w:p w14:paraId="0612ADCD">
      <w:pPr>
        <w:rPr>
          <w:rFonts w:ascii="宋体"/>
          <w:b/>
          <w:bCs/>
          <w:color w:val="auto"/>
          <w:sz w:val="24"/>
          <w:szCs w:val="24"/>
          <w:highlight w:val="none"/>
        </w:rPr>
      </w:pPr>
      <w:bookmarkStart w:id="65" w:name="OLE_LINK24"/>
      <w:bookmarkStart w:id="66" w:name="_Toc24602"/>
      <w:r>
        <w:rPr>
          <w:rFonts w:hint="eastAsia" w:ascii="黑体" w:hAnsi="宋体" w:eastAsia="黑体"/>
          <w:bCs/>
          <w:color w:val="auto"/>
          <w:sz w:val="28"/>
          <w:szCs w:val="28"/>
          <w:highlight w:val="none"/>
        </w:rPr>
        <w:t>（一）投标函（格式）：</w:t>
      </w:r>
    </w:p>
    <w:bookmarkEnd w:id="65"/>
    <w:p w14:paraId="482E0705">
      <w:pPr>
        <w:spacing w:beforeLines="50" w:afterLines="50" w:line="360" w:lineRule="auto"/>
        <w:jc w:val="center"/>
        <w:rPr>
          <w:rFonts w:ascii="黑体" w:eastAsia="黑体"/>
          <w:bCs/>
          <w:color w:val="auto"/>
          <w:sz w:val="28"/>
          <w:szCs w:val="28"/>
          <w:highlight w:val="none"/>
        </w:rPr>
      </w:pPr>
      <w:r>
        <w:rPr>
          <w:rFonts w:hint="eastAsia" w:ascii="黑体" w:eastAsia="黑体"/>
          <w:bCs/>
          <w:color w:val="auto"/>
          <w:sz w:val="28"/>
          <w:szCs w:val="28"/>
          <w:highlight w:val="none"/>
        </w:rPr>
        <w:t>投标函</w:t>
      </w:r>
    </w:p>
    <w:p w14:paraId="3D85F1DF">
      <w:pPr>
        <w:spacing w:line="360" w:lineRule="auto"/>
        <w:rPr>
          <w:rFonts w:ascii="宋体" w:hAnsi="宋体"/>
          <w:bCs/>
          <w:color w:val="auto"/>
          <w:sz w:val="24"/>
          <w:highlight w:val="none"/>
          <w:lang w:val="zh-CN"/>
        </w:rPr>
      </w:pPr>
      <w:r>
        <w:rPr>
          <w:rFonts w:hint="eastAsia" w:ascii="宋体" w:hAnsi="宋体"/>
          <w:bCs/>
          <w:color w:val="auto"/>
          <w:sz w:val="24"/>
          <w:highlight w:val="none"/>
          <w:lang w:val="zh-CN"/>
        </w:rPr>
        <w:t>致宜兴市公用环保集团有限公司、江苏希地丰华项目管理集团有限公司：</w:t>
      </w:r>
    </w:p>
    <w:p w14:paraId="2CA97CF6">
      <w:pPr>
        <w:spacing w:line="360" w:lineRule="auto"/>
        <w:ind w:firstLine="480" w:firstLineChars="200"/>
        <w:rPr>
          <w:rFonts w:ascii="宋体" w:hAnsi="宋体"/>
          <w:bCs/>
          <w:color w:val="auto"/>
          <w:sz w:val="24"/>
          <w:highlight w:val="none"/>
          <w:lang w:val="zh-CN"/>
        </w:rPr>
      </w:pPr>
      <w:r>
        <w:rPr>
          <w:rFonts w:hint="eastAsia" w:ascii="宋体" w:hAnsi="宋体"/>
          <w:bCs/>
          <w:color w:val="auto"/>
          <w:sz w:val="24"/>
          <w:highlight w:val="none"/>
          <w:lang w:val="zh-CN"/>
        </w:rPr>
        <w:t>我方收到你们YXGYJT202512012（EPC）招标文件，经仔细阅读和研究，我方决定参加投标。</w:t>
      </w:r>
    </w:p>
    <w:p w14:paraId="316BFB65">
      <w:pPr>
        <w:numPr>
          <w:ilvl w:val="0"/>
          <w:numId w:val="28"/>
        </w:numPr>
        <w:spacing w:line="360" w:lineRule="auto"/>
        <w:ind w:firstLine="480" w:firstLineChars="200"/>
        <w:rPr>
          <w:rFonts w:ascii="宋体" w:hAnsi="宋体"/>
          <w:bCs/>
          <w:color w:val="auto"/>
          <w:sz w:val="24"/>
          <w:highlight w:val="none"/>
          <w:lang w:val="zh-CN"/>
        </w:rPr>
      </w:pPr>
      <w:r>
        <w:rPr>
          <w:rFonts w:hint="eastAsia" w:ascii="宋体" w:hAnsi="宋体"/>
          <w:bCs/>
          <w:color w:val="auto"/>
          <w:sz w:val="24"/>
          <w:highlight w:val="none"/>
          <w:lang w:val="zh-CN"/>
        </w:rPr>
        <w:t>我方愿意按照招标文件的一切要求，提供投标设备，投标总价详见《开标一览表》。</w:t>
      </w:r>
    </w:p>
    <w:p w14:paraId="609763F6">
      <w:pPr>
        <w:numPr>
          <w:ilvl w:val="0"/>
          <w:numId w:val="28"/>
        </w:numPr>
        <w:spacing w:line="360" w:lineRule="auto"/>
        <w:ind w:firstLine="480" w:firstLineChars="200"/>
        <w:rPr>
          <w:rFonts w:ascii="宋体" w:hAnsi="宋体"/>
          <w:bCs/>
          <w:color w:val="auto"/>
          <w:sz w:val="24"/>
          <w:highlight w:val="none"/>
          <w:lang w:val="zh-CN"/>
        </w:rPr>
      </w:pPr>
      <w:r>
        <w:rPr>
          <w:rFonts w:hint="eastAsia" w:ascii="宋体" w:hAnsi="宋体"/>
          <w:bCs/>
          <w:color w:val="auto"/>
          <w:sz w:val="24"/>
          <w:highlight w:val="none"/>
          <w:lang w:val="zh-CN"/>
        </w:rPr>
        <w:t>我方已对照招标设备的技术参数要求，填写了投标设备的技术参数要求，详见《偏离表》。</w:t>
      </w:r>
    </w:p>
    <w:p w14:paraId="742C01CD">
      <w:pPr>
        <w:numPr>
          <w:ilvl w:val="0"/>
          <w:numId w:val="28"/>
        </w:numPr>
        <w:spacing w:line="360" w:lineRule="auto"/>
        <w:ind w:firstLine="480" w:firstLineChars="200"/>
        <w:rPr>
          <w:rFonts w:ascii="宋体" w:hAnsi="宋体"/>
          <w:bCs/>
          <w:color w:val="auto"/>
          <w:sz w:val="24"/>
          <w:highlight w:val="none"/>
          <w:lang w:val="zh-CN"/>
        </w:rPr>
      </w:pPr>
      <w:r>
        <w:rPr>
          <w:rFonts w:hint="eastAsia" w:ascii="宋体" w:hAnsi="宋体"/>
          <w:bCs/>
          <w:color w:val="auto"/>
          <w:sz w:val="24"/>
          <w:highlight w:val="none"/>
          <w:lang w:val="zh-CN"/>
        </w:rPr>
        <w:t>我方承诺本次采购项目清单中，若</w:t>
      </w:r>
      <w:r>
        <w:rPr>
          <w:rFonts w:hint="eastAsia" w:ascii="宋体" w:hAnsi="宋体"/>
          <w:bCs/>
          <w:color w:val="auto"/>
          <w:sz w:val="24"/>
          <w:highlight w:val="none"/>
          <w:lang w:val="en-US" w:eastAsia="zh-CN"/>
        </w:rPr>
        <w:t>涉及</w:t>
      </w:r>
      <w:r>
        <w:rPr>
          <w:rFonts w:hint="eastAsia" w:ascii="宋体" w:hAnsi="宋体"/>
          <w:bCs/>
          <w:color w:val="auto"/>
          <w:sz w:val="24"/>
          <w:highlight w:val="none"/>
          <w:lang w:val="zh-CN"/>
        </w:rPr>
        <w:t>强制采购节能产品或信息安全产品的，将按照招标文件及法律法规要求提供相关产品。</w:t>
      </w:r>
    </w:p>
    <w:p w14:paraId="112756F9">
      <w:pPr>
        <w:numPr>
          <w:ilvl w:val="0"/>
          <w:numId w:val="28"/>
        </w:numPr>
        <w:spacing w:line="360" w:lineRule="auto"/>
        <w:ind w:firstLine="480" w:firstLineChars="200"/>
        <w:rPr>
          <w:rFonts w:ascii="宋体" w:hAnsi="宋体"/>
          <w:bCs/>
          <w:color w:val="auto"/>
          <w:sz w:val="24"/>
          <w:highlight w:val="none"/>
          <w:lang w:val="zh-CN"/>
        </w:rPr>
      </w:pPr>
      <w:r>
        <w:rPr>
          <w:rFonts w:hint="eastAsia" w:ascii="宋体" w:hAnsi="宋体"/>
          <w:bCs/>
          <w:color w:val="auto"/>
          <w:sz w:val="24"/>
          <w:highlight w:val="none"/>
          <w:lang w:val="zh-CN"/>
        </w:rPr>
        <w:t>我方同意按招标文件中的规定，本投标文件的有效期为投标截止之日起的60天（含提交当日）。在特殊情况下，可与贵方协商延长投标文件的有效期。</w:t>
      </w:r>
    </w:p>
    <w:p w14:paraId="7AC16A4E">
      <w:pPr>
        <w:numPr>
          <w:ilvl w:val="0"/>
          <w:numId w:val="28"/>
        </w:numPr>
        <w:spacing w:line="360" w:lineRule="auto"/>
        <w:ind w:firstLine="480" w:firstLineChars="200"/>
        <w:rPr>
          <w:rFonts w:ascii="宋体" w:hAnsi="宋体"/>
          <w:bCs/>
          <w:color w:val="auto"/>
          <w:sz w:val="24"/>
          <w:highlight w:val="none"/>
          <w:lang w:val="zh-CN"/>
        </w:rPr>
      </w:pPr>
      <w:r>
        <w:rPr>
          <w:rFonts w:hint="eastAsia" w:ascii="宋体" w:hAnsi="宋体"/>
          <w:bCs/>
          <w:color w:val="auto"/>
          <w:sz w:val="24"/>
          <w:highlight w:val="none"/>
          <w:lang w:val="zh-CN"/>
        </w:rPr>
        <w:t>如果我方的投标文件被接受，我方将履行招投标文件中规定的每一项要求，按期、按质、按量、按地点，完成交货任务。</w:t>
      </w:r>
    </w:p>
    <w:p w14:paraId="67AC0523">
      <w:pPr>
        <w:numPr>
          <w:ilvl w:val="0"/>
          <w:numId w:val="28"/>
        </w:numPr>
        <w:spacing w:line="360" w:lineRule="auto"/>
        <w:ind w:firstLine="480" w:firstLineChars="200"/>
        <w:rPr>
          <w:rFonts w:ascii="宋体" w:hAnsi="宋体"/>
          <w:bCs/>
          <w:color w:val="auto"/>
          <w:sz w:val="24"/>
          <w:highlight w:val="none"/>
          <w:lang w:val="zh-CN"/>
        </w:rPr>
      </w:pPr>
      <w:r>
        <w:rPr>
          <w:rFonts w:hint="eastAsia" w:ascii="宋体" w:hAnsi="宋体"/>
          <w:bCs/>
          <w:color w:val="auto"/>
          <w:sz w:val="24"/>
          <w:highlight w:val="none"/>
          <w:lang w:val="zh-CN"/>
        </w:rPr>
        <w:t>我方愿意根据贵方及评标委员会的要求，提供投标文件中所有材料的原件及相关证明性资料。</w:t>
      </w:r>
    </w:p>
    <w:p w14:paraId="00ABC07A">
      <w:pPr>
        <w:numPr>
          <w:ilvl w:val="0"/>
          <w:numId w:val="28"/>
        </w:numPr>
        <w:spacing w:line="360" w:lineRule="auto"/>
        <w:ind w:firstLine="480" w:firstLineChars="200"/>
        <w:rPr>
          <w:rFonts w:ascii="宋体" w:hAnsi="宋体"/>
          <w:bCs/>
          <w:color w:val="auto"/>
          <w:sz w:val="24"/>
          <w:highlight w:val="none"/>
          <w:lang w:val="zh-CN"/>
        </w:rPr>
      </w:pPr>
      <w:r>
        <w:rPr>
          <w:rFonts w:hint="eastAsia" w:ascii="宋体" w:hAnsi="宋体"/>
          <w:bCs/>
          <w:color w:val="auto"/>
          <w:sz w:val="24"/>
          <w:highlight w:val="none"/>
          <w:lang w:val="zh-CN"/>
        </w:rPr>
        <w:t>我方认为采购人有权确定中标人。</w:t>
      </w:r>
      <w:r>
        <w:rPr>
          <w:rFonts w:hint="eastAsia" w:ascii="宋体" w:hAnsi="宋体"/>
          <w:bCs/>
          <w:color w:val="auto"/>
          <w:sz w:val="24"/>
          <w:szCs w:val="24"/>
          <w:highlight w:val="none"/>
          <w:lang w:val="zh-CN"/>
        </w:rPr>
        <w:t>除因不可抗力或招标文件认可的情形以外，我方绝不放弃中标资格</w:t>
      </w:r>
      <w:r>
        <w:rPr>
          <w:rFonts w:hint="eastAsia" w:ascii="宋体" w:hAnsi="宋体"/>
          <w:bCs/>
          <w:color w:val="auto"/>
          <w:sz w:val="24"/>
          <w:highlight w:val="none"/>
          <w:lang w:val="zh-CN"/>
        </w:rPr>
        <w:t>。</w:t>
      </w:r>
    </w:p>
    <w:p w14:paraId="5D7C66DF">
      <w:pPr>
        <w:numPr>
          <w:ilvl w:val="0"/>
          <w:numId w:val="28"/>
        </w:numPr>
        <w:spacing w:line="360" w:lineRule="auto"/>
        <w:ind w:firstLine="480" w:firstLineChars="200"/>
        <w:rPr>
          <w:rFonts w:ascii="宋体" w:hAnsi="宋体"/>
          <w:bCs/>
          <w:color w:val="auto"/>
          <w:sz w:val="24"/>
          <w:highlight w:val="none"/>
          <w:lang w:val="zh-CN"/>
        </w:rPr>
      </w:pPr>
      <w:r>
        <w:rPr>
          <w:rFonts w:hint="eastAsia" w:ascii="宋体" w:hAnsi="宋体"/>
          <w:bCs/>
          <w:color w:val="auto"/>
          <w:sz w:val="24"/>
          <w:highlight w:val="none"/>
          <w:lang w:val="zh-CN"/>
        </w:rPr>
        <w:t>我方愿意按《中华人民共和国民法典》和合同条款履行自己的全部责任。</w:t>
      </w:r>
    </w:p>
    <w:p w14:paraId="6EB94923">
      <w:pPr>
        <w:numPr>
          <w:ilvl w:val="0"/>
          <w:numId w:val="28"/>
        </w:numPr>
        <w:spacing w:line="360" w:lineRule="auto"/>
        <w:ind w:firstLine="480" w:firstLineChars="200"/>
        <w:rPr>
          <w:rFonts w:ascii="宋体" w:hAnsi="宋体"/>
          <w:bCs/>
          <w:color w:val="auto"/>
          <w:sz w:val="24"/>
          <w:highlight w:val="none"/>
          <w:lang w:val="zh-CN"/>
        </w:rPr>
      </w:pPr>
      <w:r>
        <w:rPr>
          <w:rFonts w:hint="eastAsia" w:ascii="宋体" w:hAnsi="宋体"/>
          <w:bCs/>
          <w:color w:val="auto"/>
          <w:sz w:val="24"/>
          <w:highlight w:val="none"/>
          <w:lang w:val="zh-CN"/>
        </w:rPr>
        <w:t>我方愿意按招标文件的规定交纳投标保证金。</w:t>
      </w:r>
    </w:p>
    <w:p w14:paraId="14C290A4">
      <w:pPr>
        <w:numPr>
          <w:ilvl w:val="0"/>
          <w:numId w:val="28"/>
        </w:numPr>
        <w:spacing w:line="360" w:lineRule="auto"/>
        <w:ind w:firstLine="480" w:firstLineChars="200"/>
        <w:rPr>
          <w:rFonts w:ascii="宋体" w:hAnsi="宋体"/>
          <w:bCs/>
          <w:color w:val="auto"/>
          <w:sz w:val="24"/>
          <w:highlight w:val="none"/>
          <w:lang w:val="zh-CN"/>
        </w:rPr>
      </w:pPr>
      <w:r>
        <w:rPr>
          <w:rFonts w:hint="eastAsia" w:ascii="宋体" w:hAnsi="宋体"/>
          <w:bCs/>
          <w:color w:val="auto"/>
          <w:sz w:val="24"/>
          <w:highlight w:val="none"/>
          <w:lang w:val="zh-CN"/>
        </w:rPr>
        <w:t>如果我方中标，我方愿意遵守招标文件和中标通知书的规定，在指定时间和地点与采购人签订合同，并在签订合同前按招标文件的规定交纳履约保证金。</w:t>
      </w:r>
    </w:p>
    <w:p w14:paraId="7439B0D8">
      <w:pPr>
        <w:numPr>
          <w:ilvl w:val="0"/>
          <w:numId w:val="28"/>
        </w:numPr>
        <w:spacing w:line="360" w:lineRule="auto"/>
        <w:ind w:firstLine="480" w:firstLineChars="200"/>
        <w:rPr>
          <w:rFonts w:ascii="宋体" w:hAnsi="宋体"/>
          <w:bCs/>
          <w:color w:val="auto"/>
          <w:sz w:val="24"/>
          <w:highlight w:val="none"/>
          <w:lang w:val="zh-CN"/>
        </w:rPr>
      </w:pPr>
      <w:r>
        <w:rPr>
          <w:rFonts w:hint="eastAsia" w:ascii="宋体" w:hAnsi="宋体"/>
          <w:bCs/>
          <w:color w:val="auto"/>
          <w:sz w:val="24"/>
          <w:szCs w:val="24"/>
          <w:highlight w:val="none"/>
        </w:rPr>
        <w:t>我方决不提供虚假材料谋取中标，决不采取不正当手段诋毁、排挤其他投标人，决不与采购人、其它投标人或者采购机构恶意串通，决不向采购人、采购机构工作人员和评委进行商业贿赂，决不在采购过程中与采购人进行协商谈判，决不拒绝有关部门监督检查，如有违反，无条件接受相关管理部门的处罚。</w:t>
      </w:r>
    </w:p>
    <w:p w14:paraId="79660011">
      <w:pPr>
        <w:numPr>
          <w:ilvl w:val="0"/>
          <w:numId w:val="28"/>
        </w:numPr>
        <w:spacing w:line="360" w:lineRule="auto"/>
        <w:ind w:firstLine="480" w:firstLineChars="200"/>
        <w:rPr>
          <w:rFonts w:ascii="宋体" w:hAnsi="宋体"/>
          <w:bCs/>
          <w:color w:val="auto"/>
          <w:sz w:val="24"/>
          <w:highlight w:val="none"/>
          <w:lang w:val="zh-CN"/>
        </w:rPr>
      </w:pPr>
      <w:bookmarkStart w:id="67" w:name="OLE_LINK231"/>
      <w:r>
        <w:rPr>
          <w:rFonts w:hint="eastAsia" w:ascii="宋体" w:hAnsi="宋体"/>
          <w:bCs/>
          <w:color w:val="auto"/>
          <w:sz w:val="24"/>
          <w:szCs w:val="24"/>
          <w:highlight w:val="none"/>
        </w:rPr>
        <w:t>我方不是为本项目</w:t>
      </w:r>
      <w:r>
        <w:rPr>
          <w:rFonts w:ascii="宋体" w:hAnsi="宋体"/>
          <w:bCs/>
          <w:color w:val="auto"/>
          <w:sz w:val="24"/>
          <w:szCs w:val="24"/>
          <w:highlight w:val="none"/>
        </w:rPr>
        <w:t>提供整体设计、规范编制或者项目管理、监理、检测等服务的供应商</w:t>
      </w:r>
      <w:r>
        <w:rPr>
          <w:rFonts w:hint="eastAsia" w:ascii="宋体" w:hAnsi="宋体"/>
          <w:bCs/>
          <w:color w:val="auto"/>
          <w:sz w:val="24"/>
          <w:szCs w:val="24"/>
          <w:highlight w:val="none"/>
        </w:rPr>
        <w:t>。</w:t>
      </w:r>
      <w:bookmarkEnd w:id="67"/>
    </w:p>
    <w:p w14:paraId="20F55334">
      <w:pPr>
        <w:numPr>
          <w:ilvl w:val="0"/>
          <w:numId w:val="28"/>
        </w:numPr>
        <w:spacing w:line="360" w:lineRule="auto"/>
        <w:ind w:firstLine="480" w:firstLineChars="200"/>
        <w:rPr>
          <w:rFonts w:ascii="宋体" w:hAnsi="宋体"/>
          <w:bCs/>
          <w:color w:val="auto"/>
          <w:sz w:val="24"/>
          <w:highlight w:val="none"/>
          <w:lang w:val="zh-CN"/>
        </w:rPr>
      </w:pPr>
      <w:bookmarkStart w:id="68" w:name="OLE_LINK233"/>
      <w:r>
        <w:rPr>
          <w:rFonts w:hint="eastAsia" w:ascii="宋体" w:hAnsi="宋体"/>
          <w:bCs/>
          <w:color w:val="auto"/>
          <w:sz w:val="24"/>
          <w:szCs w:val="24"/>
          <w:highlight w:val="none"/>
        </w:rPr>
        <w:t>关联单位情况说明：</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680"/>
      </w:tblGrid>
      <w:tr w14:paraId="2682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707" w:type="dxa"/>
            <w:vAlign w:val="center"/>
          </w:tcPr>
          <w:p w14:paraId="5EA7BA27">
            <w:pPr>
              <w:spacing w:line="360" w:lineRule="auto"/>
              <w:rPr>
                <w:rFonts w:ascii="宋体" w:hAnsi="宋体"/>
                <w:bCs/>
                <w:color w:val="auto"/>
                <w:sz w:val="24"/>
                <w:highlight w:val="none"/>
                <w:lang w:val="zh-CN"/>
              </w:rPr>
            </w:pPr>
            <w:r>
              <w:rPr>
                <w:rFonts w:hint="eastAsia" w:ascii="宋体" w:hAnsi="宋体"/>
                <w:bCs/>
                <w:color w:val="auto"/>
                <w:sz w:val="24"/>
                <w:highlight w:val="none"/>
                <w:lang w:val="zh-CN"/>
              </w:rPr>
              <w:t>与我方</w:t>
            </w:r>
            <w:r>
              <w:rPr>
                <w:rFonts w:hint="eastAsia" w:ascii="宋体" w:hAnsi="宋体"/>
                <w:bCs/>
                <w:color w:val="auto"/>
                <w:sz w:val="24"/>
                <w:highlight w:val="none"/>
              </w:rPr>
              <w:t>单位负责人为同一人的其他单位</w:t>
            </w:r>
          </w:p>
        </w:tc>
        <w:tc>
          <w:tcPr>
            <w:tcW w:w="4680" w:type="dxa"/>
            <w:vAlign w:val="center"/>
          </w:tcPr>
          <w:p w14:paraId="1D75F6DC">
            <w:pPr>
              <w:spacing w:line="360" w:lineRule="auto"/>
              <w:rPr>
                <w:rFonts w:ascii="宋体" w:hAnsi="宋体"/>
                <w:bCs/>
                <w:color w:val="auto"/>
                <w:sz w:val="24"/>
                <w:highlight w:val="none"/>
                <w:lang w:val="zh-CN"/>
              </w:rPr>
            </w:pPr>
          </w:p>
        </w:tc>
      </w:tr>
      <w:tr w14:paraId="25653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707" w:type="dxa"/>
            <w:vAlign w:val="center"/>
          </w:tcPr>
          <w:p w14:paraId="66981A7F">
            <w:pPr>
              <w:spacing w:line="360" w:lineRule="auto"/>
              <w:rPr>
                <w:rFonts w:ascii="宋体" w:hAnsi="宋体"/>
                <w:bCs/>
                <w:color w:val="auto"/>
                <w:sz w:val="24"/>
                <w:highlight w:val="none"/>
                <w:lang w:val="zh-CN"/>
              </w:rPr>
            </w:pPr>
            <w:r>
              <w:rPr>
                <w:rFonts w:hint="eastAsia" w:ascii="宋体" w:hAnsi="宋体"/>
                <w:bCs/>
                <w:color w:val="auto"/>
                <w:sz w:val="24"/>
                <w:highlight w:val="none"/>
                <w:lang w:val="zh-CN"/>
              </w:rPr>
              <w:t>与我方</w:t>
            </w:r>
            <w:r>
              <w:rPr>
                <w:rFonts w:hint="eastAsia" w:ascii="宋体" w:hAnsi="宋体"/>
                <w:bCs/>
                <w:color w:val="auto"/>
                <w:sz w:val="24"/>
                <w:highlight w:val="none"/>
              </w:rPr>
              <w:t>存在直接控股、管理关系的其他单位</w:t>
            </w:r>
          </w:p>
        </w:tc>
        <w:tc>
          <w:tcPr>
            <w:tcW w:w="4680" w:type="dxa"/>
            <w:vAlign w:val="center"/>
          </w:tcPr>
          <w:p w14:paraId="7B5085F0">
            <w:pPr>
              <w:spacing w:line="360" w:lineRule="auto"/>
              <w:rPr>
                <w:rFonts w:ascii="宋体" w:hAnsi="宋体"/>
                <w:bCs/>
                <w:color w:val="auto"/>
                <w:sz w:val="24"/>
                <w:highlight w:val="none"/>
                <w:lang w:val="zh-CN"/>
              </w:rPr>
            </w:pPr>
          </w:p>
        </w:tc>
      </w:tr>
    </w:tbl>
    <w:p w14:paraId="632FFB80">
      <w:pPr>
        <w:spacing w:line="360" w:lineRule="auto"/>
        <w:ind w:left="480"/>
        <w:rPr>
          <w:rFonts w:ascii="宋体" w:hAnsi="宋体"/>
          <w:bCs/>
          <w:color w:val="auto"/>
          <w:sz w:val="24"/>
          <w:highlight w:val="none"/>
          <w:lang w:val="zh-CN"/>
        </w:rPr>
      </w:pPr>
      <w:r>
        <w:rPr>
          <w:rFonts w:hint="eastAsia" w:ascii="宋体" w:hAnsi="宋体"/>
          <w:bCs/>
          <w:color w:val="auto"/>
          <w:sz w:val="24"/>
          <w:highlight w:val="none"/>
          <w:lang w:val="zh-CN"/>
        </w:rPr>
        <w:t>注：没有请填无。</w:t>
      </w:r>
    </w:p>
    <w:p w14:paraId="22E53A6A">
      <w:pPr>
        <w:numPr>
          <w:ilvl w:val="0"/>
          <w:numId w:val="28"/>
        </w:numPr>
        <w:spacing w:line="360" w:lineRule="auto"/>
        <w:ind w:firstLine="480" w:firstLineChars="200"/>
        <w:rPr>
          <w:rFonts w:ascii="宋体" w:hAnsi="宋体"/>
          <w:bCs/>
          <w:color w:val="auto"/>
          <w:sz w:val="24"/>
          <w:highlight w:val="none"/>
          <w:lang w:val="zh-CN"/>
        </w:rPr>
      </w:pPr>
      <w:r>
        <w:rPr>
          <w:rFonts w:hint="eastAsia" w:ascii="宋体" w:hAnsi="宋体"/>
          <w:bCs/>
          <w:color w:val="auto"/>
          <w:sz w:val="24"/>
          <w:highlight w:val="none"/>
          <w:lang w:val="zh-CN"/>
        </w:rPr>
        <w:t>与本投标有关的一切正式往来函电，请联系：</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2823"/>
        <w:gridCol w:w="1252"/>
        <w:gridCol w:w="3675"/>
      </w:tblGrid>
      <w:tr w14:paraId="26706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75E4D1DD">
            <w:pPr>
              <w:spacing w:line="360" w:lineRule="auto"/>
              <w:jc w:val="center"/>
              <w:rPr>
                <w:rFonts w:ascii="宋体" w:hAnsi="宋体"/>
                <w:bCs/>
                <w:color w:val="auto"/>
                <w:sz w:val="24"/>
                <w:highlight w:val="none"/>
                <w:lang w:val="zh-CN"/>
              </w:rPr>
            </w:pPr>
            <w:bookmarkStart w:id="69" w:name="OLE_LINK249"/>
            <w:r>
              <w:rPr>
                <w:rFonts w:hint="eastAsia" w:ascii="宋体" w:hAnsi="宋体"/>
                <w:bCs/>
                <w:color w:val="auto"/>
                <w:sz w:val="24"/>
                <w:highlight w:val="none"/>
                <w:lang w:val="zh-CN"/>
              </w:rPr>
              <w:t>地址</w:t>
            </w:r>
          </w:p>
        </w:tc>
        <w:tc>
          <w:tcPr>
            <w:tcW w:w="2823" w:type="dxa"/>
            <w:vAlign w:val="center"/>
          </w:tcPr>
          <w:p w14:paraId="5AAE7AD8">
            <w:pPr>
              <w:spacing w:line="360" w:lineRule="auto"/>
              <w:jc w:val="center"/>
              <w:rPr>
                <w:rFonts w:ascii="宋体" w:hAnsi="宋体"/>
                <w:bCs/>
                <w:color w:val="auto"/>
                <w:sz w:val="24"/>
                <w:highlight w:val="none"/>
                <w:lang w:val="zh-CN"/>
              </w:rPr>
            </w:pPr>
          </w:p>
        </w:tc>
        <w:tc>
          <w:tcPr>
            <w:tcW w:w="1252" w:type="dxa"/>
            <w:vAlign w:val="center"/>
          </w:tcPr>
          <w:p w14:paraId="476F4F9C">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邮编</w:t>
            </w:r>
          </w:p>
        </w:tc>
        <w:tc>
          <w:tcPr>
            <w:tcW w:w="3675" w:type="dxa"/>
            <w:vAlign w:val="center"/>
          </w:tcPr>
          <w:p w14:paraId="6A348586">
            <w:pPr>
              <w:spacing w:line="360" w:lineRule="auto"/>
              <w:jc w:val="center"/>
              <w:rPr>
                <w:rFonts w:ascii="宋体" w:hAnsi="宋体"/>
                <w:bCs/>
                <w:color w:val="auto"/>
                <w:sz w:val="24"/>
                <w:highlight w:val="none"/>
                <w:lang w:val="zh-CN"/>
              </w:rPr>
            </w:pPr>
          </w:p>
        </w:tc>
      </w:tr>
      <w:tr w14:paraId="49C4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3D708105">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传真</w:t>
            </w:r>
          </w:p>
        </w:tc>
        <w:tc>
          <w:tcPr>
            <w:tcW w:w="2823" w:type="dxa"/>
            <w:vAlign w:val="center"/>
          </w:tcPr>
          <w:p w14:paraId="3FA186E2">
            <w:pPr>
              <w:spacing w:line="360" w:lineRule="auto"/>
              <w:jc w:val="center"/>
              <w:rPr>
                <w:rFonts w:ascii="宋体" w:hAnsi="宋体"/>
                <w:bCs/>
                <w:color w:val="auto"/>
                <w:sz w:val="24"/>
                <w:highlight w:val="none"/>
                <w:lang w:val="zh-CN"/>
              </w:rPr>
            </w:pPr>
          </w:p>
        </w:tc>
        <w:tc>
          <w:tcPr>
            <w:tcW w:w="1252" w:type="dxa"/>
            <w:vAlign w:val="center"/>
          </w:tcPr>
          <w:p w14:paraId="2840F56E">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办公电话</w:t>
            </w:r>
          </w:p>
        </w:tc>
        <w:tc>
          <w:tcPr>
            <w:tcW w:w="3675" w:type="dxa"/>
            <w:vAlign w:val="center"/>
          </w:tcPr>
          <w:p w14:paraId="47412B0A">
            <w:pPr>
              <w:spacing w:line="360" w:lineRule="auto"/>
              <w:jc w:val="center"/>
              <w:rPr>
                <w:rFonts w:ascii="宋体" w:hAnsi="宋体"/>
                <w:bCs/>
                <w:color w:val="auto"/>
                <w:sz w:val="24"/>
                <w:highlight w:val="none"/>
                <w:lang w:val="zh-CN"/>
              </w:rPr>
            </w:pPr>
          </w:p>
        </w:tc>
      </w:tr>
      <w:tr w14:paraId="5D37F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6DA2A089">
            <w:pPr>
              <w:spacing w:line="360" w:lineRule="auto"/>
              <w:jc w:val="center"/>
              <w:rPr>
                <w:rFonts w:ascii="宋体" w:hAnsi="宋体" w:eastAsia="宋体"/>
                <w:bCs/>
                <w:color w:val="auto"/>
                <w:sz w:val="24"/>
                <w:highlight w:val="none"/>
              </w:rPr>
            </w:pPr>
            <w:r>
              <w:rPr>
                <w:rFonts w:hint="eastAsia" w:ascii="宋体" w:hAnsi="宋体"/>
                <w:bCs/>
                <w:color w:val="auto"/>
                <w:sz w:val="24"/>
                <w:highlight w:val="none"/>
              </w:rPr>
              <w:t>法定代表人</w:t>
            </w:r>
          </w:p>
        </w:tc>
        <w:tc>
          <w:tcPr>
            <w:tcW w:w="2823" w:type="dxa"/>
            <w:vAlign w:val="center"/>
          </w:tcPr>
          <w:p w14:paraId="26A28DC3">
            <w:pPr>
              <w:spacing w:line="360" w:lineRule="auto"/>
              <w:jc w:val="center"/>
              <w:rPr>
                <w:rFonts w:ascii="宋体" w:hAnsi="宋体"/>
                <w:bCs/>
                <w:color w:val="auto"/>
                <w:sz w:val="24"/>
                <w:highlight w:val="none"/>
                <w:lang w:val="zh-CN"/>
              </w:rPr>
            </w:pPr>
          </w:p>
        </w:tc>
        <w:tc>
          <w:tcPr>
            <w:tcW w:w="1252" w:type="dxa"/>
            <w:vAlign w:val="center"/>
          </w:tcPr>
          <w:p w14:paraId="7DA733C7">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手机号码</w:t>
            </w:r>
          </w:p>
        </w:tc>
        <w:tc>
          <w:tcPr>
            <w:tcW w:w="3675" w:type="dxa"/>
            <w:vAlign w:val="center"/>
          </w:tcPr>
          <w:p w14:paraId="36413559">
            <w:pPr>
              <w:spacing w:line="360" w:lineRule="auto"/>
              <w:jc w:val="center"/>
              <w:rPr>
                <w:rFonts w:ascii="宋体" w:hAnsi="宋体"/>
                <w:bCs/>
                <w:color w:val="auto"/>
                <w:sz w:val="24"/>
                <w:highlight w:val="none"/>
                <w:lang w:val="zh-CN"/>
              </w:rPr>
            </w:pPr>
          </w:p>
        </w:tc>
      </w:tr>
      <w:tr w14:paraId="5FC90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4FBA1DCB">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联系人</w:t>
            </w:r>
          </w:p>
        </w:tc>
        <w:tc>
          <w:tcPr>
            <w:tcW w:w="2823" w:type="dxa"/>
            <w:vAlign w:val="center"/>
          </w:tcPr>
          <w:p w14:paraId="2C00192B">
            <w:pPr>
              <w:spacing w:line="360" w:lineRule="auto"/>
              <w:jc w:val="center"/>
              <w:rPr>
                <w:rFonts w:ascii="宋体" w:hAnsi="宋体"/>
                <w:bCs/>
                <w:color w:val="auto"/>
                <w:sz w:val="24"/>
                <w:highlight w:val="none"/>
                <w:lang w:val="zh-CN"/>
              </w:rPr>
            </w:pPr>
          </w:p>
        </w:tc>
        <w:tc>
          <w:tcPr>
            <w:tcW w:w="1252" w:type="dxa"/>
            <w:vAlign w:val="center"/>
          </w:tcPr>
          <w:p w14:paraId="447DC5F5">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手机号码</w:t>
            </w:r>
          </w:p>
        </w:tc>
        <w:tc>
          <w:tcPr>
            <w:tcW w:w="3675" w:type="dxa"/>
            <w:vAlign w:val="center"/>
          </w:tcPr>
          <w:p w14:paraId="7811B729">
            <w:pPr>
              <w:spacing w:line="360" w:lineRule="auto"/>
              <w:jc w:val="center"/>
              <w:rPr>
                <w:rFonts w:ascii="宋体" w:hAnsi="宋体"/>
                <w:bCs/>
                <w:color w:val="auto"/>
                <w:sz w:val="24"/>
                <w:highlight w:val="none"/>
                <w:lang w:val="zh-CN"/>
              </w:rPr>
            </w:pPr>
          </w:p>
        </w:tc>
      </w:tr>
      <w:tr w14:paraId="245AE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3FD7D3EE">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开户名称</w:t>
            </w:r>
          </w:p>
        </w:tc>
        <w:tc>
          <w:tcPr>
            <w:tcW w:w="7750" w:type="dxa"/>
            <w:gridSpan w:val="3"/>
            <w:vAlign w:val="center"/>
          </w:tcPr>
          <w:p w14:paraId="76FCCF12">
            <w:pPr>
              <w:spacing w:line="360" w:lineRule="auto"/>
              <w:jc w:val="center"/>
              <w:rPr>
                <w:rFonts w:ascii="宋体" w:hAnsi="宋体"/>
                <w:bCs/>
                <w:color w:val="auto"/>
                <w:sz w:val="24"/>
                <w:highlight w:val="none"/>
                <w:lang w:val="zh-CN"/>
              </w:rPr>
            </w:pPr>
          </w:p>
        </w:tc>
      </w:tr>
      <w:tr w14:paraId="25226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050B131B">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开户银行</w:t>
            </w:r>
          </w:p>
        </w:tc>
        <w:tc>
          <w:tcPr>
            <w:tcW w:w="2823" w:type="dxa"/>
            <w:vAlign w:val="center"/>
          </w:tcPr>
          <w:p w14:paraId="76BECE84">
            <w:pPr>
              <w:spacing w:line="360" w:lineRule="auto"/>
              <w:jc w:val="center"/>
              <w:rPr>
                <w:rFonts w:ascii="宋体" w:hAnsi="宋体"/>
                <w:bCs/>
                <w:color w:val="auto"/>
                <w:sz w:val="24"/>
                <w:highlight w:val="none"/>
                <w:lang w:val="zh-CN"/>
              </w:rPr>
            </w:pPr>
          </w:p>
        </w:tc>
        <w:tc>
          <w:tcPr>
            <w:tcW w:w="1252" w:type="dxa"/>
            <w:vAlign w:val="center"/>
          </w:tcPr>
          <w:p w14:paraId="1FDFDFE9">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开户账号</w:t>
            </w:r>
          </w:p>
        </w:tc>
        <w:tc>
          <w:tcPr>
            <w:tcW w:w="3675" w:type="dxa"/>
            <w:vAlign w:val="center"/>
          </w:tcPr>
          <w:p w14:paraId="5CD60A7C">
            <w:pPr>
              <w:spacing w:line="360" w:lineRule="auto"/>
              <w:jc w:val="center"/>
              <w:rPr>
                <w:rFonts w:ascii="宋体" w:hAnsi="宋体"/>
                <w:bCs/>
                <w:color w:val="auto"/>
                <w:sz w:val="24"/>
                <w:highlight w:val="none"/>
                <w:lang w:val="zh-CN"/>
              </w:rPr>
            </w:pPr>
          </w:p>
        </w:tc>
      </w:tr>
      <w:bookmarkEnd w:id="68"/>
      <w:bookmarkEnd w:id="69"/>
    </w:tbl>
    <w:p w14:paraId="70BEEDF1">
      <w:pPr>
        <w:spacing w:line="360" w:lineRule="auto"/>
        <w:ind w:left="5460" w:hanging="5460" w:hangingChars="2275"/>
        <w:jc w:val="center"/>
        <w:rPr>
          <w:rFonts w:hint="eastAsia" w:ascii="宋体" w:hAnsi="宋体"/>
          <w:bCs/>
          <w:color w:val="auto"/>
          <w:sz w:val="24"/>
          <w:highlight w:val="none"/>
          <w:lang w:val="zh-CN"/>
        </w:rPr>
      </w:pPr>
    </w:p>
    <w:p w14:paraId="102DDED2">
      <w:pPr>
        <w:spacing w:line="360" w:lineRule="auto"/>
        <w:ind w:left="5460" w:hanging="5460" w:hangingChars="2275"/>
        <w:jc w:val="center"/>
        <w:rPr>
          <w:rFonts w:ascii="宋体" w:hAnsi="宋体"/>
          <w:bCs/>
          <w:color w:val="auto"/>
          <w:sz w:val="24"/>
          <w:highlight w:val="none"/>
          <w:lang w:val="zh-CN"/>
        </w:rPr>
      </w:pPr>
      <w:r>
        <w:rPr>
          <w:rFonts w:hint="eastAsia" w:ascii="宋体" w:hAnsi="宋体"/>
          <w:bCs/>
          <w:color w:val="auto"/>
          <w:sz w:val="24"/>
          <w:highlight w:val="none"/>
          <w:lang w:val="zh-CN"/>
        </w:rPr>
        <w:t>投标人（</w:t>
      </w:r>
      <w:r>
        <w:rPr>
          <w:rFonts w:hint="eastAsia" w:ascii="宋体" w:hAnsi="宋体"/>
          <w:bCs/>
          <w:color w:val="auto"/>
          <w:sz w:val="24"/>
          <w:highlight w:val="none"/>
        </w:rPr>
        <w:t>公</w:t>
      </w:r>
      <w:r>
        <w:rPr>
          <w:rFonts w:hint="eastAsia" w:ascii="宋体" w:hAnsi="宋体"/>
          <w:bCs/>
          <w:color w:val="auto"/>
          <w:sz w:val="24"/>
          <w:highlight w:val="none"/>
          <w:lang w:val="zh-CN"/>
        </w:rPr>
        <w:t>章）：</w:t>
      </w:r>
    </w:p>
    <w:p w14:paraId="1D645B60">
      <w:pPr>
        <w:spacing w:line="360" w:lineRule="auto"/>
        <w:ind w:left="5460" w:hanging="5460" w:hangingChars="2275"/>
        <w:jc w:val="center"/>
        <w:rPr>
          <w:rFonts w:ascii="宋体" w:hAnsi="宋体"/>
          <w:bCs/>
          <w:color w:val="auto"/>
          <w:sz w:val="24"/>
          <w:highlight w:val="none"/>
          <w:lang w:val="zh-CN"/>
        </w:rPr>
      </w:pPr>
      <w:r>
        <w:rPr>
          <w:rFonts w:hint="eastAsia" w:ascii="宋体" w:hAnsi="宋体"/>
          <w:bCs/>
          <w:color w:val="auto"/>
          <w:sz w:val="24"/>
          <w:highlight w:val="none"/>
          <w:lang w:val="zh-CN"/>
        </w:rPr>
        <w:t>投标人（签名）：</w:t>
      </w:r>
    </w:p>
    <w:p w14:paraId="6C078606">
      <w:pPr>
        <w:spacing w:line="360" w:lineRule="auto"/>
        <w:rPr>
          <w:rFonts w:ascii="宋体" w:hAnsi="宋体"/>
          <w:bCs/>
          <w:color w:val="auto"/>
          <w:sz w:val="24"/>
          <w:highlight w:val="none"/>
          <w:lang w:val="zh-CN"/>
        </w:rPr>
      </w:pPr>
    </w:p>
    <w:p w14:paraId="5A15E29C">
      <w:pPr>
        <w:rPr>
          <w:rFonts w:hint="eastAsia" w:ascii="黑体" w:hAnsi="宋体" w:eastAsia="黑体"/>
          <w:bCs/>
          <w:color w:val="auto"/>
          <w:sz w:val="28"/>
          <w:szCs w:val="28"/>
          <w:highlight w:val="none"/>
        </w:rPr>
      </w:pPr>
    </w:p>
    <w:p w14:paraId="54629017">
      <w:pPr>
        <w:rPr>
          <w:rFonts w:hint="eastAsia" w:ascii="黑体" w:hAnsi="宋体" w:eastAsia="黑体"/>
          <w:bCs/>
          <w:color w:val="auto"/>
          <w:sz w:val="28"/>
          <w:szCs w:val="28"/>
          <w:highlight w:val="none"/>
        </w:rPr>
      </w:pPr>
    </w:p>
    <w:p w14:paraId="0907618F">
      <w:pPr>
        <w:rPr>
          <w:rFonts w:hint="eastAsia" w:ascii="黑体" w:hAnsi="宋体" w:eastAsia="黑体"/>
          <w:bCs/>
          <w:color w:val="auto"/>
          <w:sz w:val="28"/>
          <w:szCs w:val="28"/>
          <w:highlight w:val="none"/>
        </w:rPr>
      </w:pPr>
    </w:p>
    <w:p w14:paraId="7A59F298">
      <w:pPr>
        <w:rPr>
          <w:rFonts w:hint="eastAsia" w:ascii="黑体" w:hAnsi="宋体" w:eastAsia="黑体"/>
          <w:bCs/>
          <w:color w:val="auto"/>
          <w:sz w:val="28"/>
          <w:szCs w:val="28"/>
          <w:highlight w:val="none"/>
        </w:rPr>
      </w:pPr>
    </w:p>
    <w:p w14:paraId="691DB022">
      <w:pPr>
        <w:rPr>
          <w:rFonts w:hint="eastAsia" w:ascii="黑体" w:hAnsi="宋体" w:eastAsia="黑体"/>
          <w:bCs/>
          <w:color w:val="auto"/>
          <w:sz w:val="28"/>
          <w:szCs w:val="28"/>
          <w:highlight w:val="none"/>
        </w:rPr>
      </w:pPr>
    </w:p>
    <w:p w14:paraId="43CA2658">
      <w:pPr>
        <w:rPr>
          <w:rFonts w:hint="eastAsia" w:ascii="黑体" w:hAnsi="宋体" w:eastAsia="黑体"/>
          <w:bCs/>
          <w:color w:val="auto"/>
          <w:sz w:val="28"/>
          <w:szCs w:val="28"/>
          <w:highlight w:val="none"/>
        </w:rPr>
      </w:pPr>
    </w:p>
    <w:p w14:paraId="64D16BB9">
      <w:pPr>
        <w:rPr>
          <w:rFonts w:hint="eastAsia" w:ascii="黑体" w:hAnsi="宋体" w:eastAsia="黑体"/>
          <w:bCs/>
          <w:color w:val="auto"/>
          <w:sz w:val="28"/>
          <w:szCs w:val="28"/>
          <w:highlight w:val="none"/>
        </w:rPr>
      </w:pPr>
    </w:p>
    <w:p w14:paraId="7663DBEE">
      <w:pPr>
        <w:rPr>
          <w:rFonts w:hint="eastAsia" w:ascii="黑体" w:hAnsi="宋体" w:eastAsia="黑体"/>
          <w:bCs/>
          <w:color w:val="auto"/>
          <w:sz w:val="28"/>
          <w:szCs w:val="28"/>
          <w:highlight w:val="none"/>
        </w:rPr>
      </w:pPr>
    </w:p>
    <w:p w14:paraId="2A231B35">
      <w:pPr>
        <w:rPr>
          <w:rFonts w:hint="eastAsia" w:ascii="黑体" w:hAnsi="宋体" w:eastAsia="黑体"/>
          <w:bCs/>
          <w:color w:val="auto"/>
          <w:sz w:val="28"/>
          <w:szCs w:val="28"/>
          <w:highlight w:val="none"/>
        </w:rPr>
      </w:pPr>
    </w:p>
    <w:p w14:paraId="51C8B63D">
      <w:pPr>
        <w:rPr>
          <w:rFonts w:hint="eastAsia" w:ascii="黑体" w:hAnsi="宋体" w:eastAsia="黑体"/>
          <w:bCs/>
          <w:color w:val="auto"/>
          <w:sz w:val="28"/>
          <w:szCs w:val="28"/>
          <w:highlight w:val="none"/>
        </w:rPr>
      </w:pPr>
    </w:p>
    <w:p w14:paraId="57608147">
      <w:pPr>
        <w:rPr>
          <w:rFonts w:hint="eastAsia" w:ascii="黑体" w:hAnsi="宋体" w:eastAsia="黑体"/>
          <w:bCs/>
          <w:color w:val="auto"/>
          <w:sz w:val="28"/>
          <w:szCs w:val="28"/>
          <w:highlight w:val="none"/>
        </w:rPr>
      </w:pPr>
    </w:p>
    <w:p w14:paraId="01F2736F">
      <w:pPr>
        <w:rPr>
          <w:rFonts w:hint="eastAsia" w:ascii="黑体" w:hAnsi="宋体" w:eastAsia="黑体"/>
          <w:bCs/>
          <w:color w:val="auto"/>
          <w:sz w:val="28"/>
          <w:szCs w:val="28"/>
          <w:highlight w:val="none"/>
        </w:rPr>
      </w:pPr>
    </w:p>
    <w:p w14:paraId="03EA53CE">
      <w:pPr>
        <w:rPr>
          <w:rFonts w:ascii="黑体" w:hAnsi="宋体" w:eastAsia="黑体"/>
          <w:bCs/>
          <w:color w:val="auto"/>
          <w:sz w:val="28"/>
          <w:szCs w:val="28"/>
          <w:highlight w:val="none"/>
        </w:rPr>
      </w:pPr>
      <w:r>
        <w:rPr>
          <w:rFonts w:hint="eastAsia" w:ascii="黑体" w:hAnsi="宋体" w:eastAsia="黑体"/>
          <w:bCs/>
          <w:color w:val="auto"/>
          <w:sz w:val="28"/>
          <w:szCs w:val="28"/>
          <w:highlight w:val="none"/>
        </w:rPr>
        <w:t>（二）报价文件：</w:t>
      </w:r>
    </w:p>
    <w:p w14:paraId="666DA280">
      <w:pPr>
        <w:ind w:firstLine="480" w:firstLineChars="200"/>
        <w:jc w:val="left"/>
        <w:rPr>
          <w:rFonts w:ascii="宋体" w:hAnsi="宋体"/>
          <w:color w:val="auto"/>
          <w:sz w:val="28"/>
          <w:szCs w:val="28"/>
          <w:highlight w:val="none"/>
        </w:rPr>
      </w:pPr>
      <w:r>
        <w:rPr>
          <w:rFonts w:hint="eastAsia" w:ascii="宋体" w:hAnsi="宋体" w:cs="宋体"/>
          <w:bCs/>
          <w:color w:val="auto"/>
          <w:sz w:val="24"/>
          <w:szCs w:val="24"/>
          <w:highlight w:val="none"/>
        </w:rPr>
        <w:t>1、</w:t>
      </w:r>
      <w:r>
        <w:rPr>
          <w:rFonts w:hint="eastAsia" w:ascii="黑体" w:hAnsi="宋体" w:eastAsia="黑体"/>
          <w:bCs/>
          <w:color w:val="auto"/>
          <w:sz w:val="24"/>
          <w:szCs w:val="24"/>
          <w:highlight w:val="none"/>
        </w:rPr>
        <w:t>开标一览表（格式）：</w:t>
      </w:r>
      <w:bookmarkEnd w:id="66"/>
    </w:p>
    <w:p w14:paraId="59D85A8F">
      <w:pPr>
        <w:spacing w:beforeLines="50" w:afterLines="50"/>
        <w:jc w:val="center"/>
        <w:rPr>
          <w:rFonts w:ascii="黑体" w:hAnsi="黑体" w:eastAsia="黑体"/>
          <w:color w:val="auto"/>
          <w:sz w:val="28"/>
          <w:szCs w:val="28"/>
          <w:highlight w:val="none"/>
        </w:rPr>
      </w:pPr>
      <w:bookmarkStart w:id="70" w:name="_Toc32423"/>
      <w:r>
        <w:rPr>
          <w:rFonts w:hint="eastAsia" w:ascii="黑体" w:eastAsia="黑体"/>
          <w:bCs/>
          <w:color w:val="auto"/>
          <w:sz w:val="28"/>
          <w:szCs w:val="28"/>
          <w:highlight w:val="none"/>
        </w:rPr>
        <w:t>开标一览表</w:t>
      </w:r>
      <w:bookmarkEnd w:id="70"/>
    </w:p>
    <w:p w14:paraId="45EE7A7F">
      <w:pPr>
        <w:jc w:val="center"/>
        <w:rPr>
          <w:rFonts w:hint="eastAsia" w:ascii="宋体" w:hAnsi="宋体" w:eastAsiaTheme="minorEastAsia"/>
          <w:color w:val="auto"/>
          <w:sz w:val="28"/>
          <w:szCs w:val="28"/>
          <w:highlight w:val="none"/>
          <w:lang w:eastAsia="zh-CN"/>
        </w:rPr>
      </w:pPr>
      <w:bookmarkStart w:id="71" w:name="OLE_LINK31"/>
      <w:r>
        <w:rPr>
          <w:rFonts w:hint="eastAsia" w:ascii="宋体" w:hAnsi="宋体"/>
          <w:color w:val="auto"/>
          <w:sz w:val="28"/>
          <w:szCs w:val="28"/>
          <w:highlight w:val="none"/>
        </w:rPr>
        <w:t>项目编号：</w:t>
      </w:r>
      <w:r>
        <w:rPr>
          <w:rFonts w:hint="eastAsia" w:ascii="宋体" w:hAnsi="宋体"/>
          <w:color w:val="auto"/>
          <w:sz w:val="28"/>
          <w:szCs w:val="28"/>
          <w:highlight w:val="none"/>
          <w:lang w:eastAsia="zh-CN"/>
        </w:rPr>
        <w:t>YXGYJT202512012（EPC）</w:t>
      </w:r>
    </w:p>
    <w:p w14:paraId="1512C672">
      <w:pPr>
        <w:ind w:left="1"/>
        <w:jc w:val="center"/>
        <w:rPr>
          <w:rFonts w:ascii="宋体" w:hAnsi="宋体"/>
          <w:color w:val="auto"/>
          <w:sz w:val="24"/>
          <w:szCs w:val="24"/>
          <w:highlight w:val="none"/>
        </w:rPr>
      </w:pPr>
      <w:r>
        <w:rPr>
          <w:rFonts w:hint="eastAsia" w:ascii="宋体" w:hAnsi="宋体"/>
          <w:color w:val="auto"/>
          <w:sz w:val="24"/>
          <w:szCs w:val="24"/>
          <w:highlight w:val="none"/>
        </w:rPr>
        <w:t xml:space="preserve"> 投标人名称（盖章）：                                              单位：元</w:t>
      </w:r>
      <w:bookmarkEnd w:id="71"/>
    </w:p>
    <w:tbl>
      <w:tblPr>
        <w:tblStyle w:val="28"/>
        <w:tblW w:w="10984" w:type="dxa"/>
        <w:tblInd w:w="-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611"/>
        <w:gridCol w:w="3537"/>
        <w:gridCol w:w="649"/>
        <w:gridCol w:w="735"/>
        <w:gridCol w:w="784"/>
        <w:gridCol w:w="668"/>
        <w:gridCol w:w="852"/>
        <w:gridCol w:w="851"/>
        <w:gridCol w:w="707"/>
      </w:tblGrid>
      <w:tr w14:paraId="07C87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14:paraId="7A14E0F8">
            <w:pPr>
              <w:jc w:val="left"/>
              <w:rPr>
                <w:rFonts w:hint="eastAsia" w:ascii="宋体" w:hAnsi="宋体" w:eastAsia="宋体" w:cs="宋体"/>
                <w:bCs/>
                <w:color w:val="auto"/>
                <w:sz w:val="21"/>
                <w:szCs w:val="21"/>
                <w:highlight w:val="none"/>
                <w:vertAlign w:val="baseline"/>
                <w:lang w:val="en-US" w:eastAsia="zh-CN"/>
              </w:rPr>
            </w:pPr>
            <w:bookmarkStart w:id="72" w:name="OLE_LINK32"/>
            <w:r>
              <w:rPr>
                <w:rFonts w:hint="eastAsia" w:ascii="宋体" w:hAnsi="宋体" w:eastAsia="宋体" w:cs="宋体"/>
                <w:bCs/>
                <w:color w:val="auto"/>
                <w:sz w:val="21"/>
                <w:szCs w:val="21"/>
                <w:highlight w:val="none"/>
                <w:vertAlign w:val="baseline"/>
                <w:lang w:val="en-US" w:eastAsia="zh-CN"/>
              </w:rPr>
              <w:t>序号</w:t>
            </w:r>
          </w:p>
        </w:tc>
        <w:tc>
          <w:tcPr>
            <w:tcW w:w="1611" w:type="dxa"/>
            <w:vAlign w:val="center"/>
          </w:tcPr>
          <w:p w14:paraId="79574FCC">
            <w:pPr>
              <w:jc w:val="center"/>
              <w:rPr>
                <w:rFonts w:hint="eastAsia" w:ascii="宋体" w:hAnsi="宋体" w:eastAsia="宋体" w:cs="宋体"/>
                <w:bCs/>
                <w:color w:val="auto"/>
                <w:sz w:val="21"/>
                <w:szCs w:val="21"/>
                <w:highlight w:val="none"/>
                <w:vertAlign w:val="baseline"/>
                <w:lang w:val="en-US" w:eastAsia="zh-CN"/>
              </w:rPr>
            </w:pPr>
            <w:r>
              <w:rPr>
                <w:rFonts w:hint="eastAsia" w:ascii="宋体" w:hAnsi="宋体" w:eastAsia="宋体" w:cs="宋体"/>
                <w:bCs/>
                <w:color w:val="auto"/>
                <w:sz w:val="21"/>
                <w:szCs w:val="21"/>
                <w:highlight w:val="none"/>
                <w:vertAlign w:val="baseline"/>
                <w:lang w:val="en-US" w:eastAsia="zh-CN"/>
              </w:rPr>
              <w:t>品名</w:t>
            </w:r>
          </w:p>
        </w:tc>
        <w:tc>
          <w:tcPr>
            <w:tcW w:w="3537" w:type="dxa"/>
            <w:vAlign w:val="center"/>
          </w:tcPr>
          <w:p w14:paraId="2481C003">
            <w:pPr>
              <w:jc w:val="center"/>
              <w:rPr>
                <w:rFonts w:hint="default" w:ascii="宋体" w:hAnsi="宋体" w:eastAsia="宋体" w:cs="宋体"/>
                <w:bCs/>
                <w:color w:val="auto"/>
                <w:sz w:val="21"/>
                <w:szCs w:val="21"/>
                <w:highlight w:val="none"/>
                <w:vertAlign w:val="baseline"/>
                <w:lang w:val="en-US" w:eastAsia="zh-CN"/>
              </w:rPr>
            </w:pPr>
            <w:r>
              <w:rPr>
                <w:rFonts w:hint="eastAsia" w:ascii="宋体" w:hAnsi="宋体" w:eastAsia="宋体" w:cs="宋体"/>
                <w:bCs/>
                <w:color w:val="auto"/>
                <w:sz w:val="21"/>
                <w:szCs w:val="21"/>
                <w:highlight w:val="none"/>
                <w:vertAlign w:val="baseline"/>
                <w:lang w:val="en-US" w:eastAsia="zh-CN"/>
              </w:rPr>
              <w:t>规格型号</w:t>
            </w:r>
          </w:p>
        </w:tc>
        <w:tc>
          <w:tcPr>
            <w:tcW w:w="649" w:type="dxa"/>
          </w:tcPr>
          <w:p w14:paraId="6A250B87">
            <w:pPr>
              <w:jc w:val="left"/>
              <w:rPr>
                <w:rFonts w:hint="default" w:ascii="宋体" w:hAnsi="宋体" w:eastAsia="宋体" w:cs="宋体"/>
                <w:bCs/>
                <w:color w:val="auto"/>
                <w:sz w:val="21"/>
                <w:szCs w:val="21"/>
                <w:highlight w:val="none"/>
                <w:vertAlign w:val="baseline"/>
                <w:lang w:val="en-US" w:eastAsia="zh-CN"/>
              </w:rPr>
            </w:pPr>
            <w:r>
              <w:rPr>
                <w:rFonts w:hint="eastAsia" w:ascii="宋体" w:hAnsi="宋体" w:eastAsia="宋体" w:cs="宋体"/>
                <w:bCs/>
                <w:color w:val="auto"/>
                <w:sz w:val="21"/>
                <w:szCs w:val="21"/>
                <w:highlight w:val="none"/>
                <w:vertAlign w:val="baseline"/>
                <w:lang w:val="en-US" w:eastAsia="zh-CN"/>
              </w:rPr>
              <w:t xml:space="preserve">单位 </w:t>
            </w:r>
          </w:p>
        </w:tc>
        <w:tc>
          <w:tcPr>
            <w:tcW w:w="735" w:type="dxa"/>
          </w:tcPr>
          <w:p w14:paraId="4F0FA8CA">
            <w:pPr>
              <w:jc w:val="left"/>
              <w:rPr>
                <w:rFonts w:hint="eastAsia" w:ascii="宋体" w:hAnsi="宋体" w:eastAsia="宋体" w:cs="宋体"/>
                <w:bCs/>
                <w:color w:val="auto"/>
                <w:sz w:val="21"/>
                <w:szCs w:val="21"/>
                <w:highlight w:val="none"/>
                <w:vertAlign w:val="baseline"/>
                <w:lang w:val="en-US" w:eastAsia="zh-CN"/>
              </w:rPr>
            </w:pPr>
            <w:r>
              <w:rPr>
                <w:rFonts w:hint="eastAsia" w:ascii="宋体" w:hAnsi="宋体" w:eastAsia="宋体" w:cs="宋体"/>
                <w:bCs/>
                <w:color w:val="auto"/>
                <w:sz w:val="21"/>
                <w:szCs w:val="21"/>
                <w:highlight w:val="none"/>
                <w:vertAlign w:val="baseline"/>
                <w:lang w:val="en-US" w:eastAsia="zh-CN"/>
              </w:rPr>
              <w:t>数量</w:t>
            </w:r>
          </w:p>
        </w:tc>
        <w:tc>
          <w:tcPr>
            <w:tcW w:w="784" w:type="dxa"/>
          </w:tcPr>
          <w:p w14:paraId="35E7CC7F">
            <w:pPr>
              <w:jc w:val="left"/>
              <w:rPr>
                <w:rFonts w:hint="default" w:ascii="宋体" w:hAnsi="宋体" w:eastAsia="宋体" w:cs="宋体"/>
                <w:bCs/>
                <w:color w:val="auto"/>
                <w:sz w:val="21"/>
                <w:szCs w:val="21"/>
                <w:highlight w:val="none"/>
                <w:vertAlign w:val="baseline"/>
                <w:lang w:val="en-US" w:eastAsia="zh-CN"/>
              </w:rPr>
            </w:pPr>
            <w:r>
              <w:rPr>
                <w:rFonts w:hint="eastAsia" w:ascii="宋体" w:hAnsi="宋体" w:eastAsia="宋体" w:cs="宋体"/>
                <w:bCs/>
                <w:color w:val="auto"/>
                <w:sz w:val="21"/>
                <w:szCs w:val="21"/>
                <w:highlight w:val="none"/>
                <w:vertAlign w:val="baseline"/>
                <w:lang w:val="en-US" w:eastAsia="zh-CN"/>
              </w:rPr>
              <w:t>含税单价</w:t>
            </w:r>
          </w:p>
        </w:tc>
        <w:tc>
          <w:tcPr>
            <w:tcW w:w="668" w:type="dxa"/>
          </w:tcPr>
          <w:p w14:paraId="16ED94BE">
            <w:pPr>
              <w:jc w:val="left"/>
              <w:rPr>
                <w:rFonts w:hint="default" w:ascii="宋体" w:hAnsi="宋体" w:eastAsia="宋体" w:cs="宋体"/>
                <w:bCs/>
                <w:color w:val="auto"/>
                <w:sz w:val="21"/>
                <w:szCs w:val="21"/>
                <w:highlight w:val="none"/>
                <w:vertAlign w:val="baseline"/>
                <w:lang w:val="en-US"/>
              </w:rPr>
            </w:pPr>
            <w:r>
              <w:rPr>
                <w:rFonts w:hint="eastAsia" w:ascii="宋体" w:hAnsi="宋体" w:eastAsia="宋体" w:cs="宋体"/>
                <w:bCs/>
                <w:color w:val="auto"/>
                <w:sz w:val="21"/>
                <w:szCs w:val="21"/>
                <w:highlight w:val="none"/>
                <w:vertAlign w:val="baseline"/>
                <w:lang w:val="en-US" w:eastAsia="zh-CN"/>
              </w:rPr>
              <w:t>含税总价</w:t>
            </w:r>
          </w:p>
        </w:tc>
        <w:tc>
          <w:tcPr>
            <w:tcW w:w="852" w:type="dxa"/>
          </w:tcPr>
          <w:p w14:paraId="2BE89570">
            <w:pPr>
              <w:ind w:left="210" w:hanging="210" w:hangingChars="100"/>
              <w:jc w:val="left"/>
              <w:rPr>
                <w:rFonts w:hint="default" w:ascii="宋体" w:hAnsi="宋体" w:eastAsia="宋体" w:cs="宋体"/>
                <w:bCs/>
                <w:color w:val="auto"/>
                <w:sz w:val="21"/>
                <w:szCs w:val="21"/>
                <w:highlight w:val="none"/>
                <w:vertAlign w:val="baseline"/>
                <w:lang w:val="en-US" w:eastAsia="zh-CN"/>
              </w:rPr>
            </w:pPr>
            <w:r>
              <w:rPr>
                <w:rFonts w:hint="eastAsia" w:ascii="宋体" w:hAnsi="宋体" w:eastAsia="宋体" w:cs="宋体"/>
                <w:bCs/>
                <w:color w:val="auto"/>
                <w:sz w:val="21"/>
                <w:szCs w:val="21"/>
                <w:highlight w:val="none"/>
                <w:vertAlign w:val="baseline"/>
                <w:lang w:val="en-US" w:eastAsia="zh-CN"/>
              </w:rPr>
              <w:t>不含税总价</w:t>
            </w:r>
          </w:p>
        </w:tc>
        <w:tc>
          <w:tcPr>
            <w:tcW w:w="851" w:type="dxa"/>
          </w:tcPr>
          <w:p w14:paraId="5BC28C51">
            <w:pPr>
              <w:jc w:val="left"/>
              <w:rPr>
                <w:rFonts w:hint="default" w:ascii="宋体" w:hAnsi="宋体" w:eastAsia="宋体" w:cs="宋体"/>
                <w:bCs/>
                <w:color w:val="auto"/>
                <w:sz w:val="21"/>
                <w:szCs w:val="21"/>
                <w:highlight w:val="none"/>
                <w:vertAlign w:val="baseline"/>
                <w:lang w:val="en-US" w:eastAsia="zh-CN"/>
              </w:rPr>
            </w:pPr>
            <w:r>
              <w:rPr>
                <w:rFonts w:hint="eastAsia" w:ascii="宋体" w:hAnsi="宋体" w:eastAsia="宋体" w:cs="宋体"/>
                <w:bCs/>
                <w:color w:val="auto"/>
                <w:sz w:val="21"/>
                <w:szCs w:val="21"/>
                <w:highlight w:val="none"/>
                <w:vertAlign w:val="baseline"/>
                <w:lang w:val="en-US" w:eastAsia="zh-CN"/>
              </w:rPr>
              <w:t>增值税税额</w:t>
            </w:r>
          </w:p>
        </w:tc>
        <w:tc>
          <w:tcPr>
            <w:tcW w:w="707" w:type="dxa"/>
          </w:tcPr>
          <w:p w14:paraId="03D6F2F4">
            <w:pPr>
              <w:jc w:val="left"/>
              <w:rPr>
                <w:rFonts w:hint="default" w:ascii="宋体" w:hAnsi="宋体" w:eastAsia="宋体" w:cs="宋体"/>
                <w:bCs/>
                <w:color w:val="auto"/>
                <w:sz w:val="21"/>
                <w:szCs w:val="21"/>
                <w:highlight w:val="none"/>
                <w:vertAlign w:val="baseline"/>
                <w:lang w:val="en-US" w:eastAsia="zh-CN"/>
              </w:rPr>
            </w:pPr>
            <w:r>
              <w:rPr>
                <w:rFonts w:hint="eastAsia" w:ascii="宋体" w:hAnsi="宋体" w:eastAsia="宋体" w:cs="宋体"/>
                <w:bCs/>
                <w:color w:val="auto"/>
                <w:sz w:val="21"/>
                <w:szCs w:val="21"/>
                <w:highlight w:val="none"/>
                <w:vertAlign w:val="baseline"/>
                <w:lang w:val="en-US" w:eastAsia="zh-CN"/>
              </w:rPr>
              <w:t>投标品牌</w:t>
            </w:r>
          </w:p>
        </w:tc>
      </w:tr>
      <w:tr w14:paraId="17C3D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4" w:type="dxa"/>
            <w:gridSpan w:val="10"/>
          </w:tcPr>
          <w:p w14:paraId="6DE7B36A">
            <w:pPr>
              <w:tabs>
                <w:tab w:val="left" w:pos="1178"/>
              </w:tabs>
              <w:jc w:val="left"/>
              <w:rPr>
                <w:rFonts w:hint="eastAsia" w:ascii="宋体" w:hAnsi="宋体" w:eastAsia="宋体" w:cs="宋体"/>
                <w:bCs/>
                <w:color w:val="auto"/>
                <w:sz w:val="21"/>
                <w:szCs w:val="21"/>
                <w:highlight w:val="none"/>
                <w:vertAlign w:val="baseline"/>
                <w:lang w:val="en-US" w:eastAsia="zh-CN"/>
              </w:rPr>
            </w:pPr>
            <w:r>
              <w:rPr>
                <w:rFonts w:hint="eastAsia" w:ascii="宋体" w:hAnsi="宋体" w:eastAsia="宋体" w:cs="宋体"/>
                <w:b/>
                <w:bCs/>
                <w:i w:val="0"/>
                <w:iCs w:val="0"/>
                <w:color w:val="auto"/>
                <w:kern w:val="0"/>
                <w:sz w:val="22"/>
                <w:szCs w:val="22"/>
                <w:u w:val="none"/>
                <w:lang w:val="en-US" w:eastAsia="zh-CN" w:bidi="ar"/>
              </w:rPr>
              <w:t>一、细格栅及精准除砂系统</w:t>
            </w:r>
          </w:p>
        </w:tc>
      </w:tr>
      <w:tr w14:paraId="38F86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67DE1608">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2"/>
                <w:szCs w:val="22"/>
                <w:u w:val="none"/>
                <w:lang w:val="en-US" w:eastAsia="zh-CN" w:bidi="ar"/>
              </w:rPr>
              <w:t>1</w:t>
            </w:r>
          </w:p>
        </w:tc>
        <w:tc>
          <w:tcPr>
            <w:tcW w:w="1611" w:type="dxa"/>
            <w:vAlign w:val="center"/>
          </w:tcPr>
          <w:p w14:paraId="494CCE53">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阶梯网板格栅</w:t>
            </w:r>
          </w:p>
        </w:tc>
        <w:tc>
          <w:tcPr>
            <w:tcW w:w="3537" w:type="dxa"/>
            <w:vAlign w:val="center"/>
          </w:tcPr>
          <w:p w14:paraId="67882EF4">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B=800mm，b=3mm,N=2.2kW</w:t>
            </w:r>
          </w:p>
        </w:tc>
        <w:tc>
          <w:tcPr>
            <w:tcW w:w="649" w:type="dxa"/>
            <w:vAlign w:val="center"/>
          </w:tcPr>
          <w:p w14:paraId="0E19662C">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套</w:t>
            </w:r>
          </w:p>
        </w:tc>
        <w:tc>
          <w:tcPr>
            <w:tcW w:w="735" w:type="dxa"/>
            <w:vAlign w:val="center"/>
          </w:tcPr>
          <w:p w14:paraId="01C00CC3">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1</w:t>
            </w:r>
          </w:p>
        </w:tc>
        <w:tc>
          <w:tcPr>
            <w:tcW w:w="784" w:type="dxa"/>
          </w:tcPr>
          <w:p w14:paraId="4EBF6AB6">
            <w:pPr>
              <w:jc w:val="left"/>
              <w:rPr>
                <w:rFonts w:hint="eastAsia" w:ascii="宋体" w:hAnsi="宋体" w:eastAsia="宋体" w:cs="宋体"/>
                <w:bCs/>
                <w:color w:val="auto"/>
                <w:sz w:val="21"/>
                <w:szCs w:val="21"/>
                <w:highlight w:val="none"/>
                <w:vertAlign w:val="baseline"/>
                <w:lang w:val="zh-CN"/>
              </w:rPr>
            </w:pPr>
          </w:p>
        </w:tc>
        <w:tc>
          <w:tcPr>
            <w:tcW w:w="668" w:type="dxa"/>
          </w:tcPr>
          <w:p w14:paraId="619D69BD">
            <w:pPr>
              <w:jc w:val="left"/>
              <w:rPr>
                <w:rFonts w:hint="eastAsia" w:ascii="宋体" w:hAnsi="宋体" w:eastAsia="宋体" w:cs="宋体"/>
                <w:bCs/>
                <w:color w:val="auto"/>
                <w:sz w:val="21"/>
                <w:szCs w:val="21"/>
                <w:highlight w:val="none"/>
                <w:vertAlign w:val="baseline"/>
                <w:lang w:val="zh-CN"/>
              </w:rPr>
            </w:pPr>
          </w:p>
        </w:tc>
        <w:tc>
          <w:tcPr>
            <w:tcW w:w="852" w:type="dxa"/>
          </w:tcPr>
          <w:p w14:paraId="177854BC">
            <w:pPr>
              <w:jc w:val="left"/>
              <w:rPr>
                <w:rFonts w:hint="eastAsia" w:ascii="宋体" w:hAnsi="宋体" w:eastAsia="宋体" w:cs="宋体"/>
                <w:bCs/>
                <w:color w:val="auto"/>
                <w:sz w:val="21"/>
                <w:szCs w:val="21"/>
                <w:highlight w:val="none"/>
                <w:vertAlign w:val="baseline"/>
                <w:lang w:val="zh-CN"/>
              </w:rPr>
            </w:pPr>
          </w:p>
        </w:tc>
        <w:tc>
          <w:tcPr>
            <w:tcW w:w="851" w:type="dxa"/>
          </w:tcPr>
          <w:p w14:paraId="48CF261C">
            <w:pPr>
              <w:jc w:val="left"/>
              <w:rPr>
                <w:rFonts w:hint="eastAsia" w:ascii="宋体" w:hAnsi="宋体" w:eastAsia="宋体" w:cs="宋体"/>
                <w:bCs/>
                <w:color w:val="auto"/>
                <w:sz w:val="21"/>
                <w:szCs w:val="21"/>
                <w:highlight w:val="none"/>
                <w:vertAlign w:val="baseline"/>
                <w:lang w:val="zh-CN"/>
              </w:rPr>
            </w:pPr>
          </w:p>
        </w:tc>
        <w:tc>
          <w:tcPr>
            <w:tcW w:w="707" w:type="dxa"/>
          </w:tcPr>
          <w:p w14:paraId="4F9AE9C6">
            <w:pPr>
              <w:jc w:val="left"/>
              <w:rPr>
                <w:rFonts w:hint="eastAsia" w:ascii="宋体" w:hAnsi="宋体" w:eastAsia="宋体" w:cs="宋体"/>
                <w:bCs/>
                <w:color w:val="auto"/>
                <w:sz w:val="21"/>
                <w:szCs w:val="21"/>
                <w:highlight w:val="none"/>
                <w:vertAlign w:val="baseline"/>
                <w:lang w:val="zh-CN"/>
              </w:rPr>
            </w:pPr>
          </w:p>
        </w:tc>
      </w:tr>
      <w:tr w14:paraId="01E83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56A0D098">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2"/>
                <w:szCs w:val="22"/>
                <w:u w:val="none"/>
                <w:lang w:val="en-US" w:eastAsia="zh-CN" w:bidi="ar"/>
              </w:rPr>
              <w:t>2</w:t>
            </w:r>
          </w:p>
        </w:tc>
        <w:tc>
          <w:tcPr>
            <w:tcW w:w="1611" w:type="dxa"/>
            <w:vAlign w:val="center"/>
          </w:tcPr>
          <w:p w14:paraId="1BBB1E06">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高排水压榨机</w:t>
            </w:r>
          </w:p>
        </w:tc>
        <w:tc>
          <w:tcPr>
            <w:tcW w:w="3537" w:type="dxa"/>
            <w:vAlign w:val="center"/>
          </w:tcPr>
          <w:p w14:paraId="22665179">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螺旋外径300mm，出渣高度1500mm，N=2.2kW</w:t>
            </w:r>
          </w:p>
        </w:tc>
        <w:tc>
          <w:tcPr>
            <w:tcW w:w="649" w:type="dxa"/>
            <w:vAlign w:val="center"/>
          </w:tcPr>
          <w:p w14:paraId="3E591E99">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套</w:t>
            </w:r>
          </w:p>
        </w:tc>
        <w:tc>
          <w:tcPr>
            <w:tcW w:w="735" w:type="dxa"/>
            <w:vAlign w:val="center"/>
          </w:tcPr>
          <w:p w14:paraId="4284BC03">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1</w:t>
            </w:r>
          </w:p>
        </w:tc>
        <w:tc>
          <w:tcPr>
            <w:tcW w:w="784" w:type="dxa"/>
          </w:tcPr>
          <w:p w14:paraId="43196F7B">
            <w:pPr>
              <w:jc w:val="left"/>
              <w:rPr>
                <w:rFonts w:hint="eastAsia" w:ascii="宋体" w:hAnsi="宋体" w:eastAsia="宋体" w:cs="宋体"/>
                <w:bCs/>
                <w:color w:val="auto"/>
                <w:sz w:val="21"/>
                <w:szCs w:val="21"/>
                <w:highlight w:val="none"/>
                <w:vertAlign w:val="baseline"/>
                <w:lang w:val="zh-CN"/>
              </w:rPr>
            </w:pPr>
          </w:p>
        </w:tc>
        <w:tc>
          <w:tcPr>
            <w:tcW w:w="668" w:type="dxa"/>
          </w:tcPr>
          <w:p w14:paraId="1392BF63">
            <w:pPr>
              <w:jc w:val="left"/>
              <w:rPr>
                <w:rFonts w:hint="eastAsia" w:ascii="宋体" w:hAnsi="宋体" w:eastAsia="宋体" w:cs="宋体"/>
                <w:bCs/>
                <w:color w:val="auto"/>
                <w:sz w:val="21"/>
                <w:szCs w:val="21"/>
                <w:highlight w:val="none"/>
                <w:vertAlign w:val="baseline"/>
                <w:lang w:val="zh-CN"/>
              </w:rPr>
            </w:pPr>
          </w:p>
        </w:tc>
        <w:tc>
          <w:tcPr>
            <w:tcW w:w="852" w:type="dxa"/>
          </w:tcPr>
          <w:p w14:paraId="2C242BF6">
            <w:pPr>
              <w:jc w:val="left"/>
              <w:rPr>
                <w:rFonts w:hint="eastAsia" w:ascii="宋体" w:hAnsi="宋体" w:eastAsia="宋体" w:cs="宋体"/>
                <w:bCs/>
                <w:color w:val="auto"/>
                <w:sz w:val="21"/>
                <w:szCs w:val="21"/>
                <w:highlight w:val="none"/>
                <w:vertAlign w:val="baseline"/>
                <w:lang w:val="zh-CN"/>
              </w:rPr>
            </w:pPr>
          </w:p>
        </w:tc>
        <w:tc>
          <w:tcPr>
            <w:tcW w:w="851" w:type="dxa"/>
          </w:tcPr>
          <w:p w14:paraId="7F8D57EC">
            <w:pPr>
              <w:jc w:val="left"/>
              <w:rPr>
                <w:rFonts w:hint="eastAsia" w:ascii="宋体" w:hAnsi="宋体" w:eastAsia="宋体" w:cs="宋体"/>
                <w:bCs/>
                <w:color w:val="auto"/>
                <w:sz w:val="21"/>
                <w:szCs w:val="21"/>
                <w:highlight w:val="none"/>
                <w:vertAlign w:val="baseline"/>
                <w:lang w:val="zh-CN"/>
              </w:rPr>
            </w:pPr>
          </w:p>
        </w:tc>
        <w:tc>
          <w:tcPr>
            <w:tcW w:w="707" w:type="dxa"/>
          </w:tcPr>
          <w:p w14:paraId="780C9B38">
            <w:pPr>
              <w:jc w:val="left"/>
              <w:rPr>
                <w:rFonts w:hint="eastAsia" w:ascii="宋体" w:hAnsi="宋体" w:eastAsia="宋体" w:cs="宋体"/>
                <w:bCs/>
                <w:color w:val="auto"/>
                <w:sz w:val="21"/>
                <w:szCs w:val="21"/>
                <w:highlight w:val="none"/>
                <w:vertAlign w:val="baseline"/>
                <w:lang w:val="zh-CN"/>
              </w:rPr>
            </w:pPr>
          </w:p>
        </w:tc>
      </w:tr>
      <w:tr w14:paraId="7F611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0015284E">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2"/>
                <w:szCs w:val="22"/>
                <w:u w:val="none"/>
                <w:lang w:val="en-US" w:eastAsia="zh-CN" w:bidi="ar"/>
              </w:rPr>
              <w:t>3</w:t>
            </w:r>
          </w:p>
        </w:tc>
        <w:tc>
          <w:tcPr>
            <w:tcW w:w="1611" w:type="dxa"/>
            <w:vAlign w:val="center"/>
          </w:tcPr>
          <w:p w14:paraId="45A43E1E">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格栅槽</w:t>
            </w:r>
          </w:p>
        </w:tc>
        <w:tc>
          <w:tcPr>
            <w:tcW w:w="3537" w:type="dxa"/>
            <w:vAlign w:val="center"/>
          </w:tcPr>
          <w:p w14:paraId="56C15F91">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5000x900x1200mm</w:t>
            </w:r>
          </w:p>
        </w:tc>
        <w:tc>
          <w:tcPr>
            <w:tcW w:w="649" w:type="dxa"/>
            <w:vAlign w:val="center"/>
          </w:tcPr>
          <w:p w14:paraId="2141D17C">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套</w:t>
            </w:r>
          </w:p>
        </w:tc>
        <w:tc>
          <w:tcPr>
            <w:tcW w:w="735" w:type="dxa"/>
            <w:vAlign w:val="center"/>
          </w:tcPr>
          <w:p w14:paraId="2A035579">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1</w:t>
            </w:r>
          </w:p>
        </w:tc>
        <w:tc>
          <w:tcPr>
            <w:tcW w:w="784" w:type="dxa"/>
          </w:tcPr>
          <w:p w14:paraId="71F9ED46">
            <w:pPr>
              <w:jc w:val="left"/>
              <w:rPr>
                <w:rFonts w:hint="eastAsia" w:ascii="宋体" w:hAnsi="宋体" w:eastAsia="宋体" w:cs="宋体"/>
                <w:bCs/>
                <w:color w:val="auto"/>
                <w:sz w:val="21"/>
                <w:szCs w:val="21"/>
                <w:highlight w:val="none"/>
                <w:vertAlign w:val="baseline"/>
                <w:lang w:val="zh-CN"/>
              </w:rPr>
            </w:pPr>
          </w:p>
        </w:tc>
        <w:tc>
          <w:tcPr>
            <w:tcW w:w="668" w:type="dxa"/>
          </w:tcPr>
          <w:p w14:paraId="5A2D4414">
            <w:pPr>
              <w:jc w:val="left"/>
              <w:rPr>
                <w:rFonts w:hint="eastAsia" w:ascii="宋体" w:hAnsi="宋体" w:eastAsia="宋体" w:cs="宋体"/>
                <w:bCs/>
                <w:color w:val="auto"/>
                <w:sz w:val="21"/>
                <w:szCs w:val="21"/>
                <w:highlight w:val="none"/>
                <w:vertAlign w:val="baseline"/>
                <w:lang w:val="zh-CN"/>
              </w:rPr>
            </w:pPr>
          </w:p>
        </w:tc>
        <w:tc>
          <w:tcPr>
            <w:tcW w:w="852" w:type="dxa"/>
          </w:tcPr>
          <w:p w14:paraId="12CE93ED">
            <w:pPr>
              <w:jc w:val="left"/>
              <w:rPr>
                <w:rFonts w:hint="eastAsia" w:ascii="宋体" w:hAnsi="宋体" w:eastAsia="宋体" w:cs="宋体"/>
                <w:bCs/>
                <w:color w:val="auto"/>
                <w:sz w:val="21"/>
                <w:szCs w:val="21"/>
                <w:highlight w:val="none"/>
                <w:vertAlign w:val="baseline"/>
                <w:lang w:val="zh-CN"/>
              </w:rPr>
            </w:pPr>
          </w:p>
        </w:tc>
        <w:tc>
          <w:tcPr>
            <w:tcW w:w="851" w:type="dxa"/>
          </w:tcPr>
          <w:p w14:paraId="57FC266B">
            <w:pPr>
              <w:jc w:val="left"/>
              <w:rPr>
                <w:rFonts w:hint="eastAsia" w:ascii="宋体" w:hAnsi="宋体" w:eastAsia="宋体" w:cs="宋体"/>
                <w:bCs/>
                <w:color w:val="auto"/>
                <w:sz w:val="21"/>
                <w:szCs w:val="21"/>
                <w:highlight w:val="none"/>
                <w:vertAlign w:val="baseline"/>
                <w:lang w:val="zh-CN"/>
              </w:rPr>
            </w:pPr>
          </w:p>
        </w:tc>
        <w:tc>
          <w:tcPr>
            <w:tcW w:w="707" w:type="dxa"/>
          </w:tcPr>
          <w:p w14:paraId="54A9A4E4">
            <w:pPr>
              <w:jc w:val="left"/>
              <w:rPr>
                <w:rFonts w:hint="eastAsia" w:ascii="宋体" w:hAnsi="宋体" w:eastAsia="宋体" w:cs="宋体"/>
                <w:bCs/>
                <w:color w:val="auto"/>
                <w:sz w:val="21"/>
                <w:szCs w:val="21"/>
                <w:highlight w:val="none"/>
                <w:vertAlign w:val="baseline"/>
                <w:lang w:val="zh-CN"/>
              </w:rPr>
            </w:pPr>
          </w:p>
        </w:tc>
      </w:tr>
      <w:tr w14:paraId="7557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02928408">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2"/>
                <w:szCs w:val="22"/>
                <w:u w:val="none"/>
                <w:lang w:val="en-US" w:eastAsia="zh-CN" w:bidi="ar"/>
              </w:rPr>
              <w:t>4</w:t>
            </w:r>
          </w:p>
        </w:tc>
        <w:tc>
          <w:tcPr>
            <w:tcW w:w="1611" w:type="dxa"/>
            <w:vAlign w:val="center"/>
          </w:tcPr>
          <w:p w14:paraId="30F5266E">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洗砂分砂一体机</w:t>
            </w:r>
          </w:p>
        </w:tc>
        <w:tc>
          <w:tcPr>
            <w:tcW w:w="3537" w:type="dxa"/>
            <w:vAlign w:val="center"/>
          </w:tcPr>
          <w:p w14:paraId="4548981A">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Q=42m³/h N=0.37kW</w:t>
            </w:r>
          </w:p>
        </w:tc>
        <w:tc>
          <w:tcPr>
            <w:tcW w:w="649" w:type="dxa"/>
            <w:vAlign w:val="center"/>
          </w:tcPr>
          <w:p w14:paraId="1BC300A7">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套</w:t>
            </w:r>
          </w:p>
        </w:tc>
        <w:tc>
          <w:tcPr>
            <w:tcW w:w="735" w:type="dxa"/>
            <w:vAlign w:val="center"/>
          </w:tcPr>
          <w:p w14:paraId="6ABC1E02">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1</w:t>
            </w:r>
          </w:p>
        </w:tc>
        <w:tc>
          <w:tcPr>
            <w:tcW w:w="784" w:type="dxa"/>
          </w:tcPr>
          <w:p w14:paraId="7DAB6F98">
            <w:pPr>
              <w:jc w:val="left"/>
              <w:rPr>
                <w:rFonts w:hint="eastAsia" w:ascii="宋体" w:hAnsi="宋体" w:eastAsia="宋体" w:cs="宋体"/>
                <w:bCs/>
                <w:color w:val="auto"/>
                <w:sz w:val="21"/>
                <w:szCs w:val="21"/>
                <w:highlight w:val="none"/>
                <w:vertAlign w:val="baseline"/>
                <w:lang w:val="zh-CN"/>
              </w:rPr>
            </w:pPr>
          </w:p>
        </w:tc>
        <w:tc>
          <w:tcPr>
            <w:tcW w:w="668" w:type="dxa"/>
          </w:tcPr>
          <w:p w14:paraId="7500D6BB">
            <w:pPr>
              <w:jc w:val="left"/>
              <w:rPr>
                <w:rFonts w:hint="eastAsia" w:ascii="宋体" w:hAnsi="宋体" w:eastAsia="宋体" w:cs="宋体"/>
                <w:bCs/>
                <w:color w:val="auto"/>
                <w:sz w:val="21"/>
                <w:szCs w:val="21"/>
                <w:highlight w:val="none"/>
                <w:vertAlign w:val="baseline"/>
                <w:lang w:val="zh-CN"/>
              </w:rPr>
            </w:pPr>
          </w:p>
        </w:tc>
        <w:tc>
          <w:tcPr>
            <w:tcW w:w="852" w:type="dxa"/>
          </w:tcPr>
          <w:p w14:paraId="5B249C8A">
            <w:pPr>
              <w:jc w:val="left"/>
              <w:rPr>
                <w:rFonts w:hint="eastAsia" w:ascii="宋体" w:hAnsi="宋体" w:eastAsia="宋体" w:cs="宋体"/>
                <w:bCs/>
                <w:color w:val="auto"/>
                <w:sz w:val="21"/>
                <w:szCs w:val="21"/>
                <w:highlight w:val="none"/>
                <w:vertAlign w:val="baseline"/>
                <w:lang w:val="zh-CN"/>
              </w:rPr>
            </w:pPr>
          </w:p>
        </w:tc>
        <w:tc>
          <w:tcPr>
            <w:tcW w:w="851" w:type="dxa"/>
          </w:tcPr>
          <w:p w14:paraId="65841488">
            <w:pPr>
              <w:jc w:val="left"/>
              <w:rPr>
                <w:rFonts w:hint="eastAsia" w:ascii="宋体" w:hAnsi="宋体" w:eastAsia="宋体" w:cs="宋体"/>
                <w:bCs/>
                <w:color w:val="auto"/>
                <w:sz w:val="21"/>
                <w:szCs w:val="21"/>
                <w:highlight w:val="none"/>
                <w:vertAlign w:val="baseline"/>
                <w:lang w:val="zh-CN"/>
              </w:rPr>
            </w:pPr>
          </w:p>
        </w:tc>
        <w:tc>
          <w:tcPr>
            <w:tcW w:w="707" w:type="dxa"/>
          </w:tcPr>
          <w:p w14:paraId="1F336707">
            <w:pPr>
              <w:jc w:val="left"/>
              <w:rPr>
                <w:rFonts w:hint="eastAsia" w:ascii="宋体" w:hAnsi="宋体" w:eastAsia="宋体" w:cs="宋体"/>
                <w:bCs/>
                <w:color w:val="auto"/>
                <w:sz w:val="21"/>
                <w:szCs w:val="21"/>
                <w:highlight w:val="none"/>
                <w:vertAlign w:val="baseline"/>
                <w:lang w:val="zh-CN"/>
              </w:rPr>
            </w:pPr>
          </w:p>
        </w:tc>
      </w:tr>
      <w:tr w14:paraId="47F48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654AB617">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2"/>
                <w:szCs w:val="22"/>
                <w:u w:val="none"/>
                <w:lang w:val="en-US" w:eastAsia="zh-CN" w:bidi="ar"/>
              </w:rPr>
              <w:t>5</w:t>
            </w:r>
          </w:p>
        </w:tc>
        <w:tc>
          <w:tcPr>
            <w:tcW w:w="1611" w:type="dxa"/>
            <w:vAlign w:val="center"/>
          </w:tcPr>
          <w:p w14:paraId="43AA64DD">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精准除砂装置</w:t>
            </w:r>
          </w:p>
        </w:tc>
        <w:tc>
          <w:tcPr>
            <w:tcW w:w="3537" w:type="dxa"/>
            <w:vAlign w:val="center"/>
          </w:tcPr>
          <w:p w14:paraId="052D01AA">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Q=5000m³/d，除砂精度106微米,去除率85%</w:t>
            </w:r>
          </w:p>
        </w:tc>
        <w:tc>
          <w:tcPr>
            <w:tcW w:w="649" w:type="dxa"/>
            <w:vAlign w:val="center"/>
          </w:tcPr>
          <w:p w14:paraId="48816373">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套</w:t>
            </w:r>
          </w:p>
        </w:tc>
        <w:tc>
          <w:tcPr>
            <w:tcW w:w="735" w:type="dxa"/>
            <w:vAlign w:val="center"/>
          </w:tcPr>
          <w:p w14:paraId="4FC6987E">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1</w:t>
            </w:r>
          </w:p>
        </w:tc>
        <w:tc>
          <w:tcPr>
            <w:tcW w:w="784" w:type="dxa"/>
          </w:tcPr>
          <w:p w14:paraId="1A632707">
            <w:pPr>
              <w:jc w:val="left"/>
              <w:rPr>
                <w:rFonts w:hint="eastAsia" w:ascii="宋体" w:hAnsi="宋体" w:eastAsia="宋体" w:cs="宋体"/>
                <w:bCs/>
                <w:color w:val="auto"/>
                <w:sz w:val="21"/>
                <w:szCs w:val="21"/>
                <w:highlight w:val="none"/>
                <w:vertAlign w:val="baseline"/>
                <w:lang w:val="zh-CN"/>
              </w:rPr>
            </w:pPr>
          </w:p>
        </w:tc>
        <w:tc>
          <w:tcPr>
            <w:tcW w:w="668" w:type="dxa"/>
          </w:tcPr>
          <w:p w14:paraId="3AE2599F">
            <w:pPr>
              <w:jc w:val="left"/>
              <w:rPr>
                <w:rFonts w:hint="eastAsia" w:ascii="宋体" w:hAnsi="宋体" w:eastAsia="宋体" w:cs="宋体"/>
                <w:bCs/>
                <w:color w:val="auto"/>
                <w:sz w:val="21"/>
                <w:szCs w:val="21"/>
                <w:highlight w:val="none"/>
                <w:vertAlign w:val="baseline"/>
                <w:lang w:val="zh-CN"/>
              </w:rPr>
            </w:pPr>
          </w:p>
        </w:tc>
        <w:tc>
          <w:tcPr>
            <w:tcW w:w="852" w:type="dxa"/>
          </w:tcPr>
          <w:p w14:paraId="2321360B">
            <w:pPr>
              <w:jc w:val="left"/>
              <w:rPr>
                <w:rFonts w:hint="eastAsia" w:ascii="宋体" w:hAnsi="宋体" w:eastAsia="宋体" w:cs="宋体"/>
                <w:bCs/>
                <w:color w:val="auto"/>
                <w:sz w:val="21"/>
                <w:szCs w:val="21"/>
                <w:highlight w:val="none"/>
                <w:vertAlign w:val="baseline"/>
                <w:lang w:val="zh-CN"/>
              </w:rPr>
            </w:pPr>
          </w:p>
        </w:tc>
        <w:tc>
          <w:tcPr>
            <w:tcW w:w="851" w:type="dxa"/>
          </w:tcPr>
          <w:p w14:paraId="3A9A8914">
            <w:pPr>
              <w:jc w:val="left"/>
              <w:rPr>
                <w:rFonts w:hint="eastAsia" w:ascii="宋体" w:hAnsi="宋体" w:eastAsia="宋体" w:cs="宋体"/>
                <w:bCs/>
                <w:color w:val="auto"/>
                <w:sz w:val="21"/>
                <w:szCs w:val="21"/>
                <w:highlight w:val="none"/>
                <w:vertAlign w:val="baseline"/>
                <w:lang w:val="zh-CN"/>
              </w:rPr>
            </w:pPr>
          </w:p>
        </w:tc>
        <w:tc>
          <w:tcPr>
            <w:tcW w:w="707" w:type="dxa"/>
          </w:tcPr>
          <w:p w14:paraId="7650CC8F">
            <w:pPr>
              <w:jc w:val="left"/>
              <w:rPr>
                <w:rFonts w:hint="eastAsia" w:ascii="宋体" w:hAnsi="宋体" w:eastAsia="宋体" w:cs="宋体"/>
                <w:bCs/>
                <w:color w:val="auto"/>
                <w:sz w:val="21"/>
                <w:szCs w:val="21"/>
                <w:highlight w:val="none"/>
                <w:vertAlign w:val="baseline"/>
                <w:lang w:val="zh-CN"/>
              </w:rPr>
            </w:pPr>
          </w:p>
        </w:tc>
      </w:tr>
      <w:tr w14:paraId="53128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22E3D236">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2"/>
                <w:szCs w:val="22"/>
                <w:u w:val="none"/>
                <w:lang w:val="en-US" w:eastAsia="zh-CN" w:bidi="ar"/>
              </w:rPr>
              <w:t>6</w:t>
            </w:r>
          </w:p>
        </w:tc>
        <w:tc>
          <w:tcPr>
            <w:tcW w:w="1611" w:type="dxa"/>
            <w:vAlign w:val="center"/>
          </w:tcPr>
          <w:p w14:paraId="34FFA559">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抽砂泵</w:t>
            </w:r>
          </w:p>
        </w:tc>
        <w:tc>
          <w:tcPr>
            <w:tcW w:w="3537" w:type="dxa"/>
            <w:vAlign w:val="center"/>
          </w:tcPr>
          <w:p w14:paraId="58C0434E">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Q=40m³/h，H=6m，N=2.2kW</w:t>
            </w:r>
          </w:p>
        </w:tc>
        <w:tc>
          <w:tcPr>
            <w:tcW w:w="649" w:type="dxa"/>
            <w:vAlign w:val="center"/>
          </w:tcPr>
          <w:p w14:paraId="26FE06DA">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套</w:t>
            </w:r>
          </w:p>
        </w:tc>
        <w:tc>
          <w:tcPr>
            <w:tcW w:w="735" w:type="dxa"/>
            <w:vAlign w:val="center"/>
          </w:tcPr>
          <w:p w14:paraId="3E3F4A4E">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2</w:t>
            </w:r>
          </w:p>
        </w:tc>
        <w:tc>
          <w:tcPr>
            <w:tcW w:w="784" w:type="dxa"/>
          </w:tcPr>
          <w:p w14:paraId="1BB1322E">
            <w:pPr>
              <w:jc w:val="left"/>
              <w:rPr>
                <w:rFonts w:hint="eastAsia" w:ascii="宋体" w:hAnsi="宋体" w:eastAsia="宋体" w:cs="宋体"/>
                <w:bCs/>
                <w:color w:val="auto"/>
                <w:sz w:val="21"/>
                <w:szCs w:val="21"/>
                <w:highlight w:val="none"/>
                <w:vertAlign w:val="baseline"/>
                <w:lang w:val="zh-CN"/>
              </w:rPr>
            </w:pPr>
          </w:p>
        </w:tc>
        <w:tc>
          <w:tcPr>
            <w:tcW w:w="668" w:type="dxa"/>
          </w:tcPr>
          <w:p w14:paraId="1BD51048">
            <w:pPr>
              <w:jc w:val="left"/>
              <w:rPr>
                <w:rFonts w:hint="eastAsia" w:ascii="宋体" w:hAnsi="宋体" w:eastAsia="宋体" w:cs="宋体"/>
                <w:bCs/>
                <w:color w:val="auto"/>
                <w:sz w:val="21"/>
                <w:szCs w:val="21"/>
                <w:highlight w:val="none"/>
                <w:vertAlign w:val="baseline"/>
                <w:lang w:val="zh-CN"/>
              </w:rPr>
            </w:pPr>
          </w:p>
        </w:tc>
        <w:tc>
          <w:tcPr>
            <w:tcW w:w="852" w:type="dxa"/>
          </w:tcPr>
          <w:p w14:paraId="330084A4">
            <w:pPr>
              <w:jc w:val="left"/>
              <w:rPr>
                <w:rFonts w:hint="eastAsia" w:ascii="宋体" w:hAnsi="宋体" w:eastAsia="宋体" w:cs="宋体"/>
                <w:bCs/>
                <w:color w:val="auto"/>
                <w:sz w:val="21"/>
                <w:szCs w:val="21"/>
                <w:highlight w:val="none"/>
                <w:vertAlign w:val="baseline"/>
                <w:lang w:val="zh-CN"/>
              </w:rPr>
            </w:pPr>
          </w:p>
        </w:tc>
        <w:tc>
          <w:tcPr>
            <w:tcW w:w="851" w:type="dxa"/>
          </w:tcPr>
          <w:p w14:paraId="32387792">
            <w:pPr>
              <w:jc w:val="left"/>
              <w:rPr>
                <w:rFonts w:hint="eastAsia" w:ascii="宋体" w:hAnsi="宋体" w:eastAsia="宋体" w:cs="宋体"/>
                <w:bCs/>
                <w:color w:val="auto"/>
                <w:sz w:val="21"/>
                <w:szCs w:val="21"/>
                <w:highlight w:val="none"/>
                <w:vertAlign w:val="baseline"/>
                <w:lang w:val="zh-CN"/>
              </w:rPr>
            </w:pPr>
          </w:p>
        </w:tc>
        <w:tc>
          <w:tcPr>
            <w:tcW w:w="707" w:type="dxa"/>
          </w:tcPr>
          <w:p w14:paraId="3462B6ED">
            <w:pPr>
              <w:jc w:val="left"/>
              <w:rPr>
                <w:rFonts w:hint="eastAsia" w:ascii="宋体" w:hAnsi="宋体" w:eastAsia="宋体" w:cs="宋体"/>
                <w:bCs/>
                <w:color w:val="auto"/>
                <w:sz w:val="21"/>
                <w:szCs w:val="21"/>
                <w:highlight w:val="none"/>
                <w:vertAlign w:val="baseline"/>
                <w:lang w:val="zh-CN"/>
              </w:rPr>
            </w:pPr>
          </w:p>
        </w:tc>
      </w:tr>
      <w:tr w14:paraId="4E115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67133051">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2"/>
                <w:szCs w:val="22"/>
                <w:u w:val="none"/>
                <w:lang w:val="en-US" w:eastAsia="zh-CN" w:bidi="ar"/>
              </w:rPr>
              <w:t>7</w:t>
            </w:r>
          </w:p>
        </w:tc>
        <w:tc>
          <w:tcPr>
            <w:tcW w:w="1611" w:type="dxa"/>
            <w:vAlign w:val="center"/>
          </w:tcPr>
          <w:p w14:paraId="3F039681">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全自动给水设备</w:t>
            </w:r>
          </w:p>
        </w:tc>
        <w:tc>
          <w:tcPr>
            <w:tcW w:w="3537" w:type="dxa"/>
            <w:vAlign w:val="center"/>
          </w:tcPr>
          <w:p w14:paraId="5B6812CB">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恒压变频控制,含2台立式冲洗泵Q=16m³/h,H=50m，N=4.0kW(1用1备)ø600气压罐1套，8m³不锈钢水箱一只</w:t>
            </w:r>
          </w:p>
        </w:tc>
        <w:tc>
          <w:tcPr>
            <w:tcW w:w="649" w:type="dxa"/>
            <w:vAlign w:val="center"/>
          </w:tcPr>
          <w:p w14:paraId="16669FB7">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套</w:t>
            </w:r>
          </w:p>
        </w:tc>
        <w:tc>
          <w:tcPr>
            <w:tcW w:w="735" w:type="dxa"/>
            <w:vAlign w:val="center"/>
          </w:tcPr>
          <w:p w14:paraId="1D0E64BB">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1</w:t>
            </w:r>
          </w:p>
        </w:tc>
        <w:tc>
          <w:tcPr>
            <w:tcW w:w="784" w:type="dxa"/>
          </w:tcPr>
          <w:p w14:paraId="46900CAF">
            <w:pPr>
              <w:jc w:val="left"/>
              <w:rPr>
                <w:rFonts w:hint="eastAsia" w:ascii="宋体" w:hAnsi="宋体" w:eastAsia="宋体" w:cs="宋体"/>
                <w:bCs/>
                <w:color w:val="auto"/>
                <w:sz w:val="21"/>
                <w:szCs w:val="21"/>
                <w:highlight w:val="none"/>
                <w:vertAlign w:val="baseline"/>
                <w:lang w:val="zh-CN"/>
              </w:rPr>
            </w:pPr>
          </w:p>
        </w:tc>
        <w:tc>
          <w:tcPr>
            <w:tcW w:w="668" w:type="dxa"/>
          </w:tcPr>
          <w:p w14:paraId="65FC25A1">
            <w:pPr>
              <w:jc w:val="left"/>
              <w:rPr>
                <w:rFonts w:hint="eastAsia" w:ascii="宋体" w:hAnsi="宋体" w:eastAsia="宋体" w:cs="宋体"/>
                <w:bCs/>
                <w:color w:val="auto"/>
                <w:sz w:val="21"/>
                <w:szCs w:val="21"/>
                <w:highlight w:val="none"/>
                <w:vertAlign w:val="baseline"/>
                <w:lang w:val="zh-CN"/>
              </w:rPr>
            </w:pPr>
          </w:p>
        </w:tc>
        <w:tc>
          <w:tcPr>
            <w:tcW w:w="852" w:type="dxa"/>
          </w:tcPr>
          <w:p w14:paraId="00E632A8">
            <w:pPr>
              <w:jc w:val="left"/>
              <w:rPr>
                <w:rFonts w:hint="eastAsia" w:ascii="宋体" w:hAnsi="宋体" w:eastAsia="宋体" w:cs="宋体"/>
                <w:bCs/>
                <w:color w:val="auto"/>
                <w:sz w:val="21"/>
                <w:szCs w:val="21"/>
                <w:highlight w:val="none"/>
                <w:vertAlign w:val="baseline"/>
                <w:lang w:val="zh-CN"/>
              </w:rPr>
            </w:pPr>
          </w:p>
        </w:tc>
        <w:tc>
          <w:tcPr>
            <w:tcW w:w="851" w:type="dxa"/>
          </w:tcPr>
          <w:p w14:paraId="7EE46E86">
            <w:pPr>
              <w:jc w:val="left"/>
              <w:rPr>
                <w:rFonts w:hint="eastAsia" w:ascii="宋体" w:hAnsi="宋体" w:eastAsia="宋体" w:cs="宋体"/>
                <w:bCs/>
                <w:color w:val="auto"/>
                <w:sz w:val="21"/>
                <w:szCs w:val="21"/>
                <w:highlight w:val="none"/>
                <w:vertAlign w:val="baseline"/>
                <w:lang w:val="zh-CN"/>
              </w:rPr>
            </w:pPr>
          </w:p>
        </w:tc>
        <w:tc>
          <w:tcPr>
            <w:tcW w:w="707" w:type="dxa"/>
          </w:tcPr>
          <w:p w14:paraId="027837BB">
            <w:pPr>
              <w:jc w:val="left"/>
              <w:rPr>
                <w:rFonts w:hint="eastAsia" w:ascii="宋体" w:hAnsi="宋体" w:eastAsia="宋体" w:cs="宋体"/>
                <w:bCs/>
                <w:color w:val="auto"/>
                <w:sz w:val="21"/>
                <w:szCs w:val="21"/>
                <w:highlight w:val="none"/>
                <w:vertAlign w:val="baseline"/>
                <w:lang w:val="zh-CN"/>
              </w:rPr>
            </w:pPr>
          </w:p>
        </w:tc>
      </w:tr>
      <w:tr w14:paraId="2187E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0F2CF428">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2"/>
                <w:szCs w:val="22"/>
                <w:u w:val="none"/>
                <w:lang w:val="en-US" w:eastAsia="zh-CN" w:bidi="ar"/>
              </w:rPr>
              <w:t>8</w:t>
            </w:r>
          </w:p>
        </w:tc>
        <w:tc>
          <w:tcPr>
            <w:tcW w:w="1611" w:type="dxa"/>
            <w:vAlign w:val="center"/>
          </w:tcPr>
          <w:p w14:paraId="4A6632C8">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栅渣小车</w:t>
            </w:r>
          </w:p>
        </w:tc>
        <w:tc>
          <w:tcPr>
            <w:tcW w:w="3537" w:type="dxa"/>
            <w:vAlign w:val="center"/>
          </w:tcPr>
          <w:p w14:paraId="5059C42C">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V=0.5m³</w:t>
            </w:r>
          </w:p>
        </w:tc>
        <w:tc>
          <w:tcPr>
            <w:tcW w:w="649" w:type="dxa"/>
            <w:vAlign w:val="center"/>
          </w:tcPr>
          <w:p w14:paraId="67A7E120">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辆</w:t>
            </w:r>
          </w:p>
        </w:tc>
        <w:tc>
          <w:tcPr>
            <w:tcW w:w="735" w:type="dxa"/>
            <w:vAlign w:val="center"/>
          </w:tcPr>
          <w:p w14:paraId="415B7414">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1</w:t>
            </w:r>
          </w:p>
        </w:tc>
        <w:tc>
          <w:tcPr>
            <w:tcW w:w="784" w:type="dxa"/>
          </w:tcPr>
          <w:p w14:paraId="2187FB79">
            <w:pPr>
              <w:jc w:val="left"/>
              <w:rPr>
                <w:rFonts w:hint="eastAsia" w:ascii="宋体" w:hAnsi="宋体" w:eastAsia="宋体" w:cs="宋体"/>
                <w:bCs/>
                <w:color w:val="auto"/>
                <w:sz w:val="21"/>
                <w:szCs w:val="21"/>
                <w:highlight w:val="none"/>
                <w:vertAlign w:val="baseline"/>
                <w:lang w:val="zh-CN"/>
              </w:rPr>
            </w:pPr>
          </w:p>
        </w:tc>
        <w:tc>
          <w:tcPr>
            <w:tcW w:w="668" w:type="dxa"/>
          </w:tcPr>
          <w:p w14:paraId="5ED12495">
            <w:pPr>
              <w:jc w:val="left"/>
              <w:rPr>
                <w:rFonts w:hint="eastAsia" w:ascii="宋体" w:hAnsi="宋体" w:eastAsia="宋体" w:cs="宋体"/>
                <w:bCs/>
                <w:color w:val="auto"/>
                <w:sz w:val="21"/>
                <w:szCs w:val="21"/>
                <w:highlight w:val="none"/>
                <w:vertAlign w:val="baseline"/>
                <w:lang w:val="zh-CN"/>
              </w:rPr>
            </w:pPr>
          </w:p>
        </w:tc>
        <w:tc>
          <w:tcPr>
            <w:tcW w:w="852" w:type="dxa"/>
          </w:tcPr>
          <w:p w14:paraId="6766B9EF">
            <w:pPr>
              <w:jc w:val="left"/>
              <w:rPr>
                <w:rFonts w:hint="eastAsia" w:ascii="宋体" w:hAnsi="宋体" w:eastAsia="宋体" w:cs="宋体"/>
                <w:bCs/>
                <w:color w:val="auto"/>
                <w:sz w:val="21"/>
                <w:szCs w:val="21"/>
                <w:highlight w:val="none"/>
                <w:vertAlign w:val="baseline"/>
                <w:lang w:val="zh-CN"/>
              </w:rPr>
            </w:pPr>
          </w:p>
        </w:tc>
        <w:tc>
          <w:tcPr>
            <w:tcW w:w="851" w:type="dxa"/>
          </w:tcPr>
          <w:p w14:paraId="106E2BDF">
            <w:pPr>
              <w:jc w:val="left"/>
              <w:rPr>
                <w:rFonts w:hint="eastAsia" w:ascii="宋体" w:hAnsi="宋体" w:eastAsia="宋体" w:cs="宋体"/>
                <w:bCs/>
                <w:color w:val="auto"/>
                <w:sz w:val="21"/>
                <w:szCs w:val="21"/>
                <w:highlight w:val="none"/>
                <w:vertAlign w:val="baseline"/>
                <w:lang w:val="zh-CN"/>
              </w:rPr>
            </w:pPr>
          </w:p>
        </w:tc>
        <w:tc>
          <w:tcPr>
            <w:tcW w:w="707" w:type="dxa"/>
          </w:tcPr>
          <w:p w14:paraId="6599B826">
            <w:pPr>
              <w:jc w:val="left"/>
              <w:rPr>
                <w:rFonts w:hint="eastAsia" w:ascii="宋体" w:hAnsi="宋体" w:eastAsia="宋体" w:cs="宋体"/>
                <w:bCs/>
                <w:color w:val="auto"/>
                <w:sz w:val="21"/>
                <w:szCs w:val="21"/>
                <w:highlight w:val="none"/>
                <w:vertAlign w:val="baseline"/>
                <w:lang w:val="zh-CN"/>
              </w:rPr>
            </w:pPr>
          </w:p>
        </w:tc>
      </w:tr>
      <w:tr w14:paraId="44513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119956EE">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9</w:t>
            </w:r>
          </w:p>
        </w:tc>
        <w:tc>
          <w:tcPr>
            <w:tcW w:w="1611" w:type="dxa"/>
            <w:vAlign w:val="center"/>
          </w:tcPr>
          <w:p w14:paraId="54F96FE2">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附属材料</w:t>
            </w:r>
          </w:p>
        </w:tc>
        <w:tc>
          <w:tcPr>
            <w:tcW w:w="3537" w:type="dxa"/>
            <w:vAlign w:val="center"/>
          </w:tcPr>
          <w:p w14:paraId="23B6DA4E">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系统内管道、配套阀门、仪表等</w:t>
            </w:r>
          </w:p>
        </w:tc>
        <w:tc>
          <w:tcPr>
            <w:tcW w:w="649" w:type="dxa"/>
            <w:vAlign w:val="center"/>
          </w:tcPr>
          <w:p w14:paraId="06B533C7">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套</w:t>
            </w:r>
          </w:p>
        </w:tc>
        <w:tc>
          <w:tcPr>
            <w:tcW w:w="735" w:type="dxa"/>
            <w:vAlign w:val="center"/>
          </w:tcPr>
          <w:p w14:paraId="6CC81372">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1</w:t>
            </w:r>
          </w:p>
        </w:tc>
        <w:tc>
          <w:tcPr>
            <w:tcW w:w="784" w:type="dxa"/>
          </w:tcPr>
          <w:p w14:paraId="16C7F993">
            <w:pPr>
              <w:jc w:val="left"/>
              <w:rPr>
                <w:rFonts w:hint="eastAsia" w:ascii="宋体" w:hAnsi="宋体" w:eastAsia="宋体" w:cs="宋体"/>
                <w:bCs/>
                <w:color w:val="auto"/>
                <w:sz w:val="21"/>
                <w:szCs w:val="21"/>
                <w:highlight w:val="none"/>
                <w:vertAlign w:val="baseline"/>
                <w:lang w:val="zh-CN"/>
              </w:rPr>
            </w:pPr>
          </w:p>
        </w:tc>
        <w:tc>
          <w:tcPr>
            <w:tcW w:w="668" w:type="dxa"/>
          </w:tcPr>
          <w:p w14:paraId="23947349">
            <w:pPr>
              <w:jc w:val="left"/>
              <w:rPr>
                <w:rFonts w:hint="eastAsia" w:ascii="宋体" w:hAnsi="宋体" w:eastAsia="宋体" w:cs="宋体"/>
                <w:bCs/>
                <w:color w:val="auto"/>
                <w:sz w:val="21"/>
                <w:szCs w:val="21"/>
                <w:highlight w:val="none"/>
                <w:vertAlign w:val="baseline"/>
                <w:lang w:val="zh-CN"/>
              </w:rPr>
            </w:pPr>
          </w:p>
        </w:tc>
        <w:tc>
          <w:tcPr>
            <w:tcW w:w="852" w:type="dxa"/>
          </w:tcPr>
          <w:p w14:paraId="59C825D2">
            <w:pPr>
              <w:jc w:val="left"/>
              <w:rPr>
                <w:rFonts w:hint="eastAsia" w:ascii="宋体" w:hAnsi="宋体" w:eastAsia="宋体" w:cs="宋体"/>
                <w:bCs/>
                <w:color w:val="auto"/>
                <w:sz w:val="21"/>
                <w:szCs w:val="21"/>
                <w:highlight w:val="none"/>
                <w:vertAlign w:val="baseline"/>
                <w:lang w:val="zh-CN"/>
              </w:rPr>
            </w:pPr>
          </w:p>
        </w:tc>
        <w:tc>
          <w:tcPr>
            <w:tcW w:w="851" w:type="dxa"/>
          </w:tcPr>
          <w:p w14:paraId="500CFFAF">
            <w:pPr>
              <w:jc w:val="left"/>
              <w:rPr>
                <w:rFonts w:hint="eastAsia" w:ascii="宋体" w:hAnsi="宋体" w:eastAsia="宋体" w:cs="宋体"/>
                <w:bCs/>
                <w:color w:val="auto"/>
                <w:sz w:val="21"/>
                <w:szCs w:val="21"/>
                <w:highlight w:val="none"/>
                <w:vertAlign w:val="baseline"/>
                <w:lang w:val="zh-CN"/>
              </w:rPr>
            </w:pPr>
          </w:p>
        </w:tc>
        <w:tc>
          <w:tcPr>
            <w:tcW w:w="707" w:type="dxa"/>
          </w:tcPr>
          <w:p w14:paraId="10028FEB">
            <w:pPr>
              <w:jc w:val="left"/>
              <w:rPr>
                <w:rFonts w:hint="eastAsia" w:ascii="宋体" w:hAnsi="宋体" w:eastAsia="宋体" w:cs="宋体"/>
                <w:bCs/>
                <w:color w:val="auto"/>
                <w:sz w:val="21"/>
                <w:szCs w:val="21"/>
                <w:highlight w:val="none"/>
                <w:vertAlign w:val="baseline"/>
                <w:lang w:val="zh-CN"/>
              </w:rPr>
            </w:pPr>
          </w:p>
        </w:tc>
      </w:tr>
      <w:tr w14:paraId="2BC61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2" w:type="dxa"/>
            <w:gridSpan w:val="5"/>
            <w:vAlign w:val="center"/>
          </w:tcPr>
          <w:p w14:paraId="154DC979">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小计</w:t>
            </w:r>
          </w:p>
        </w:tc>
        <w:tc>
          <w:tcPr>
            <w:tcW w:w="3862" w:type="dxa"/>
            <w:gridSpan w:val="5"/>
          </w:tcPr>
          <w:p w14:paraId="10CA77DF">
            <w:pPr>
              <w:jc w:val="left"/>
              <w:rPr>
                <w:rFonts w:hint="eastAsia" w:ascii="宋体" w:hAnsi="宋体" w:eastAsia="宋体" w:cs="宋体"/>
                <w:bCs/>
                <w:color w:val="auto"/>
                <w:sz w:val="21"/>
                <w:szCs w:val="21"/>
                <w:highlight w:val="none"/>
                <w:vertAlign w:val="baseline"/>
                <w:lang w:val="zh-CN"/>
              </w:rPr>
            </w:pPr>
          </w:p>
        </w:tc>
      </w:tr>
      <w:tr w14:paraId="1AA94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4" w:type="dxa"/>
            <w:gridSpan w:val="10"/>
            <w:vAlign w:val="center"/>
          </w:tcPr>
          <w:p w14:paraId="6A867375">
            <w:pPr>
              <w:jc w:val="left"/>
              <w:rPr>
                <w:rFonts w:hint="eastAsia" w:ascii="宋体" w:hAnsi="宋体" w:eastAsia="宋体" w:cs="宋体"/>
                <w:bCs/>
                <w:color w:val="auto"/>
                <w:sz w:val="21"/>
                <w:szCs w:val="21"/>
                <w:highlight w:val="none"/>
                <w:vertAlign w:val="baseline"/>
                <w:lang w:val="zh-CN"/>
              </w:rPr>
            </w:pPr>
            <w:r>
              <w:rPr>
                <w:rFonts w:hint="eastAsia" w:ascii="宋体" w:hAnsi="宋体" w:eastAsia="宋体" w:cs="宋体"/>
                <w:b/>
                <w:bCs/>
                <w:i w:val="0"/>
                <w:iCs w:val="0"/>
                <w:color w:val="auto"/>
                <w:kern w:val="0"/>
                <w:sz w:val="22"/>
                <w:szCs w:val="22"/>
                <w:u w:val="none"/>
                <w:lang w:val="en-US" w:eastAsia="zh-CN" w:bidi="ar"/>
              </w:rPr>
              <w:t>二、除臭系统</w:t>
            </w:r>
          </w:p>
        </w:tc>
      </w:tr>
      <w:tr w14:paraId="6CEE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4" w:type="dxa"/>
            <w:gridSpan w:val="10"/>
            <w:vAlign w:val="center"/>
          </w:tcPr>
          <w:p w14:paraId="5139C853">
            <w:pPr>
              <w:jc w:val="left"/>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（一）除臭设备主体</w:t>
            </w:r>
          </w:p>
        </w:tc>
      </w:tr>
      <w:tr w14:paraId="42885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5B2CF39D">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1</w:t>
            </w:r>
          </w:p>
        </w:tc>
        <w:tc>
          <w:tcPr>
            <w:tcW w:w="1611" w:type="dxa"/>
            <w:vAlign w:val="center"/>
          </w:tcPr>
          <w:p w14:paraId="6BF6DF1D">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风机</w:t>
            </w:r>
          </w:p>
        </w:tc>
        <w:tc>
          <w:tcPr>
            <w:tcW w:w="3537" w:type="dxa"/>
            <w:vAlign w:val="center"/>
          </w:tcPr>
          <w:p w14:paraId="0AF44BF6">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Q=4000m³/h，P=2500Pa，N=5.5Kw</w:t>
            </w:r>
          </w:p>
        </w:tc>
        <w:tc>
          <w:tcPr>
            <w:tcW w:w="649" w:type="dxa"/>
            <w:vAlign w:val="center"/>
          </w:tcPr>
          <w:p w14:paraId="77B109C7">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台</w:t>
            </w:r>
          </w:p>
        </w:tc>
        <w:tc>
          <w:tcPr>
            <w:tcW w:w="735" w:type="dxa"/>
            <w:vAlign w:val="center"/>
          </w:tcPr>
          <w:p w14:paraId="452831D6">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2</w:t>
            </w:r>
          </w:p>
        </w:tc>
        <w:tc>
          <w:tcPr>
            <w:tcW w:w="784" w:type="dxa"/>
          </w:tcPr>
          <w:p w14:paraId="3235663A">
            <w:pPr>
              <w:jc w:val="left"/>
              <w:rPr>
                <w:rFonts w:hint="eastAsia" w:ascii="宋体" w:hAnsi="宋体" w:eastAsia="宋体" w:cs="宋体"/>
                <w:bCs/>
                <w:color w:val="auto"/>
                <w:sz w:val="21"/>
                <w:szCs w:val="21"/>
                <w:highlight w:val="none"/>
                <w:vertAlign w:val="baseline"/>
                <w:lang w:val="zh-CN"/>
              </w:rPr>
            </w:pPr>
          </w:p>
        </w:tc>
        <w:tc>
          <w:tcPr>
            <w:tcW w:w="668" w:type="dxa"/>
          </w:tcPr>
          <w:p w14:paraId="4E476A33">
            <w:pPr>
              <w:jc w:val="left"/>
              <w:rPr>
                <w:rFonts w:hint="eastAsia" w:ascii="宋体" w:hAnsi="宋体" w:eastAsia="宋体" w:cs="宋体"/>
                <w:bCs/>
                <w:color w:val="auto"/>
                <w:sz w:val="21"/>
                <w:szCs w:val="21"/>
                <w:highlight w:val="none"/>
                <w:vertAlign w:val="baseline"/>
                <w:lang w:val="zh-CN"/>
              </w:rPr>
            </w:pPr>
          </w:p>
        </w:tc>
        <w:tc>
          <w:tcPr>
            <w:tcW w:w="852" w:type="dxa"/>
          </w:tcPr>
          <w:p w14:paraId="6E8DA999">
            <w:pPr>
              <w:jc w:val="left"/>
              <w:rPr>
                <w:rFonts w:hint="eastAsia" w:ascii="宋体" w:hAnsi="宋体" w:eastAsia="宋体" w:cs="宋体"/>
                <w:bCs/>
                <w:color w:val="auto"/>
                <w:sz w:val="21"/>
                <w:szCs w:val="21"/>
                <w:highlight w:val="none"/>
                <w:vertAlign w:val="baseline"/>
                <w:lang w:val="zh-CN"/>
              </w:rPr>
            </w:pPr>
          </w:p>
        </w:tc>
        <w:tc>
          <w:tcPr>
            <w:tcW w:w="851" w:type="dxa"/>
          </w:tcPr>
          <w:p w14:paraId="5EDF2246">
            <w:pPr>
              <w:jc w:val="left"/>
              <w:rPr>
                <w:rFonts w:hint="eastAsia" w:ascii="宋体" w:hAnsi="宋体" w:eastAsia="宋体" w:cs="宋体"/>
                <w:bCs/>
                <w:color w:val="auto"/>
                <w:sz w:val="21"/>
                <w:szCs w:val="21"/>
                <w:highlight w:val="none"/>
                <w:vertAlign w:val="baseline"/>
                <w:lang w:val="zh-CN"/>
              </w:rPr>
            </w:pPr>
          </w:p>
        </w:tc>
        <w:tc>
          <w:tcPr>
            <w:tcW w:w="707" w:type="dxa"/>
          </w:tcPr>
          <w:p w14:paraId="3D126824">
            <w:pPr>
              <w:jc w:val="left"/>
              <w:rPr>
                <w:rFonts w:hint="eastAsia" w:ascii="宋体" w:hAnsi="宋体" w:eastAsia="宋体" w:cs="宋体"/>
                <w:bCs/>
                <w:color w:val="auto"/>
                <w:sz w:val="21"/>
                <w:szCs w:val="21"/>
                <w:highlight w:val="none"/>
                <w:vertAlign w:val="baseline"/>
                <w:lang w:val="zh-CN"/>
              </w:rPr>
            </w:pPr>
          </w:p>
        </w:tc>
      </w:tr>
      <w:tr w14:paraId="4D686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027350D3">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2</w:t>
            </w:r>
          </w:p>
        </w:tc>
        <w:tc>
          <w:tcPr>
            <w:tcW w:w="1611" w:type="dxa"/>
            <w:vAlign w:val="center"/>
          </w:tcPr>
          <w:p w14:paraId="5087A64C">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生物滤池</w:t>
            </w:r>
          </w:p>
        </w:tc>
        <w:tc>
          <w:tcPr>
            <w:tcW w:w="3537" w:type="dxa"/>
            <w:vAlign w:val="center"/>
          </w:tcPr>
          <w:p w14:paraId="4D354073">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处理量：Q=4000m³/h</w:t>
            </w:r>
          </w:p>
        </w:tc>
        <w:tc>
          <w:tcPr>
            <w:tcW w:w="649" w:type="dxa"/>
            <w:vAlign w:val="center"/>
          </w:tcPr>
          <w:p w14:paraId="419835B1">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座</w:t>
            </w:r>
          </w:p>
        </w:tc>
        <w:tc>
          <w:tcPr>
            <w:tcW w:w="735" w:type="dxa"/>
            <w:vAlign w:val="center"/>
          </w:tcPr>
          <w:p w14:paraId="1DC7CEDA">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1</w:t>
            </w:r>
          </w:p>
        </w:tc>
        <w:tc>
          <w:tcPr>
            <w:tcW w:w="784" w:type="dxa"/>
          </w:tcPr>
          <w:p w14:paraId="0A4C63EA">
            <w:pPr>
              <w:jc w:val="left"/>
              <w:rPr>
                <w:rFonts w:hint="eastAsia" w:ascii="宋体" w:hAnsi="宋体" w:eastAsia="宋体" w:cs="宋体"/>
                <w:bCs/>
                <w:color w:val="auto"/>
                <w:sz w:val="21"/>
                <w:szCs w:val="21"/>
                <w:highlight w:val="none"/>
                <w:vertAlign w:val="baseline"/>
                <w:lang w:val="zh-CN"/>
              </w:rPr>
            </w:pPr>
          </w:p>
        </w:tc>
        <w:tc>
          <w:tcPr>
            <w:tcW w:w="668" w:type="dxa"/>
          </w:tcPr>
          <w:p w14:paraId="05F54E6C">
            <w:pPr>
              <w:jc w:val="left"/>
              <w:rPr>
                <w:rFonts w:hint="eastAsia" w:ascii="宋体" w:hAnsi="宋体" w:eastAsia="宋体" w:cs="宋体"/>
                <w:bCs/>
                <w:color w:val="auto"/>
                <w:sz w:val="21"/>
                <w:szCs w:val="21"/>
                <w:highlight w:val="none"/>
                <w:vertAlign w:val="baseline"/>
                <w:lang w:val="zh-CN"/>
              </w:rPr>
            </w:pPr>
          </w:p>
        </w:tc>
        <w:tc>
          <w:tcPr>
            <w:tcW w:w="852" w:type="dxa"/>
          </w:tcPr>
          <w:p w14:paraId="1F8AF59A">
            <w:pPr>
              <w:jc w:val="left"/>
              <w:rPr>
                <w:rFonts w:hint="eastAsia" w:ascii="宋体" w:hAnsi="宋体" w:eastAsia="宋体" w:cs="宋体"/>
                <w:bCs/>
                <w:color w:val="auto"/>
                <w:sz w:val="21"/>
                <w:szCs w:val="21"/>
                <w:highlight w:val="none"/>
                <w:vertAlign w:val="baseline"/>
                <w:lang w:val="zh-CN"/>
              </w:rPr>
            </w:pPr>
          </w:p>
        </w:tc>
        <w:tc>
          <w:tcPr>
            <w:tcW w:w="851" w:type="dxa"/>
          </w:tcPr>
          <w:p w14:paraId="66DA6AC8">
            <w:pPr>
              <w:jc w:val="left"/>
              <w:rPr>
                <w:rFonts w:hint="eastAsia" w:ascii="宋体" w:hAnsi="宋体" w:eastAsia="宋体" w:cs="宋体"/>
                <w:bCs/>
                <w:color w:val="auto"/>
                <w:sz w:val="21"/>
                <w:szCs w:val="21"/>
                <w:highlight w:val="none"/>
                <w:vertAlign w:val="baseline"/>
                <w:lang w:val="zh-CN"/>
              </w:rPr>
            </w:pPr>
          </w:p>
        </w:tc>
        <w:tc>
          <w:tcPr>
            <w:tcW w:w="707" w:type="dxa"/>
          </w:tcPr>
          <w:p w14:paraId="6DF3709B">
            <w:pPr>
              <w:jc w:val="left"/>
              <w:rPr>
                <w:rFonts w:hint="eastAsia" w:ascii="宋体" w:hAnsi="宋体" w:eastAsia="宋体" w:cs="宋体"/>
                <w:bCs/>
                <w:color w:val="auto"/>
                <w:sz w:val="21"/>
                <w:szCs w:val="21"/>
                <w:highlight w:val="none"/>
                <w:vertAlign w:val="baseline"/>
                <w:lang w:val="zh-CN"/>
              </w:rPr>
            </w:pPr>
          </w:p>
        </w:tc>
      </w:tr>
      <w:tr w14:paraId="6F035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5E6F26B8">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3</w:t>
            </w:r>
          </w:p>
        </w:tc>
        <w:tc>
          <w:tcPr>
            <w:tcW w:w="1611" w:type="dxa"/>
            <w:vAlign w:val="center"/>
          </w:tcPr>
          <w:p w14:paraId="4F293161">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预洗段循环水泵</w:t>
            </w:r>
          </w:p>
        </w:tc>
        <w:tc>
          <w:tcPr>
            <w:tcW w:w="3537" w:type="dxa"/>
            <w:vAlign w:val="center"/>
          </w:tcPr>
          <w:p w14:paraId="60135F4D">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Q=8m³/h，H=24.2m，N=4kw</w:t>
            </w:r>
          </w:p>
        </w:tc>
        <w:tc>
          <w:tcPr>
            <w:tcW w:w="649" w:type="dxa"/>
            <w:vAlign w:val="center"/>
          </w:tcPr>
          <w:p w14:paraId="11A7F068">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台</w:t>
            </w:r>
          </w:p>
        </w:tc>
        <w:tc>
          <w:tcPr>
            <w:tcW w:w="735" w:type="dxa"/>
            <w:vAlign w:val="center"/>
          </w:tcPr>
          <w:p w14:paraId="490B8F63">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2</w:t>
            </w:r>
          </w:p>
        </w:tc>
        <w:tc>
          <w:tcPr>
            <w:tcW w:w="784" w:type="dxa"/>
          </w:tcPr>
          <w:p w14:paraId="7912071F">
            <w:pPr>
              <w:jc w:val="left"/>
              <w:rPr>
                <w:rFonts w:hint="eastAsia" w:ascii="宋体" w:hAnsi="宋体" w:eastAsia="宋体" w:cs="宋体"/>
                <w:bCs/>
                <w:color w:val="auto"/>
                <w:sz w:val="21"/>
                <w:szCs w:val="21"/>
                <w:highlight w:val="none"/>
                <w:vertAlign w:val="baseline"/>
                <w:lang w:val="zh-CN"/>
              </w:rPr>
            </w:pPr>
          </w:p>
        </w:tc>
        <w:tc>
          <w:tcPr>
            <w:tcW w:w="668" w:type="dxa"/>
          </w:tcPr>
          <w:p w14:paraId="78F9F68D">
            <w:pPr>
              <w:jc w:val="left"/>
              <w:rPr>
                <w:rFonts w:hint="eastAsia" w:ascii="宋体" w:hAnsi="宋体" w:eastAsia="宋体" w:cs="宋体"/>
                <w:bCs/>
                <w:color w:val="auto"/>
                <w:sz w:val="21"/>
                <w:szCs w:val="21"/>
                <w:highlight w:val="none"/>
                <w:vertAlign w:val="baseline"/>
                <w:lang w:val="zh-CN"/>
              </w:rPr>
            </w:pPr>
          </w:p>
        </w:tc>
        <w:tc>
          <w:tcPr>
            <w:tcW w:w="852" w:type="dxa"/>
          </w:tcPr>
          <w:p w14:paraId="1FF17E5D">
            <w:pPr>
              <w:jc w:val="left"/>
              <w:rPr>
                <w:rFonts w:hint="eastAsia" w:ascii="宋体" w:hAnsi="宋体" w:eastAsia="宋体" w:cs="宋体"/>
                <w:bCs/>
                <w:color w:val="auto"/>
                <w:sz w:val="21"/>
                <w:szCs w:val="21"/>
                <w:highlight w:val="none"/>
                <w:vertAlign w:val="baseline"/>
                <w:lang w:val="zh-CN"/>
              </w:rPr>
            </w:pPr>
          </w:p>
        </w:tc>
        <w:tc>
          <w:tcPr>
            <w:tcW w:w="851" w:type="dxa"/>
          </w:tcPr>
          <w:p w14:paraId="3FADC393">
            <w:pPr>
              <w:jc w:val="left"/>
              <w:rPr>
                <w:rFonts w:hint="eastAsia" w:ascii="宋体" w:hAnsi="宋体" w:eastAsia="宋体" w:cs="宋体"/>
                <w:bCs/>
                <w:color w:val="auto"/>
                <w:sz w:val="21"/>
                <w:szCs w:val="21"/>
                <w:highlight w:val="none"/>
                <w:vertAlign w:val="baseline"/>
                <w:lang w:val="zh-CN"/>
              </w:rPr>
            </w:pPr>
          </w:p>
        </w:tc>
        <w:tc>
          <w:tcPr>
            <w:tcW w:w="707" w:type="dxa"/>
          </w:tcPr>
          <w:p w14:paraId="5D47EF1A">
            <w:pPr>
              <w:jc w:val="left"/>
              <w:rPr>
                <w:rFonts w:hint="eastAsia" w:ascii="宋体" w:hAnsi="宋体" w:eastAsia="宋体" w:cs="宋体"/>
                <w:bCs/>
                <w:color w:val="auto"/>
                <w:sz w:val="21"/>
                <w:szCs w:val="21"/>
                <w:highlight w:val="none"/>
                <w:vertAlign w:val="baseline"/>
                <w:lang w:val="zh-CN"/>
              </w:rPr>
            </w:pPr>
          </w:p>
        </w:tc>
      </w:tr>
      <w:tr w14:paraId="10FA8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0FC1CA95">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4</w:t>
            </w:r>
          </w:p>
        </w:tc>
        <w:tc>
          <w:tcPr>
            <w:tcW w:w="1611" w:type="dxa"/>
            <w:vAlign w:val="center"/>
          </w:tcPr>
          <w:p w14:paraId="4D97F3FD">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生物段水泵</w:t>
            </w:r>
          </w:p>
        </w:tc>
        <w:tc>
          <w:tcPr>
            <w:tcW w:w="3537" w:type="dxa"/>
            <w:vAlign w:val="center"/>
          </w:tcPr>
          <w:p w14:paraId="1C351F8A">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Q=4m³/h，H=24.2m，N=4kw</w:t>
            </w:r>
          </w:p>
        </w:tc>
        <w:tc>
          <w:tcPr>
            <w:tcW w:w="649" w:type="dxa"/>
            <w:vAlign w:val="center"/>
          </w:tcPr>
          <w:p w14:paraId="1CAA1FD0">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台</w:t>
            </w:r>
          </w:p>
        </w:tc>
        <w:tc>
          <w:tcPr>
            <w:tcW w:w="735" w:type="dxa"/>
            <w:vAlign w:val="center"/>
          </w:tcPr>
          <w:p w14:paraId="6882F47F">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1</w:t>
            </w:r>
          </w:p>
        </w:tc>
        <w:tc>
          <w:tcPr>
            <w:tcW w:w="784" w:type="dxa"/>
          </w:tcPr>
          <w:p w14:paraId="451BB265">
            <w:pPr>
              <w:jc w:val="left"/>
              <w:rPr>
                <w:rFonts w:hint="eastAsia" w:ascii="宋体" w:hAnsi="宋体" w:eastAsia="宋体" w:cs="宋体"/>
                <w:bCs/>
                <w:color w:val="auto"/>
                <w:sz w:val="21"/>
                <w:szCs w:val="21"/>
                <w:highlight w:val="none"/>
                <w:vertAlign w:val="baseline"/>
                <w:lang w:val="zh-CN"/>
              </w:rPr>
            </w:pPr>
          </w:p>
        </w:tc>
        <w:tc>
          <w:tcPr>
            <w:tcW w:w="668" w:type="dxa"/>
          </w:tcPr>
          <w:p w14:paraId="719A3823">
            <w:pPr>
              <w:jc w:val="left"/>
              <w:rPr>
                <w:rFonts w:hint="eastAsia" w:ascii="宋体" w:hAnsi="宋体" w:eastAsia="宋体" w:cs="宋体"/>
                <w:bCs/>
                <w:color w:val="auto"/>
                <w:sz w:val="21"/>
                <w:szCs w:val="21"/>
                <w:highlight w:val="none"/>
                <w:vertAlign w:val="baseline"/>
                <w:lang w:val="zh-CN"/>
              </w:rPr>
            </w:pPr>
          </w:p>
        </w:tc>
        <w:tc>
          <w:tcPr>
            <w:tcW w:w="852" w:type="dxa"/>
          </w:tcPr>
          <w:p w14:paraId="0514FF8A">
            <w:pPr>
              <w:jc w:val="left"/>
              <w:rPr>
                <w:rFonts w:hint="eastAsia" w:ascii="宋体" w:hAnsi="宋体" w:eastAsia="宋体" w:cs="宋体"/>
                <w:bCs/>
                <w:color w:val="auto"/>
                <w:sz w:val="21"/>
                <w:szCs w:val="21"/>
                <w:highlight w:val="none"/>
                <w:vertAlign w:val="baseline"/>
                <w:lang w:val="zh-CN"/>
              </w:rPr>
            </w:pPr>
          </w:p>
        </w:tc>
        <w:tc>
          <w:tcPr>
            <w:tcW w:w="851" w:type="dxa"/>
          </w:tcPr>
          <w:p w14:paraId="0DC996FB">
            <w:pPr>
              <w:jc w:val="left"/>
              <w:rPr>
                <w:rFonts w:hint="eastAsia" w:ascii="宋体" w:hAnsi="宋体" w:eastAsia="宋体" w:cs="宋体"/>
                <w:bCs/>
                <w:color w:val="auto"/>
                <w:sz w:val="21"/>
                <w:szCs w:val="21"/>
                <w:highlight w:val="none"/>
                <w:vertAlign w:val="baseline"/>
                <w:lang w:val="zh-CN"/>
              </w:rPr>
            </w:pPr>
          </w:p>
        </w:tc>
        <w:tc>
          <w:tcPr>
            <w:tcW w:w="707" w:type="dxa"/>
          </w:tcPr>
          <w:p w14:paraId="79C3935E">
            <w:pPr>
              <w:jc w:val="left"/>
              <w:rPr>
                <w:rFonts w:hint="eastAsia" w:ascii="宋体" w:hAnsi="宋体" w:eastAsia="宋体" w:cs="宋体"/>
                <w:bCs/>
                <w:color w:val="auto"/>
                <w:sz w:val="21"/>
                <w:szCs w:val="21"/>
                <w:highlight w:val="none"/>
                <w:vertAlign w:val="baseline"/>
                <w:lang w:val="zh-CN"/>
              </w:rPr>
            </w:pPr>
          </w:p>
        </w:tc>
      </w:tr>
      <w:tr w14:paraId="07900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52A7062C">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5</w:t>
            </w:r>
          </w:p>
        </w:tc>
        <w:tc>
          <w:tcPr>
            <w:tcW w:w="1611" w:type="dxa"/>
            <w:vAlign w:val="center"/>
          </w:tcPr>
          <w:p w14:paraId="79F308D4">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预洗段循环水箱</w:t>
            </w:r>
          </w:p>
        </w:tc>
        <w:tc>
          <w:tcPr>
            <w:tcW w:w="3537" w:type="dxa"/>
            <w:vAlign w:val="center"/>
          </w:tcPr>
          <w:p w14:paraId="6D541D94">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1*1*1m(L*W*H)</w:t>
            </w:r>
          </w:p>
        </w:tc>
        <w:tc>
          <w:tcPr>
            <w:tcW w:w="649" w:type="dxa"/>
            <w:vAlign w:val="center"/>
          </w:tcPr>
          <w:p w14:paraId="212A0CB2">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套</w:t>
            </w:r>
          </w:p>
        </w:tc>
        <w:tc>
          <w:tcPr>
            <w:tcW w:w="735" w:type="dxa"/>
            <w:vAlign w:val="center"/>
          </w:tcPr>
          <w:p w14:paraId="25AC7573">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1</w:t>
            </w:r>
          </w:p>
        </w:tc>
        <w:tc>
          <w:tcPr>
            <w:tcW w:w="784" w:type="dxa"/>
          </w:tcPr>
          <w:p w14:paraId="029268FD">
            <w:pPr>
              <w:jc w:val="left"/>
              <w:rPr>
                <w:rFonts w:hint="eastAsia" w:ascii="宋体" w:hAnsi="宋体" w:eastAsia="宋体" w:cs="宋体"/>
                <w:bCs/>
                <w:color w:val="auto"/>
                <w:sz w:val="21"/>
                <w:szCs w:val="21"/>
                <w:highlight w:val="none"/>
                <w:vertAlign w:val="baseline"/>
                <w:lang w:val="zh-CN"/>
              </w:rPr>
            </w:pPr>
          </w:p>
        </w:tc>
        <w:tc>
          <w:tcPr>
            <w:tcW w:w="668" w:type="dxa"/>
          </w:tcPr>
          <w:p w14:paraId="51D2FC5F">
            <w:pPr>
              <w:jc w:val="left"/>
              <w:rPr>
                <w:rFonts w:hint="eastAsia" w:ascii="宋体" w:hAnsi="宋体" w:eastAsia="宋体" w:cs="宋体"/>
                <w:bCs/>
                <w:color w:val="auto"/>
                <w:sz w:val="21"/>
                <w:szCs w:val="21"/>
                <w:highlight w:val="none"/>
                <w:vertAlign w:val="baseline"/>
                <w:lang w:val="zh-CN"/>
              </w:rPr>
            </w:pPr>
          </w:p>
        </w:tc>
        <w:tc>
          <w:tcPr>
            <w:tcW w:w="852" w:type="dxa"/>
          </w:tcPr>
          <w:p w14:paraId="0734C1A6">
            <w:pPr>
              <w:jc w:val="left"/>
              <w:rPr>
                <w:rFonts w:hint="eastAsia" w:ascii="宋体" w:hAnsi="宋体" w:eastAsia="宋体" w:cs="宋体"/>
                <w:bCs/>
                <w:color w:val="auto"/>
                <w:sz w:val="21"/>
                <w:szCs w:val="21"/>
                <w:highlight w:val="none"/>
                <w:vertAlign w:val="baseline"/>
                <w:lang w:val="zh-CN"/>
              </w:rPr>
            </w:pPr>
          </w:p>
        </w:tc>
        <w:tc>
          <w:tcPr>
            <w:tcW w:w="851" w:type="dxa"/>
          </w:tcPr>
          <w:p w14:paraId="40153CDE">
            <w:pPr>
              <w:jc w:val="left"/>
              <w:rPr>
                <w:rFonts w:hint="eastAsia" w:ascii="宋体" w:hAnsi="宋体" w:eastAsia="宋体" w:cs="宋体"/>
                <w:bCs/>
                <w:color w:val="auto"/>
                <w:sz w:val="21"/>
                <w:szCs w:val="21"/>
                <w:highlight w:val="none"/>
                <w:vertAlign w:val="baseline"/>
                <w:lang w:val="zh-CN"/>
              </w:rPr>
            </w:pPr>
          </w:p>
        </w:tc>
        <w:tc>
          <w:tcPr>
            <w:tcW w:w="707" w:type="dxa"/>
          </w:tcPr>
          <w:p w14:paraId="3A73E5F8">
            <w:pPr>
              <w:jc w:val="left"/>
              <w:rPr>
                <w:rFonts w:hint="eastAsia" w:ascii="宋体" w:hAnsi="宋体" w:eastAsia="宋体" w:cs="宋体"/>
                <w:bCs/>
                <w:color w:val="auto"/>
                <w:sz w:val="21"/>
                <w:szCs w:val="21"/>
                <w:highlight w:val="none"/>
                <w:vertAlign w:val="baseline"/>
                <w:lang w:val="zh-CN"/>
              </w:rPr>
            </w:pPr>
          </w:p>
        </w:tc>
      </w:tr>
      <w:tr w14:paraId="31921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368E88D9">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6</w:t>
            </w:r>
          </w:p>
        </w:tc>
        <w:tc>
          <w:tcPr>
            <w:tcW w:w="1611" w:type="dxa"/>
            <w:vAlign w:val="center"/>
          </w:tcPr>
          <w:p w14:paraId="68E8DC92">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生物段加湿水箱</w:t>
            </w:r>
          </w:p>
        </w:tc>
        <w:tc>
          <w:tcPr>
            <w:tcW w:w="3537" w:type="dxa"/>
            <w:vAlign w:val="center"/>
          </w:tcPr>
          <w:p w14:paraId="54B1B476">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1*1*1m(L*W*H)</w:t>
            </w:r>
          </w:p>
        </w:tc>
        <w:tc>
          <w:tcPr>
            <w:tcW w:w="649" w:type="dxa"/>
            <w:vAlign w:val="center"/>
          </w:tcPr>
          <w:p w14:paraId="1DDC05F7">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套</w:t>
            </w:r>
          </w:p>
        </w:tc>
        <w:tc>
          <w:tcPr>
            <w:tcW w:w="735" w:type="dxa"/>
            <w:vAlign w:val="center"/>
          </w:tcPr>
          <w:p w14:paraId="0919D5E1">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1</w:t>
            </w:r>
          </w:p>
        </w:tc>
        <w:tc>
          <w:tcPr>
            <w:tcW w:w="784" w:type="dxa"/>
          </w:tcPr>
          <w:p w14:paraId="52B28552">
            <w:pPr>
              <w:jc w:val="left"/>
              <w:rPr>
                <w:rFonts w:hint="eastAsia" w:ascii="宋体" w:hAnsi="宋体" w:eastAsia="宋体" w:cs="宋体"/>
                <w:bCs/>
                <w:color w:val="auto"/>
                <w:sz w:val="21"/>
                <w:szCs w:val="21"/>
                <w:highlight w:val="none"/>
                <w:vertAlign w:val="baseline"/>
                <w:lang w:val="zh-CN"/>
              </w:rPr>
            </w:pPr>
          </w:p>
        </w:tc>
        <w:tc>
          <w:tcPr>
            <w:tcW w:w="668" w:type="dxa"/>
          </w:tcPr>
          <w:p w14:paraId="5603F9E7">
            <w:pPr>
              <w:jc w:val="left"/>
              <w:rPr>
                <w:rFonts w:hint="eastAsia" w:ascii="宋体" w:hAnsi="宋体" w:eastAsia="宋体" w:cs="宋体"/>
                <w:bCs/>
                <w:color w:val="auto"/>
                <w:sz w:val="21"/>
                <w:szCs w:val="21"/>
                <w:highlight w:val="none"/>
                <w:vertAlign w:val="baseline"/>
                <w:lang w:val="zh-CN"/>
              </w:rPr>
            </w:pPr>
          </w:p>
        </w:tc>
        <w:tc>
          <w:tcPr>
            <w:tcW w:w="852" w:type="dxa"/>
          </w:tcPr>
          <w:p w14:paraId="31C86A8A">
            <w:pPr>
              <w:jc w:val="left"/>
              <w:rPr>
                <w:rFonts w:hint="eastAsia" w:ascii="宋体" w:hAnsi="宋体" w:eastAsia="宋体" w:cs="宋体"/>
                <w:bCs/>
                <w:color w:val="auto"/>
                <w:sz w:val="21"/>
                <w:szCs w:val="21"/>
                <w:highlight w:val="none"/>
                <w:vertAlign w:val="baseline"/>
                <w:lang w:val="zh-CN"/>
              </w:rPr>
            </w:pPr>
          </w:p>
        </w:tc>
        <w:tc>
          <w:tcPr>
            <w:tcW w:w="851" w:type="dxa"/>
          </w:tcPr>
          <w:p w14:paraId="590D01A6">
            <w:pPr>
              <w:jc w:val="left"/>
              <w:rPr>
                <w:rFonts w:hint="eastAsia" w:ascii="宋体" w:hAnsi="宋体" w:eastAsia="宋体" w:cs="宋体"/>
                <w:bCs/>
                <w:color w:val="auto"/>
                <w:sz w:val="21"/>
                <w:szCs w:val="21"/>
                <w:highlight w:val="none"/>
                <w:vertAlign w:val="baseline"/>
                <w:lang w:val="zh-CN"/>
              </w:rPr>
            </w:pPr>
          </w:p>
        </w:tc>
        <w:tc>
          <w:tcPr>
            <w:tcW w:w="707" w:type="dxa"/>
          </w:tcPr>
          <w:p w14:paraId="06AEE5E8">
            <w:pPr>
              <w:jc w:val="left"/>
              <w:rPr>
                <w:rFonts w:hint="eastAsia" w:ascii="宋体" w:hAnsi="宋体" w:eastAsia="宋体" w:cs="宋体"/>
                <w:bCs/>
                <w:color w:val="auto"/>
                <w:sz w:val="21"/>
                <w:szCs w:val="21"/>
                <w:highlight w:val="none"/>
                <w:vertAlign w:val="baseline"/>
                <w:lang w:val="zh-CN"/>
              </w:rPr>
            </w:pPr>
          </w:p>
        </w:tc>
      </w:tr>
      <w:tr w14:paraId="52842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2B4542A4">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7</w:t>
            </w:r>
          </w:p>
        </w:tc>
        <w:tc>
          <w:tcPr>
            <w:tcW w:w="1611" w:type="dxa"/>
            <w:vAlign w:val="center"/>
          </w:tcPr>
          <w:p w14:paraId="1C38D25A">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电控柜</w:t>
            </w:r>
          </w:p>
        </w:tc>
        <w:tc>
          <w:tcPr>
            <w:tcW w:w="3537" w:type="dxa"/>
            <w:vAlign w:val="center"/>
          </w:tcPr>
          <w:p w14:paraId="05B13DCD">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0.8*0.6*1.8m(L*W*H)</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室外防雨型</w:t>
            </w:r>
          </w:p>
        </w:tc>
        <w:tc>
          <w:tcPr>
            <w:tcW w:w="649" w:type="dxa"/>
            <w:vAlign w:val="center"/>
          </w:tcPr>
          <w:p w14:paraId="551FEF0B">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套</w:t>
            </w:r>
          </w:p>
        </w:tc>
        <w:tc>
          <w:tcPr>
            <w:tcW w:w="735" w:type="dxa"/>
            <w:vAlign w:val="center"/>
          </w:tcPr>
          <w:p w14:paraId="1E20DFE0">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1</w:t>
            </w:r>
          </w:p>
        </w:tc>
        <w:tc>
          <w:tcPr>
            <w:tcW w:w="784" w:type="dxa"/>
          </w:tcPr>
          <w:p w14:paraId="7A778179">
            <w:pPr>
              <w:jc w:val="left"/>
              <w:rPr>
                <w:rFonts w:hint="eastAsia" w:ascii="宋体" w:hAnsi="宋体" w:eastAsia="宋体" w:cs="宋体"/>
                <w:bCs/>
                <w:color w:val="auto"/>
                <w:sz w:val="21"/>
                <w:szCs w:val="21"/>
                <w:highlight w:val="none"/>
                <w:vertAlign w:val="baseline"/>
                <w:lang w:val="zh-CN"/>
              </w:rPr>
            </w:pPr>
          </w:p>
        </w:tc>
        <w:tc>
          <w:tcPr>
            <w:tcW w:w="668" w:type="dxa"/>
          </w:tcPr>
          <w:p w14:paraId="40DD03E6">
            <w:pPr>
              <w:jc w:val="left"/>
              <w:rPr>
                <w:rFonts w:hint="eastAsia" w:ascii="宋体" w:hAnsi="宋体" w:eastAsia="宋体" w:cs="宋体"/>
                <w:bCs/>
                <w:color w:val="auto"/>
                <w:sz w:val="21"/>
                <w:szCs w:val="21"/>
                <w:highlight w:val="none"/>
                <w:vertAlign w:val="baseline"/>
                <w:lang w:val="zh-CN"/>
              </w:rPr>
            </w:pPr>
          </w:p>
        </w:tc>
        <w:tc>
          <w:tcPr>
            <w:tcW w:w="852" w:type="dxa"/>
          </w:tcPr>
          <w:p w14:paraId="11D45E13">
            <w:pPr>
              <w:jc w:val="left"/>
              <w:rPr>
                <w:rFonts w:hint="eastAsia" w:ascii="宋体" w:hAnsi="宋体" w:eastAsia="宋体" w:cs="宋体"/>
                <w:bCs/>
                <w:color w:val="auto"/>
                <w:sz w:val="21"/>
                <w:szCs w:val="21"/>
                <w:highlight w:val="none"/>
                <w:vertAlign w:val="baseline"/>
                <w:lang w:val="zh-CN"/>
              </w:rPr>
            </w:pPr>
          </w:p>
        </w:tc>
        <w:tc>
          <w:tcPr>
            <w:tcW w:w="851" w:type="dxa"/>
          </w:tcPr>
          <w:p w14:paraId="4206E090">
            <w:pPr>
              <w:jc w:val="left"/>
              <w:rPr>
                <w:rFonts w:hint="eastAsia" w:ascii="宋体" w:hAnsi="宋体" w:eastAsia="宋体" w:cs="宋体"/>
                <w:bCs/>
                <w:color w:val="auto"/>
                <w:sz w:val="21"/>
                <w:szCs w:val="21"/>
                <w:highlight w:val="none"/>
                <w:vertAlign w:val="baseline"/>
                <w:lang w:val="zh-CN"/>
              </w:rPr>
            </w:pPr>
          </w:p>
        </w:tc>
        <w:tc>
          <w:tcPr>
            <w:tcW w:w="707" w:type="dxa"/>
          </w:tcPr>
          <w:p w14:paraId="3E8FB0AA">
            <w:pPr>
              <w:jc w:val="left"/>
              <w:rPr>
                <w:rFonts w:hint="eastAsia" w:ascii="宋体" w:hAnsi="宋体" w:eastAsia="宋体" w:cs="宋体"/>
                <w:bCs/>
                <w:color w:val="auto"/>
                <w:sz w:val="21"/>
                <w:szCs w:val="21"/>
                <w:highlight w:val="none"/>
                <w:vertAlign w:val="baseline"/>
                <w:lang w:val="zh-CN"/>
              </w:rPr>
            </w:pPr>
          </w:p>
        </w:tc>
      </w:tr>
      <w:tr w14:paraId="7C4DB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6448D4D6">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8</w:t>
            </w:r>
          </w:p>
        </w:tc>
        <w:tc>
          <w:tcPr>
            <w:tcW w:w="1611" w:type="dxa"/>
            <w:vAlign w:val="center"/>
          </w:tcPr>
          <w:p w14:paraId="580F9F70">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烟囱</w:t>
            </w:r>
          </w:p>
        </w:tc>
        <w:tc>
          <w:tcPr>
            <w:tcW w:w="3537" w:type="dxa"/>
            <w:vAlign w:val="center"/>
          </w:tcPr>
          <w:p w14:paraId="35AEE60B">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DN400*15m(H)</w:t>
            </w:r>
          </w:p>
        </w:tc>
        <w:tc>
          <w:tcPr>
            <w:tcW w:w="649" w:type="dxa"/>
            <w:vAlign w:val="center"/>
          </w:tcPr>
          <w:p w14:paraId="3B562EBB">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套</w:t>
            </w:r>
          </w:p>
        </w:tc>
        <w:tc>
          <w:tcPr>
            <w:tcW w:w="735" w:type="dxa"/>
            <w:vAlign w:val="center"/>
          </w:tcPr>
          <w:p w14:paraId="74B53AD2">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1</w:t>
            </w:r>
          </w:p>
        </w:tc>
        <w:tc>
          <w:tcPr>
            <w:tcW w:w="784" w:type="dxa"/>
          </w:tcPr>
          <w:p w14:paraId="4B2CE059">
            <w:pPr>
              <w:jc w:val="left"/>
              <w:rPr>
                <w:rFonts w:hint="eastAsia" w:ascii="宋体" w:hAnsi="宋体" w:eastAsia="宋体" w:cs="宋体"/>
                <w:bCs/>
                <w:color w:val="auto"/>
                <w:sz w:val="21"/>
                <w:szCs w:val="21"/>
                <w:highlight w:val="none"/>
                <w:vertAlign w:val="baseline"/>
                <w:lang w:val="zh-CN"/>
              </w:rPr>
            </w:pPr>
          </w:p>
        </w:tc>
        <w:tc>
          <w:tcPr>
            <w:tcW w:w="668" w:type="dxa"/>
          </w:tcPr>
          <w:p w14:paraId="4F29160E">
            <w:pPr>
              <w:jc w:val="left"/>
              <w:rPr>
                <w:rFonts w:hint="eastAsia" w:ascii="宋体" w:hAnsi="宋体" w:eastAsia="宋体" w:cs="宋体"/>
                <w:bCs/>
                <w:color w:val="auto"/>
                <w:sz w:val="21"/>
                <w:szCs w:val="21"/>
                <w:highlight w:val="none"/>
                <w:vertAlign w:val="baseline"/>
                <w:lang w:val="zh-CN"/>
              </w:rPr>
            </w:pPr>
          </w:p>
        </w:tc>
        <w:tc>
          <w:tcPr>
            <w:tcW w:w="852" w:type="dxa"/>
          </w:tcPr>
          <w:p w14:paraId="695975FF">
            <w:pPr>
              <w:jc w:val="left"/>
              <w:rPr>
                <w:rFonts w:hint="eastAsia" w:ascii="宋体" w:hAnsi="宋体" w:eastAsia="宋体" w:cs="宋体"/>
                <w:bCs/>
                <w:color w:val="auto"/>
                <w:sz w:val="21"/>
                <w:szCs w:val="21"/>
                <w:highlight w:val="none"/>
                <w:vertAlign w:val="baseline"/>
                <w:lang w:val="zh-CN"/>
              </w:rPr>
            </w:pPr>
          </w:p>
        </w:tc>
        <w:tc>
          <w:tcPr>
            <w:tcW w:w="851" w:type="dxa"/>
          </w:tcPr>
          <w:p w14:paraId="1FD08B8A">
            <w:pPr>
              <w:jc w:val="left"/>
              <w:rPr>
                <w:rFonts w:hint="eastAsia" w:ascii="宋体" w:hAnsi="宋体" w:eastAsia="宋体" w:cs="宋体"/>
                <w:bCs/>
                <w:color w:val="auto"/>
                <w:sz w:val="21"/>
                <w:szCs w:val="21"/>
                <w:highlight w:val="none"/>
                <w:vertAlign w:val="baseline"/>
                <w:lang w:val="zh-CN"/>
              </w:rPr>
            </w:pPr>
          </w:p>
        </w:tc>
        <w:tc>
          <w:tcPr>
            <w:tcW w:w="707" w:type="dxa"/>
          </w:tcPr>
          <w:p w14:paraId="63BD4C94">
            <w:pPr>
              <w:jc w:val="left"/>
              <w:rPr>
                <w:rFonts w:hint="eastAsia" w:ascii="宋体" w:hAnsi="宋体" w:eastAsia="宋体" w:cs="宋体"/>
                <w:bCs/>
                <w:color w:val="auto"/>
                <w:sz w:val="21"/>
                <w:szCs w:val="21"/>
                <w:highlight w:val="none"/>
                <w:vertAlign w:val="baseline"/>
                <w:lang w:val="zh-CN"/>
              </w:rPr>
            </w:pPr>
          </w:p>
        </w:tc>
      </w:tr>
      <w:tr w14:paraId="4DBB5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2673D965">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9</w:t>
            </w:r>
          </w:p>
        </w:tc>
        <w:tc>
          <w:tcPr>
            <w:tcW w:w="1611" w:type="dxa"/>
            <w:vAlign w:val="center"/>
          </w:tcPr>
          <w:p w14:paraId="43CFC8CB">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碱洗循环水泵</w:t>
            </w:r>
          </w:p>
        </w:tc>
        <w:tc>
          <w:tcPr>
            <w:tcW w:w="3537" w:type="dxa"/>
            <w:vAlign w:val="center"/>
          </w:tcPr>
          <w:p w14:paraId="0B683336">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Q=8m³/h，H=24.2m，N=4kw</w:t>
            </w:r>
          </w:p>
        </w:tc>
        <w:tc>
          <w:tcPr>
            <w:tcW w:w="649" w:type="dxa"/>
            <w:vAlign w:val="center"/>
          </w:tcPr>
          <w:p w14:paraId="2B24C673">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台</w:t>
            </w:r>
          </w:p>
        </w:tc>
        <w:tc>
          <w:tcPr>
            <w:tcW w:w="735" w:type="dxa"/>
            <w:vAlign w:val="center"/>
          </w:tcPr>
          <w:p w14:paraId="0D282331">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2</w:t>
            </w:r>
          </w:p>
        </w:tc>
        <w:tc>
          <w:tcPr>
            <w:tcW w:w="784" w:type="dxa"/>
          </w:tcPr>
          <w:p w14:paraId="3A7BA5A6">
            <w:pPr>
              <w:jc w:val="left"/>
              <w:rPr>
                <w:rFonts w:hint="eastAsia" w:ascii="宋体" w:hAnsi="宋体" w:eastAsia="宋体" w:cs="宋体"/>
                <w:bCs/>
                <w:color w:val="auto"/>
                <w:sz w:val="21"/>
                <w:szCs w:val="21"/>
                <w:highlight w:val="none"/>
                <w:vertAlign w:val="baseline"/>
                <w:lang w:val="zh-CN"/>
              </w:rPr>
            </w:pPr>
          </w:p>
        </w:tc>
        <w:tc>
          <w:tcPr>
            <w:tcW w:w="668" w:type="dxa"/>
          </w:tcPr>
          <w:p w14:paraId="6AA40272">
            <w:pPr>
              <w:jc w:val="left"/>
              <w:rPr>
                <w:rFonts w:hint="eastAsia" w:ascii="宋体" w:hAnsi="宋体" w:eastAsia="宋体" w:cs="宋体"/>
                <w:bCs/>
                <w:color w:val="auto"/>
                <w:sz w:val="21"/>
                <w:szCs w:val="21"/>
                <w:highlight w:val="none"/>
                <w:vertAlign w:val="baseline"/>
                <w:lang w:val="zh-CN"/>
              </w:rPr>
            </w:pPr>
          </w:p>
        </w:tc>
        <w:tc>
          <w:tcPr>
            <w:tcW w:w="852" w:type="dxa"/>
          </w:tcPr>
          <w:p w14:paraId="738620B1">
            <w:pPr>
              <w:jc w:val="left"/>
              <w:rPr>
                <w:rFonts w:hint="eastAsia" w:ascii="宋体" w:hAnsi="宋体" w:eastAsia="宋体" w:cs="宋体"/>
                <w:bCs/>
                <w:color w:val="auto"/>
                <w:sz w:val="21"/>
                <w:szCs w:val="21"/>
                <w:highlight w:val="none"/>
                <w:vertAlign w:val="baseline"/>
                <w:lang w:val="zh-CN"/>
              </w:rPr>
            </w:pPr>
          </w:p>
        </w:tc>
        <w:tc>
          <w:tcPr>
            <w:tcW w:w="851" w:type="dxa"/>
          </w:tcPr>
          <w:p w14:paraId="48E88D93">
            <w:pPr>
              <w:jc w:val="left"/>
              <w:rPr>
                <w:rFonts w:hint="eastAsia" w:ascii="宋体" w:hAnsi="宋体" w:eastAsia="宋体" w:cs="宋体"/>
                <w:bCs/>
                <w:color w:val="auto"/>
                <w:sz w:val="21"/>
                <w:szCs w:val="21"/>
                <w:highlight w:val="none"/>
                <w:vertAlign w:val="baseline"/>
                <w:lang w:val="zh-CN"/>
              </w:rPr>
            </w:pPr>
          </w:p>
        </w:tc>
        <w:tc>
          <w:tcPr>
            <w:tcW w:w="707" w:type="dxa"/>
          </w:tcPr>
          <w:p w14:paraId="2A73B881">
            <w:pPr>
              <w:jc w:val="left"/>
              <w:rPr>
                <w:rFonts w:hint="eastAsia" w:ascii="宋体" w:hAnsi="宋体" w:eastAsia="宋体" w:cs="宋体"/>
                <w:bCs/>
                <w:color w:val="auto"/>
                <w:sz w:val="21"/>
                <w:szCs w:val="21"/>
                <w:highlight w:val="none"/>
                <w:vertAlign w:val="baseline"/>
                <w:lang w:val="zh-CN"/>
              </w:rPr>
            </w:pPr>
          </w:p>
        </w:tc>
      </w:tr>
      <w:tr w14:paraId="2F9D2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56DDD0A1">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10</w:t>
            </w:r>
          </w:p>
        </w:tc>
        <w:tc>
          <w:tcPr>
            <w:tcW w:w="1611" w:type="dxa"/>
            <w:vAlign w:val="center"/>
          </w:tcPr>
          <w:p w14:paraId="05B48FAE">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碱洗塔</w:t>
            </w:r>
          </w:p>
        </w:tc>
        <w:tc>
          <w:tcPr>
            <w:tcW w:w="3537" w:type="dxa"/>
            <w:vAlign w:val="center"/>
          </w:tcPr>
          <w:p w14:paraId="332FA559">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φ1.6m*4.3m（H)</w:t>
            </w:r>
          </w:p>
        </w:tc>
        <w:tc>
          <w:tcPr>
            <w:tcW w:w="649" w:type="dxa"/>
            <w:vAlign w:val="center"/>
          </w:tcPr>
          <w:p w14:paraId="104893B2">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套</w:t>
            </w:r>
          </w:p>
        </w:tc>
        <w:tc>
          <w:tcPr>
            <w:tcW w:w="735" w:type="dxa"/>
            <w:vAlign w:val="center"/>
          </w:tcPr>
          <w:p w14:paraId="48BF59CE">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1</w:t>
            </w:r>
          </w:p>
        </w:tc>
        <w:tc>
          <w:tcPr>
            <w:tcW w:w="784" w:type="dxa"/>
          </w:tcPr>
          <w:p w14:paraId="3D5DEC5E">
            <w:pPr>
              <w:jc w:val="left"/>
              <w:rPr>
                <w:rFonts w:hint="eastAsia" w:ascii="宋体" w:hAnsi="宋体" w:eastAsia="宋体" w:cs="宋体"/>
                <w:bCs/>
                <w:color w:val="auto"/>
                <w:sz w:val="21"/>
                <w:szCs w:val="21"/>
                <w:highlight w:val="none"/>
                <w:vertAlign w:val="baseline"/>
                <w:lang w:val="zh-CN"/>
              </w:rPr>
            </w:pPr>
          </w:p>
        </w:tc>
        <w:tc>
          <w:tcPr>
            <w:tcW w:w="668" w:type="dxa"/>
          </w:tcPr>
          <w:p w14:paraId="33FA50CD">
            <w:pPr>
              <w:jc w:val="left"/>
              <w:rPr>
                <w:rFonts w:hint="eastAsia" w:ascii="宋体" w:hAnsi="宋体" w:eastAsia="宋体" w:cs="宋体"/>
                <w:bCs/>
                <w:color w:val="auto"/>
                <w:sz w:val="21"/>
                <w:szCs w:val="21"/>
                <w:highlight w:val="none"/>
                <w:vertAlign w:val="baseline"/>
                <w:lang w:val="zh-CN"/>
              </w:rPr>
            </w:pPr>
          </w:p>
        </w:tc>
        <w:tc>
          <w:tcPr>
            <w:tcW w:w="852" w:type="dxa"/>
          </w:tcPr>
          <w:p w14:paraId="0C2BCDF2">
            <w:pPr>
              <w:jc w:val="left"/>
              <w:rPr>
                <w:rFonts w:hint="eastAsia" w:ascii="宋体" w:hAnsi="宋体" w:eastAsia="宋体" w:cs="宋体"/>
                <w:bCs/>
                <w:color w:val="auto"/>
                <w:sz w:val="21"/>
                <w:szCs w:val="21"/>
                <w:highlight w:val="none"/>
                <w:vertAlign w:val="baseline"/>
                <w:lang w:val="zh-CN"/>
              </w:rPr>
            </w:pPr>
          </w:p>
        </w:tc>
        <w:tc>
          <w:tcPr>
            <w:tcW w:w="851" w:type="dxa"/>
          </w:tcPr>
          <w:p w14:paraId="2B91F581">
            <w:pPr>
              <w:jc w:val="left"/>
              <w:rPr>
                <w:rFonts w:hint="eastAsia" w:ascii="宋体" w:hAnsi="宋体" w:eastAsia="宋体" w:cs="宋体"/>
                <w:bCs/>
                <w:color w:val="auto"/>
                <w:sz w:val="21"/>
                <w:szCs w:val="21"/>
                <w:highlight w:val="none"/>
                <w:vertAlign w:val="baseline"/>
                <w:lang w:val="zh-CN"/>
              </w:rPr>
            </w:pPr>
          </w:p>
        </w:tc>
        <w:tc>
          <w:tcPr>
            <w:tcW w:w="707" w:type="dxa"/>
          </w:tcPr>
          <w:p w14:paraId="6ABDB807">
            <w:pPr>
              <w:jc w:val="left"/>
              <w:rPr>
                <w:rFonts w:hint="eastAsia" w:ascii="宋体" w:hAnsi="宋体" w:eastAsia="宋体" w:cs="宋体"/>
                <w:bCs/>
                <w:color w:val="auto"/>
                <w:sz w:val="21"/>
                <w:szCs w:val="21"/>
                <w:highlight w:val="none"/>
                <w:vertAlign w:val="baseline"/>
                <w:lang w:val="zh-CN"/>
              </w:rPr>
            </w:pPr>
          </w:p>
        </w:tc>
      </w:tr>
      <w:tr w14:paraId="5297E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626941C7">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11</w:t>
            </w:r>
          </w:p>
        </w:tc>
        <w:tc>
          <w:tcPr>
            <w:tcW w:w="1611" w:type="dxa"/>
            <w:vAlign w:val="center"/>
          </w:tcPr>
          <w:p w14:paraId="15B6F3E1">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一体化加药装置</w:t>
            </w:r>
          </w:p>
        </w:tc>
        <w:tc>
          <w:tcPr>
            <w:tcW w:w="3537" w:type="dxa"/>
            <w:vAlign w:val="center"/>
          </w:tcPr>
          <w:p w14:paraId="256572BD">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加药桶V=1000L，加药泵100L/h，0.25kw</w:t>
            </w:r>
          </w:p>
        </w:tc>
        <w:tc>
          <w:tcPr>
            <w:tcW w:w="649" w:type="dxa"/>
            <w:vAlign w:val="center"/>
          </w:tcPr>
          <w:p w14:paraId="1605CF78">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套</w:t>
            </w:r>
          </w:p>
        </w:tc>
        <w:tc>
          <w:tcPr>
            <w:tcW w:w="735" w:type="dxa"/>
            <w:vAlign w:val="center"/>
          </w:tcPr>
          <w:p w14:paraId="7437BD9D">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1</w:t>
            </w:r>
          </w:p>
        </w:tc>
        <w:tc>
          <w:tcPr>
            <w:tcW w:w="784" w:type="dxa"/>
          </w:tcPr>
          <w:p w14:paraId="420502BB">
            <w:pPr>
              <w:jc w:val="left"/>
              <w:rPr>
                <w:rFonts w:hint="eastAsia" w:ascii="宋体" w:hAnsi="宋体" w:eastAsia="宋体" w:cs="宋体"/>
                <w:bCs/>
                <w:color w:val="auto"/>
                <w:sz w:val="21"/>
                <w:szCs w:val="21"/>
                <w:highlight w:val="none"/>
                <w:vertAlign w:val="baseline"/>
                <w:lang w:val="zh-CN"/>
              </w:rPr>
            </w:pPr>
          </w:p>
        </w:tc>
        <w:tc>
          <w:tcPr>
            <w:tcW w:w="668" w:type="dxa"/>
          </w:tcPr>
          <w:p w14:paraId="11B2329D">
            <w:pPr>
              <w:jc w:val="left"/>
              <w:rPr>
                <w:rFonts w:hint="eastAsia" w:ascii="宋体" w:hAnsi="宋体" w:eastAsia="宋体" w:cs="宋体"/>
                <w:bCs/>
                <w:color w:val="auto"/>
                <w:sz w:val="21"/>
                <w:szCs w:val="21"/>
                <w:highlight w:val="none"/>
                <w:vertAlign w:val="baseline"/>
                <w:lang w:val="zh-CN"/>
              </w:rPr>
            </w:pPr>
          </w:p>
        </w:tc>
        <w:tc>
          <w:tcPr>
            <w:tcW w:w="852" w:type="dxa"/>
          </w:tcPr>
          <w:p w14:paraId="086B9D80">
            <w:pPr>
              <w:jc w:val="left"/>
              <w:rPr>
                <w:rFonts w:hint="eastAsia" w:ascii="宋体" w:hAnsi="宋体" w:eastAsia="宋体" w:cs="宋体"/>
                <w:bCs/>
                <w:color w:val="auto"/>
                <w:sz w:val="21"/>
                <w:szCs w:val="21"/>
                <w:highlight w:val="none"/>
                <w:vertAlign w:val="baseline"/>
                <w:lang w:val="zh-CN"/>
              </w:rPr>
            </w:pPr>
          </w:p>
        </w:tc>
        <w:tc>
          <w:tcPr>
            <w:tcW w:w="851" w:type="dxa"/>
          </w:tcPr>
          <w:p w14:paraId="1989CFC2">
            <w:pPr>
              <w:jc w:val="left"/>
              <w:rPr>
                <w:rFonts w:hint="eastAsia" w:ascii="宋体" w:hAnsi="宋体" w:eastAsia="宋体" w:cs="宋体"/>
                <w:bCs/>
                <w:color w:val="auto"/>
                <w:sz w:val="21"/>
                <w:szCs w:val="21"/>
                <w:highlight w:val="none"/>
                <w:vertAlign w:val="baseline"/>
                <w:lang w:val="zh-CN"/>
              </w:rPr>
            </w:pPr>
          </w:p>
        </w:tc>
        <w:tc>
          <w:tcPr>
            <w:tcW w:w="707" w:type="dxa"/>
          </w:tcPr>
          <w:p w14:paraId="1ED71051">
            <w:pPr>
              <w:jc w:val="left"/>
              <w:rPr>
                <w:rFonts w:hint="eastAsia" w:ascii="宋体" w:hAnsi="宋体" w:eastAsia="宋体" w:cs="宋体"/>
                <w:bCs/>
                <w:color w:val="auto"/>
                <w:sz w:val="21"/>
                <w:szCs w:val="21"/>
                <w:highlight w:val="none"/>
                <w:vertAlign w:val="baseline"/>
                <w:lang w:val="zh-CN"/>
              </w:rPr>
            </w:pPr>
          </w:p>
        </w:tc>
      </w:tr>
      <w:tr w14:paraId="02F6F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1E4DADEE">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12</w:t>
            </w:r>
          </w:p>
        </w:tc>
        <w:tc>
          <w:tcPr>
            <w:tcW w:w="1611" w:type="dxa"/>
            <w:vAlign w:val="center"/>
          </w:tcPr>
          <w:p w14:paraId="504FE200">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附属材料</w:t>
            </w:r>
          </w:p>
        </w:tc>
        <w:tc>
          <w:tcPr>
            <w:tcW w:w="3537" w:type="dxa"/>
            <w:vAlign w:val="center"/>
          </w:tcPr>
          <w:p w14:paraId="0D1E4429">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系统内水管、配套阀门、仪表、风管、弯头、止回阀、法兰等</w:t>
            </w:r>
          </w:p>
        </w:tc>
        <w:tc>
          <w:tcPr>
            <w:tcW w:w="649" w:type="dxa"/>
            <w:vAlign w:val="center"/>
          </w:tcPr>
          <w:p w14:paraId="3DE0B403">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套</w:t>
            </w:r>
          </w:p>
        </w:tc>
        <w:tc>
          <w:tcPr>
            <w:tcW w:w="735" w:type="dxa"/>
            <w:vAlign w:val="center"/>
          </w:tcPr>
          <w:p w14:paraId="45B8F008">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1</w:t>
            </w:r>
          </w:p>
        </w:tc>
        <w:tc>
          <w:tcPr>
            <w:tcW w:w="784" w:type="dxa"/>
          </w:tcPr>
          <w:p w14:paraId="488CBB51">
            <w:pPr>
              <w:jc w:val="left"/>
              <w:rPr>
                <w:rFonts w:hint="eastAsia" w:ascii="宋体" w:hAnsi="宋体" w:eastAsia="宋体" w:cs="宋体"/>
                <w:bCs/>
                <w:color w:val="auto"/>
                <w:sz w:val="21"/>
                <w:szCs w:val="21"/>
                <w:highlight w:val="none"/>
                <w:vertAlign w:val="baseline"/>
                <w:lang w:val="zh-CN"/>
              </w:rPr>
            </w:pPr>
          </w:p>
        </w:tc>
        <w:tc>
          <w:tcPr>
            <w:tcW w:w="668" w:type="dxa"/>
          </w:tcPr>
          <w:p w14:paraId="1531315B">
            <w:pPr>
              <w:jc w:val="left"/>
              <w:rPr>
                <w:rFonts w:hint="eastAsia" w:ascii="宋体" w:hAnsi="宋体" w:eastAsia="宋体" w:cs="宋体"/>
                <w:bCs/>
                <w:color w:val="auto"/>
                <w:sz w:val="21"/>
                <w:szCs w:val="21"/>
                <w:highlight w:val="none"/>
                <w:vertAlign w:val="baseline"/>
                <w:lang w:val="zh-CN"/>
              </w:rPr>
            </w:pPr>
          </w:p>
        </w:tc>
        <w:tc>
          <w:tcPr>
            <w:tcW w:w="852" w:type="dxa"/>
          </w:tcPr>
          <w:p w14:paraId="783174F5">
            <w:pPr>
              <w:jc w:val="left"/>
              <w:rPr>
                <w:rFonts w:hint="eastAsia" w:ascii="宋体" w:hAnsi="宋体" w:eastAsia="宋体" w:cs="宋体"/>
                <w:bCs/>
                <w:color w:val="auto"/>
                <w:sz w:val="21"/>
                <w:szCs w:val="21"/>
                <w:highlight w:val="none"/>
                <w:vertAlign w:val="baseline"/>
                <w:lang w:val="zh-CN"/>
              </w:rPr>
            </w:pPr>
          </w:p>
        </w:tc>
        <w:tc>
          <w:tcPr>
            <w:tcW w:w="851" w:type="dxa"/>
          </w:tcPr>
          <w:p w14:paraId="14E53BB7">
            <w:pPr>
              <w:jc w:val="left"/>
              <w:rPr>
                <w:rFonts w:hint="eastAsia" w:ascii="宋体" w:hAnsi="宋体" w:eastAsia="宋体" w:cs="宋体"/>
                <w:bCs/>
                <w:color w:val="auto"/>
                <w:sz w:val="21"/>
                <w:szCs w:val="21"/>
                <w:highlight w:val="none"/>
                <w:vertAlign w:val="baseline"/>
                <w:lang w:val="zh-CN"/>
              </w:rPr>
            </w:pPr>
          </w:p>
        </w:tc>
        <w:tc>
          <w:tcPr>
            <w:tcW w:w="707" w:type="dxa"/>
          </w:tcPr>
          <w:p w14:paraId="29455CC9">
            <w:pPr>
              <w:jc w:val="left"/>
              <w:rPr>
                <w:rFonts w:hint="eastAsia" w:ascii="宋体" w:hAnsi="宋体" w:eastAsia="宋体" w:cs="宋体"/>
                <w:bCs/>
                <w:color w:val="auto"/>
                <w:sz w:val="21"/>
                <w:szCs w:val="21"/>
                <w:highlight w:val="none"/>
                <w:vertAlign w:val="baseline"/>
                <w:lang w:val="zh-CN"/>
              </w:rPr>
            </w:pPr>
          </w:p>
        </w:tc>
      </w:tr>
      <w:tr w14:paraId="0D60A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4" w:type="dxa"/>
            <w:gridSpan w:val="10"/>
            <w:vAlign w:val="center"/>
          </w:tcPr>
          <w:p w14:paraId="4351B9D0">
            <w:pPr>
              <w:jc w:val="left"/>
              <w:rPr>
                <w:rFonts w:hint="eastAsia" w:ascii="宋体" w:hAnsi="宋体" w:eastAsia="宋体" w:cs="宋体"/>
                <w:bCs/>
                <w:color w:val="auto"/>
                <w:sz w:val="21"/>
                <w:szCs w:val="21"/>
                <w:highlight w:val="none"/>
                <w:vertAlign w:val="baseline"/>
                <w:lang w:val="zh-CN"/>
              </w:rPr>
            </w:pPr>
            <w:r>
              <w:rPr>
                <w:rFonts w:hint="eastAsia" w:ascii="宋体" w:hAnsi="宋体" w:eastAsia="宋体" w:cs="宋体"/>
                <w:b/>
                <w:bCs/>
                <w:i w:val="0"/>
                <w:iCs w:val="0"/>
                <w:color w:val="auto"/>
                <w:kern w:val="0"/>
                <w:sz w:val="22"/>
                <w:szCs w:val="22"/>
                <w:u w:val="none"/>
                <w:lang w:val="en-US" w:eastAsia="zh-CN" w:bidi="ar"/>
              </w:rPr>
              <w:t>（二）安装材料</w:t>
            </w:r>
          </w:p>
        </w:tc>
      </w:tr>
      <w:tr w14:paraId="5DB45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0" w:type="dxa"/>
            <w:vAlign w:val="center"/>
          </w:tcPr>
          <w:p w14:paraId="57B28168">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1</w:t>
            </w:r>
          </w:p>
        </w:tc>
        <w:tc>
          <w:tcPr>
            <w:tcW w:w="1611" w:type="dxa"/>
            <w:vAlign w:val="center"/>
          </w:tcPr>
          <w:p w14:paraId="62C0FEA6">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风管</w:t>
            </w:r>
          </w:p>
        </w:tc>
        <w:tc>
          <w:tcPr>
            <w:tcW w:w="3537" w:type="dxa"/>
            <w:vAlign w:val="center"/>
          </w:tcPr>
          <w:p w14:paraId="04FD4B77">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DN100、DN200、DN400等</w:t>
            </w:r>
          </w:p>
        </w:tc>
        <w:tc>
          <w:tcPr>
            <w:tcW w:w="649" w:type="dxa"/>
            <w:vAlign w:val="center"/>
          </w:tcPr>
          <w:p w14:paraId="749A6549">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批</w:t>
            </w:r>
          </w:p>
        </w:tc>
        <w:tc>
          <w:tcPr>
            <w:tcW w:w="735" w:type="dxa"/>
            <w:vAlign w:val="center"/>
          </w:tcPr>
          <w:p w14:paraId="394A636B">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1</w:t>
            </w:r>
          </w:p>
        </w:tc>
        <w:tc>
          <w:tcPr>
            <w:tcW w:w="784" w:type="dxa"/>
          </w:tcPr>
          <w:p w14:paraId="49A74853">
            <w:pPr>
              <w:jc w:val="left"/>
              <w:rPr>
                <w:rFonts w:hint="eastAsia" w:ascii="宋体" w:hAnsi="宋体" w:eastAsia="宋体" w:cs="宋体"/>
                <w:bCs/>
                <w:color w:val="auto"/>
                <w:sz w:val="21"/>
                <w:szCs w:val="21"/>
                <w:highlight w:val="none"/>
                <w:vertAlign w:val="baseline"/>
                <w:lang w:val="zh-CN"/>
              </w:rPr>
            </w:pPr>
          </w:p>
        </w:tc>
        <w:tc>
          <w:tcPr>
            <w:tcW w:w="668" w:type="dxa"/>
          </w:tcPr>
          <w:p w14:paraId="6FF77C20">
            <w:pPr>
              <w:jc w:val="left"/>
              <w:rPr>
                <w:rFonts w:hint="eastAsia" w:ascii="宋体" w:hAnsi="宋体" w:eastAsia="宋体" w:cs="宋体"/>
                <w:bCs/>
                <w:color w:val="auto"/>
                <w:sz w:val="21"/>
                <w:szCs w:val="21"/>
                <w:highlight w:val="none"/>
                <w:vertAlign w:val="baseline"/>
                <w:lang w:val="zh-CN"/>
              </w:rPr>
            </w:pPr>
          </w:p>
        </w:tc>
        <w:tc>
          <w:tcPr>
            <w:tcW w:w="852" w:type="dxa"/>
          </w:tcPr>
          <w:p w14:paraId="2B712969">
            <w:pPr>
              <w:jc w:val="left"/>
              <w:rPr>
                <w:rFonts w:hint="eastAsia" w:ascii="宋体" w:hAnsi="宋体" w:eastAsia="宋体" w:cs="宋体"/>
                <w:bCs/>
                <w:color w:val="auto"/>
                <w:sz w:val="21"/>
                <w:szCs w:val="21"/>
                <w:highlight w:val="none"/>
                <w:vertAlign w:val="baseline"/>
                <w:lang w:val="zh-CN"/>
              </w:rPr>
            </w:pPr>
          </w:p>
        </w:tc>
        <w:tc>
          <w:tcPr>
            <w:tcW w:w="851" w:type="dxa"/>
          </w:tcPr>
          <w:p w14:paraId="1D0D6470">
            <w:pPr>
              <w:jc w:val="left"/>
              <w:rPr>
                <w:rFonts w:hint="eastAsia" w:ascii="宋体" w:hAnsi="宋体" w:eastAsia="宋体" w:cs="宋体"/>
                <w:bCs/>
                <w:color w:val="auto"/>
                <w:sz w:val="21"/>
                <w:szCs w:val="21"/>
                <w:highlight w:val="none"/>
                <w:vertAlign w:val="baseline"/>
                <w:lang w:val="zh-CN"/>
              </w:rPr>
            </w:pPr>
          </w:p>
        </w:tc>
        <w:tc>
          <w:tcPr>
            <w:tcW w:w="707" w:type="dxa"/>
          </w:tcPr>
          <w:p w14:paraId="798C3B36">
            <w:pPr>
              <w:jc w:val="left"/>
              <w:rPr>
                <w:rFonts w:hint="eastAsia" w:ascii="宋体" w:hAnsi="宋体" w:eastAsia="宋体" w:cs="宋体"/>
                <w:bCs/>
                <w:color w:val="auto"/>
                <w:sz w:val="21"/>
                <w:szCs w:val="21"/>
                <w:highlight w:val="none"/>
                <w:vertAlign w:val="baseline"/>
                <w:lang w:val="zh-CN"/>
              </w:rPr>
            </w:pPr>
          </w:p>
        </w:tc>
      </w:tr>
      <w:tr w14:paraId="36896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7E58FE61">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2</w:t>
            </w:r>
          </w:p>
        </w:tc>
        <w:tc>
          <w:tcPr>
            <w:tcW w:w="1611" w:type="dxa"/>
            <w:vAlign w:val="center"/>
          </w:tcPr>
          <w:p w14:paraId="46F5017F">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90°弯头</w:t>
            </w:r>
          </w:p>
        </w:tc>
        <w:tc>
          <w:tcPr>
            <w:tcW w:w="3537" w:type="dxa"/>
            <w:vAlign w:val="center"/>
          </w:tcPr>
          <w:p w14:paraId="6F297884">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DN100</w:t>
            </w:r>
          </w:p>
        </w:tc>
        <w:tc>
          <w:tcPr>
            <w:tcW w:w="649" w:type="dxa"/>
            <w:vAlign w:val="center"/>
          </w:tcPr>
          <w:p w14:paraId="37CC9D2A">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批</w:t>
            </w:r>
          </w:p>
        </w:tc>
        <w:tc>
          <w:tcPr>
            <w:tcW w:w="735" w:type="dxa"/>
            <w:vAlign w:val="center"/>
          </w:tcPr>
          <w:p w14:paraId="3E8F8B36">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1</w:t>
            </w:r>
          </w:p>
        </w:tc>
        <w:tc>
          <w:tcPr>
            <w:tcW w:w="784" w:type="dxa"/>
          </w:tcPr>
          <w:p w14:paraId="7187213D">
            <w:pPr>
              <w:jc w:val="left"/>
              <w:rPr>
                <w:rFonts w:hint="eastAsia" w:ascii="宋体" w:hAnsi="宋体" w:eastAsia="宋体" w:cs="宋体"/>
                <w:bCs/>
                <w:color w:val="auto"/>
                <w:sz w:val="21"/>
                <w:szCs w:val="21"/>
                <w:highlight w:val="none"/>
                <w:vertAlign w:val="baseline"/>
                <w:lang w:val="zh-CN"/>
              </w:rPr>
            </w:pPr>
          </w:p>
        </w:tc>
        <w:tc>
          <w:tcPr>
            <w:tcW w:w="668" w:type="dxa"/>
          </w:tcPr>
          <w:p w14:paraId="41D73622">
            <w:pPr>
              <w:jc w:val="left"/>
              <w:rPr>
                <w:rFonts w:hint="eastAsia" w:ascii="宋体" w:hAnsi="宋体" w:eastAsia="宋体" w:cs="宋体"/>
                <w:bCs/>
                <w:color w:val="auto"/>
                <w:sz w:val="21"/>
                <w:szCs w:val="21"/>
                <w:highlight w:val="none"/>
                <w:vertAlign w:val="baseline"/>
                <w:lang w:val="zh-CN"/>
              </w:rPr>
            </w:pPr>
          </w:p>
        </w:tc>
        <w:tc>
          <w:tcPr>
            <w:tcW w:w="852" w:type="dxa"/>
          </w:tcPr>
          <w:p w14:paraId="5BBBA9D1">
            <w:pPr>
              <w:jc w:val="left"/>
              <w:rPr>
                <w:rFonts w:hint="eastAsia" w:ascii="宋体" w:hAnsi="宋体" w:eastAsia="宋体" w:cs="宋体"/>
                <w:bCs/>
                <w:color w:val="auto"/>
                <w:sz w:val="21"/>
                <w:szCs w:val="21"/>
                <w:highlight w:val="none"/>
                <w:vertAlign w:val="baseline"/>
                <w:lang w:val="zh-CN"/>
              </w:rPr>
            </w:pPr>
          </w:p>
        </w:tc>
        <w:tc>
          <w:tcPr>
            <w:tcW w:w="851" w:type="dxa"/>
          </w:tcPr>
          <w:p w14:paraId="714E259F">
            <w:pPr>
              <w:jc w:val="left"/>
              <w:rPr>
                <w:rFonts w:hint="eastAsia" w:ascii="宋体" w:hAnsi="宋体" w:eastAsia="宋体" w:cs="宋体"/>
                <w:bCs/>
                <w:color w:val="auto"/>
                <w:sz w:val="21"/>
                <w:szCs w:val="21"/>
                <w:highlight w:val="none"/>
                <w:vertAlign w:val="baseline"/>
                <w:lang w:val="zh-CN"/>
              </w:rPr>
            </w:pPr>
          </w:p>
        </w:tc>
        <w:tc>
          <w:tcPr>
            <w:tcW w:w="707" w:type="dxa"/>
          </w:tcPr>
          <w:p w14:paraId="023D87F6">
            <w:pPr>
              <w:jc w:val="left"/>
              <w:rPr>
                <w:rFonts w:hint="eastAsia" w:ascii="宋体" w:hAnsi="宋体" w:eastAsia="宋体" w:cs="宋体"/>
                <w:bCs/>
                <w:color w:val="auto"/>
                <w:sz w:val="21"/>
                <w:szCs w:val="21"/>
                <w:highlight w:val="none"/>
                <w:vertAlign w:val="baseline"/>
                <w:lang w:val="zh-CN"/>
              </w:rPr>
            </w:pPr>
          </w:p>
        </w:tc>
      </w:tr>
      <w:tr w14:paraId="561EA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34A8E4CF">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3</w:t>
            </w:r>
          </w:p>
        </w:tc>
        <w:tc>
          <w:tcPr>
            <w:tcW w:w="1611" w:type="dxa"/>
            <w:vAlign w:val="center"/>
          </w:tcPr>
          <w:p w14:paraId="656D2EB3">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三通</w:t>
            </w:r>
          </w:p>
        </w:tc>
        <w:tc>
          <w:tcPr>
            <w:tcW w:w="3537" w:type="dxa"/>
            <w:vAlign w:val="center"/>
          </w:tcPr>
          <w:p w14:paraId="5F732E1D">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DN200/DN100/DN200、DN100、DN200、DN400、DN200/100</w:t>
            </w:r>
          </w:p>
        </w:tc>
        <w:tc>
          <w:tcPr>
            <w:tcW w:w="649" w:type="dxa"/>
            <w:vAlign w:val="center"/>
          </w:tcPr>
          <w:p w14:paraId="4196B7E6">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批</w:t>
            </w:r>
          </w:p>
        </w:tc>
        <w:tc>
          <w:tcPr>
            <w:tcW w:w="735" w:type="dxa"/>
            <w:vAlign w:val="center"/>
          </w:tcPr>
          <w:p w14:paraId="320571F5">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1</w:t>
            </w:r>
          </w:p>
        </w:tc>
        <w:tc>
          <w:tcPr>
            <w:tcW w:w="784" w:type="dxa"/>
          </w:tcPr>
          <w:p w14:paraId="7519BA2E">
            <w:pPr>
              <w:jc w:val="left"/>
              <w:rPr>
                <w:rFonts w:hint="eastAsia" w:ascii="宋体" w:hAnsi="宋体" w:eastAsia="宋体" w:cs="宋体"/>
                <w:bCs/>
                <w:color w:val="auto"/>
                <w:sz w:val="21"/>
                <w:szCs w:val="21"/>
                <w:highlight w:val="none"/>
                <w:vertAlign w:val="baseline"/>
                <w:lang w:val="zh-CN"/>
              </w:rPr>
            </w:pPr>
          </w:p>
        </w:tc>
        <w:tc>
          <w:tcPr>
            <w:tcW w:w="668" w:type="dxa"/>
          </w:tcPr>
          <w:p w14:paraId="4C6DF874">
            <w:pPr>
              <w:jc w:val="left"/>
              <w:rPr>
                <w:rFonts w:hint="eastAsia" w:ascii="宋体" w:hAnsi="宋体" w:eastAsia="宋体" w:cs="宋体"/>
                <w:bCs/>
                <w:color w:val="auto"/>
                <w:sz w:val="21"/>
                <w:szCs w:val="21"/>
                <w:highlight w:val="none"/>
                <w:vertAlign w:val="baseline"/>
                <w:lang w:val="zh-CN"/>
              </w:rPr>
            </w:pPr>
          </w:p>
        </w:tc>
        <w:tc>
          <w:tcPr>
            <w:tcW w:w="852" w:type="dxa"/>
          </w:tcPr>
          <w:p w14:paraId="3369EFA3">
            <w:pPr>
              <w:jc w:val="left"/>
              <w:rPr>
                <w:rFonts w:hint="eastAsia" w:ascii="宋体" w:hAnsi="宋体" w:eastAsia="宋体" w:cs="宋体"/>
                <w:bCs/>
                <w:color w:val="auto"/>
                <w:sz w:val="21"/>
                <w:szCs w:val="21"/>
                <w:highlight w:val="none"/>
                <w:vertAlign w:val="baseline"/>
                <w:lang w:val="zh-CN"/>
              </w:rPr>
            </w:pPr>
          </w:p>
        </w:tc>
        <w:tc>
          <w:tcPr>
            <w:tcW w:w="851" w:type="dxa"/>
          </w:tcPr>
          <w:p w14:paraId="032E9A74">
            <w:pPr>
              <w:jc w:val="left"/>
              <w:rPr>
                <w:rFonts w:hint="eastAsia" w:ascii="宋体" w:hAnsi="宋体" w:eastAsia="宋体" w:cs="宋体"/>
                <w:bCs/>
                <w:color w:val="auto"/>
                <w:sz w:val="21"/>
                <w:szCs w:val="21"/>
                <w:highlight w:val="none"/>
                <w:vertAlign w:val="baseline"/>
                <w:lang w:val="zh-CN"/>
              </w:rPr>
            </w:pPr>
          </w:p>
        </w:tc>
        <w:tc>
          <w:tcPr>
            <w:tcW w:w="707" w:type="dxa"/>
          </w:tcPr>
          <w:p w14:paraId="3FB7ECA5">
            <w:pPr>
              <w:jc w:val="left"/>
              <w:rPr>
                <w:rFonts w:hint="eastAsia" w:ascii="宋体" w:hAnsi="宋体" w:eastAsia="宋体" w:cs="宋体"/>
                <w:bCs/>
                <w:color w:val="auto"/>
                <w:sz w:val="21"/>
                <w:szCs w:val="21"/>
                <w:highlight w:val="none"/>
                <w:vertAlign w:val="baseline"/>
                <w:lang w:val="zh-CN"/>
              </w:rPr>
            </w:pPr>
          </w:p>
        </w:tc>
      </w:tr>
      <w:tr w14:paraId="489EB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404D4B17">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4</w:t>
            </w:r>
          </w:p>
        </w:tc>
        <w:tc>
          <w:tcPr>
            <w:tcW w:w="1611" w:type="dxa"/>
            <w:vAlign w:val="center"/>
          </w:tcPr>
          <w:p w14:paraId="70A18C75">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变径</w:t>
            </w:r>
          </w:p>
        </w:tc>
        <w:tc>
          <w:tcPr>
            <w:tcW w:w="3537" w:type="dxa"/>
            <w:vAlign w:val="center"/>
          </w:tcPr>
          <w:p w14:paraId="6B1C8505">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DN200/DN100、DN400/DN100、DN400/DN200等</w:t>
            </w:r>
          </w:p>
        </w:tc>
        <w:tc>
          <w:tcPr>
            <w:tcW w:w="649" w:type="dxa"/>
            <w:vAlign w:val="center"/>
          </w:tcPr>
          <w:p w14:paraId="20D96C7C">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批</w:t>
            </w:r>
          </w:p>
        </w:tc>
        <w:tc>
          <w:tcPr>
            <w:tcW w:w="735" w:type="dxa"/>
            <w:vAlign w:val="center"/>
          </w:tcPr>
          <w:p w14:paraId="3A47246F">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1</w:t>
            </w:r>
          </w:p>
        </w:tc>
        <w:tc>
          <w:tcPr>
            <w:tcW w:w="784" w:type="dxa"/>
          </w:tcPr>
          <w:p w14:paraId="2808AC67">
            <w:pPr>
              <w:jc w:val="left"/>
              <w:rPr>
                <w:rFonts w:hint="eastAsia" w:ascii="宋体" w:hAnsi="宋体" w:eastAsia="宋体" w:cs="宋体"/>
                <w:bCs/>
                <w:color w:val="auto"/>
                <w:sz w:val="21"/>
                <w:szCs w:val="21"/>
                <w:highlight w:val="none"/>
                <w:vertAlign w:val="baseline"/>
                <w:lang w:val="zh-CN"/>
              </w:rPr>
            </w:pPr>
          </w:p>
        </w:tc>
        <w:tc>
          <w:tcPr>
            <w:tcW w:w="668" w:type="dxa"/>
          </w:tcPr>
          <w:p w14:paraId="478A8EA9">
            <w:pPr>
              <w:jc w:val="left"/>
              <w:rPr>
                <w:rFonts w:hint="eastAsia" w:ascii="宋体" w:hAnsi="宋体" w:eastAsia="宋体" w:cs="宋体"/>
                <w:bCs/>
                <w:color w:val="auto"/>
                <w:sz w:val="21"/>
                <w:szCs w:val="21"/>
                <w:highlight w:val="none"/>
                <w:vertAlign w:val="baseline"/>
                <w:lang w:val="zh-CN"/>
              </w:rPr>
            </w:pPr>
          </w:p>
        </w:tc>
        <w:tc>
          <w:tcPr>
            <w:tcW w:w="852" w:type="dxa"/>
          </w:tcPr>
          <w:p w14:paraId="1FEF63E1">
            <w:pPr>
              <w:jc w:val="left"/>
              <w:rPr>
                <w:rFonts w:hint="eastAsia" w:ascii="宋体" w:hAnsi="宋体" w:eastAsia="宋体" w:cs="宋体"/>
                <w:bCs/>
                <w:color w:val="auto"/>
                <w:sz w:val="21"/>
                <w:szCs w:val="21"/>
                <w:highlight w:val="none"/>
                <w:vertAlign w:val="baseline"/>
                <w:lang w:val="zh-CN"/>
              </w:rPr>
            </w:pPr>
          </w:p>
        </w:tc>
        <w:tc>
          <w:tcPr>
            <w:tcW w:w="851" w:type="dxa"/>
          </w:tcPr>
          <w:p w14:paraId="51355153">
            <w:pPr>
              <w:jc w:val="left"/>
              <w:rPr>
                <w:rFonts w:hint="eastAsia" w:ascii="宋体" w:hAnsi="宋体" w:eastAsia="宋体" w:cs="宋体"/>
                <w:bCs/>
                <w:color w:val="auto"/>
                <w:sz w:val="21"/>
                <w:szCs w:val="21"/>
                <w:highlight w:val="none"/>
                <w:vertAlign w:val="baseline"/>
                <w:lang w:val="zh-CN"/>
              </w:rPr>
            </w:pPr>
          </w:p>
        </w:tc>
        <w:tc>
          <w:tcPr>
            <w:tcW w:w="707" w:type="dxa"/>
          </w:tcPr>
          <w:p w14:paraId="37A2F614">
            <w:pPr>
              <w:jc w:val="left"/>
              <w:rPr>
                <w:rFonts w:hint="eastAsia" w:ascii="宋体" w:hAnsi="宋体" w:eastAsia="宋体" w:cs="宋体"/>
                <w:bCs/>
                <w:color w:val="auto"/>
                <w:sz w:val="21"/>
                <w:szCs w:val="21"/>
                <w:highlight w:val="none"/>
                <w:vertAlign w:val="baseline"/>
                <w:lang w:val="zh-CN"/>
              </w:rPr>
            </w:pPr>
          </w:p>
        </w:tc>
      </w:tr>
      <w:tr w14:paraId="7F4B3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76268FEB">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5</w:t>
            </w:r>
          </w:p>
        </w:tc>
        <w:tc>
          <w:tcPr>
            <w:tcW w:w="1611" w:type="dxa"/>
            <w:vAlign w:val="center"/>
          </w:tcPr>
          <w:p w14:paraId="45E5538C">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风阀</w:t>
            </w:r>
          </w:p>
        </w:tc>
        <w:tc>
          <w:tcPr>
            <w:tcW w:w="3537" w:type="dxa"/>
            <w:vAlign w:val="center"/>
          </w:tcPr>
          <w:p w14:paraId="7BC43CD3">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DN100</w:t>
            </w:r>
          </w:p>
        </w:tc>
        <w:tc>
          <w:tcPr>
            <w:tcW w:w="649" w:type="dxa"/>
            <w:vAlign w:val="center"/>
          </w:tcPr>
          <w:p w14:paraId="186A7578">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批</w:t>
            </w:r>
          </w:p>
        </w:tc>
        <w:tc>
          <w:tcPr>
            <w:tcW w:w="735" w:type="dxa"/>
            <w:vAlign w:val="center"/>
          </w:tcPr>
          <w:p w14:paraId="06C341CC">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1</w:t>
            </w:r>
          </w:p>
        </w:tc>
        <w:tc>
          <w:tcPr>
            <w:tcW w:w="784" w:type="dxa"/>
          </w:tcPr>
          <w:p w14:paraId="405C3D9C">
            <w:pPr>
              <w:jc w:val="left"/>
              <w:rPr>
                <w:rFonts w:hint="eastAsia" w:ascii="宋体" w:hAnsi="宋体" w:eastAsia="宋体" w:cs="宋体"/>
                <w:bCs/>
                <w:color w:val="auto"/>
                <w:sz w:val="21"/>
                <w:szCs w:val="21"/>
                <w:highlight w:val="none"/>
                <w:vertAlign w:val="baseline"/>
                <w:lang w:val="zh-CN"/>
              </w:rPr>
            </w:pPr>
          </w:p>
        </w:tc>
        <w:tc>
          <w:tcPr>
            <w:tcW w:w="668" w:type="dxa"/>
          </w:tcPr>
          <w:p w14:paraId="351CC674">
            <w:pPr>
              <w:jc w:val="left"/>
              <w:rPr>
                <w:rFonts w:hint="eastAsia" w:ascii="宋体" w:hAnsi="宋体" w:eastAsia="宋体" w:cs="宋体"/>
                <w:bCs/>
                <w:color w:val="auto"/>
                <w:sz w:val="21"/>
                <w:szCs w:val="21"/>
                <w:highlight w:val="none"/>
                <w:vertAlign w:val="baseline"/>
                <w:lang w:val="zh-CN"/>
              </w:rPr>
            </w:pPr>
          </w:p>
        </w:tc>
        <w:tc>
          <w:tcPr>
            <w:tcW w:w="852" w:type="dxa"/>
          </w:tcPr>
          <w:p w14:paraId="16EE4BB5">
            <w:pPr>
              <w:jc w:val="left"/>
              <w:rPr>
                <w:rFonts w:hint="eastAsia" w:ascii="宋体" w:hAnsi="宋体" w:eastAsia="宋体" w:cs="宋体"/>
                <w:bCs/>
                <w:color w:val="auto"/>
                <w:sz w:val="21"/>
                <w:szCs w:val="21"/>
                <w:highlight w:val="none"/>
                <w:vertAlign w:val="baseline"/>
                <w:lang w:val="zh-CN"/>
              </w:rPr>
            </w:pPr>
          </w:p>
        </w:tc>
        <w:tc>
          <w:tcPr>
            <w:tcW w:w="851" w:type="dxa"/>
          </w:tcPr>
          <w:p w14:paraId="3CDE205D">
            <w:pPr>
              <w:jc w:val="left"/>
              <w:rPr>
                <w:rFonts w:hint="eastAsia" w:ascii="宋体" w:hAnsi="宋体" w:eastAsia="宋体" w:cs="宋体"/>
                <w:bCs/>
                <w:color w:val="auto"/>
                <w:sz w:val="21"/>
                <w:szCs w:val="21"/>
                <w:highlight w:val="none"/>
                <w:vertAlign w:val="baseline"/>
                <w:lang w:val="zh-CN"/>
              </w:rPr>
            </w:pPr>
          </w:p>
        </w:tc>
        <w:tc>
          <w:tcPr>
            <w:tcW w:w="707" w:type="dxa"/>
          </w:tcPr>
          <w:p w14:paraId="6157417D">
            <w:pPr>
              <w:jc w:val="left"/>
              <w:rPr>
                <w:rFonts w:hint="eastAsia" w:ascii="宋体" w:hAnsi="宋体" w:eastAsia="宋体" w:cs="宋体"/>
                <w:bCs/>
                <w:color w:val="auto"/>
                <w:sz w:val="21"/>
                <w:szCs w:val="21"/>
                <w:highlight w:val="none"/>
                <w:vertAlign w:val="baseline"/>
                <w:lang w:val="zh-CN"/>
              </w:rPr>
            </w:pPr>
          </w:p>
        </w:tc>
      </w:tr>
      <w:tr w14:paraId="26F35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3153DB90">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6</w:t>
            </w:r>
          </w:p>
        </w:tc>
        <w:tc>
          <w:tcPr>
            <w:tcW w:w="1611" w:type="dxa"/>
            <w:vAlign w:val="center"/>
          </w:tcPr>
          <w:p w14:paraId="44537DF1">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支架</w:t>
            </w:r>
          </w:p>
        </w:tc>
        <w:tc>
          <w:tcPr>
            <w:tcW w:w="3537" w:type="dxa"/>
            <w:vAlign w:val="center"/>
          </w:tcPr>
          <w:p w14:paraId="32248131">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风管配套</w:t>
            </w:r>
          </w:p>
        </w:tc>
        <w:tc>
          <w:tcPr>
            <w:tcW w:w="649" w:type="dxa"/>
            <w:vAlign w:val="center"/>
          </w:tcPr>
          <w:p w14:paraId="3E35CDB2">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批</w:t>
            </w:r>
          </w:p>
        </w:tc>
        <w:tc>
          <w:tcPr>
            <w:tcW w:w="735" w:type="dxa"/>
            <w:vAlign w:val="center"/>
          </w:tcPr>
          <w:p w14:paraId="60617AF7">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1</w:t>
            </w:r>
          </w:p>
        </w:tc>
        <w:tc>
          <w:tcPr>
            <w:tcW w:w="784" w:type="dxa"/>
          </w:tcPr>
          <w:p w14:paraId="362EE411">
            <w:pPr>
              <w:jc w:val="left"/>
              <w:rPr>
                <w:rFonts w:hint="eastAsia" w:ascii="宋体" w:hAnsi="宋体" w:eastAsia="宋体" w:cs="宋体"/>
                <w:bCs/>
                <w:color w:val="auto"/>
                <w:sz w:val="21"/>
                <w:szCs w:val="21"/>
                <w:highlight w:val="none"/>
                <w:vertAlign w:val="baseline"/>
                <w:lang w:val="zh-CN"/>
              </w:rPr>
            </w:pPr>
          </w:p>
        </w:tc>
        <w:tc>
          <w:tcPr>
            <w:tcW w:w="668" w:type="dxa"/>
          </w:tcPr>
          <w:p w14:paraId="5D5DDD26">
            <w:pPr>
              <w:jc w:val="left"/>
              <w:rPr>
                <w:rFonts w:hint="eastAsia" w:ascii="宋体" w:hAnsi="宋体" w:eastAsia="宋体" w:cs="宋体"/>
                <w:bCs/>
                <w:color w:val="auto"/>
                <w:sz w:val="21"/>
                <w:szCs w:val="21"/>
                <w:highlight w:val="none"/>
                <w:vertAlign w:val="baseline"/>
                <w:lang w:val="zh-CN"/>
              </w:rPr>
            </w:pPr>
          </w:p>
        </w:tc>
        <w:tc>
          <w:tcPr>
            <w:tcW w:w="852" w:type="dxa"/>
          </w:tcPr>
          <w:p w14:paraId="10FA20AC">
            <w:pPr>
              <w:jc w:val="left"/>
              <w:rPr>
                <w:rFonts w:hint="eastAsia" w:ascii="宋体" w:hAnsi="宋体" w:eastAsia="宋体" w:cs="宋体"/>
                <w:bCs/>
                <w:color w:val="auto"/>
                <w:sz w:val="21"/>
                <w:szCs w:val="21"/>
                <w:highlight w:val="none"/>
                <w:vertAlign w:val="baseline"/>
                <w:lang w:val="zh-CN"/>
              </w:rPr>
            </w:pPr>
          </w:p>
        </w:tc>
        <w:tc>
          <w:tcPr>
            <w:tcW w:w="851" w:type="dxa"/>
          </w:tcPr>
          <w:p w14:paraId="796A3DD5">
            <w:pPr>
              <w:jc w:val="left"/>
              <w:rPr>
                <w:rFonts w:hint="eastAsia" w:ascii="宋体" w:hAnsi="宋体" w:eastAsia="宋体" w:cs="宋体"/>
                <w:bCs/>
                <w:color w:val="auto"/>
                <w:sz w:val="21"/>
                <w:szCs w:val="21"/>
                <w:highlight w:val="none"/>
                <w:vertAlign w:val="baseline"/>
                <w:lang w:val="zh-CN"/>
              </w:rPr>
            </w:pPr>
          </w:p>
        </w:tc>
        <w:tc>
          <w:tcPr>
            <w:tcW w:w="707" w:type="dxa"/>
          </w:tcPr>
          <w:p w14:paraId="729AC786">
            <w:pPr>
              <w:jc w:val="left"/>
              <w:rPr>
                <w:rFonts w:hint="eastAsia" w:ascii="宋体" w:hAnsi="宋体" w:eastAsia="宋体" w:cs="宋体"/>
                <w:bCs/>
                <w:color w:val="auto"/>
                <w:sz w:val="21"/>
                <w:szCs w:val="21"/>
                <w:highlight w:val="none"/>
                <w:vertAlign w:val="baseline"/>
                <w:lang w:val="zh-CN"/>
              </w:rPr>
            </w:pPr>
          </w:p>
        </w:tc>
      </w:tr>
      <w:tr w14:paraId="29C48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6" w:type="dxa"/>
            <w:gridSpan w:val="6"/>
            <w:vAlign w:val="center"/>
          </w:tcPr>
          <w:p w14:paraId="5C67F859">
            <w:pPr>
              <w:jc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小计</w:t>
            </w:r>
          </w:p>
        </w:tc>
        <w:tc>
          <w:tcPr>
            <w:tcW w:w="3078" w:type="dxa"/>
            <w:gridSpan w:val="4"/>
          </w:tcPr>
          <w:p w14:paraId="6A322F76">
            <w:pPr>
              <w:jc w:val="left"/>
              <w:rPr>
                <w:rFonts w:hint="eastAsia" w:ascii="宋体" w:hAnsi="宋体" w:eastAsia="宋体" w:cs="宋体"/>
                <w:bCs/>
                <w:color w:val="auto"/>
                <w:sz w:val="21"/>
                <w:szCs w:val="21"/>
                <w:highlight w:val="none"/>
                <w:vertAlign w:val="baseline"/>
                <w:lang w:val="zh-CN"/>
              </w:rPr>
            </w:pPr>
          </w:p>
        </w:tc>
      </w:tr>
      <w:tr w14:paraId="3ECB2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4" w:type="dxa"/>
            <w:gridSpan w:val="10"/>
            <w:vAlign w:val="center"/>
          </w:tcPr>
          <w:p w14:paraId="7C2ECE23">
            <w:pPr>
              <w:jc w:val="left"/>
              <w:rPr>
                <w:rFonts w:hint="eastAsia" w:ascii="宋体" w:hAnsi="宋体" w:eastAsia="宋体" w:cs="宋体"/>
                <w:bCs/>
                <w:color w:val="auto"/>
                <w:sz w:val="21"/>
                <w:szCs w:val="21"/>
                <w:highlight w:val="none"/>
                <w:vertAlign w:val="baseline"/>
                <w:lang w:val="zh-CN"/>
              </w:rPr>
            </w:pPr>
            <w:r>
              <w:rPr>
                <w:rFonts w:hint="eastAsia" w:ascii="宋体" w:hAnsi="宋体" w:eastAsia="宋体" w:cs="宋体"/>
                <w:b/>
                <w:bCs/>
                <w:i w:val="0"/>
                <w:iCs w:val="0"/>
                <w:color w:val="auto"/>
                <w:kern w:val="0"/>
                <w:sz w:val="22"/>
                <w:szCs w:val="22"/>
                <w:u w:val="none"/>
                <w:lang w:val="en-US" w:eastAsia="zh-CN" w:bidi="ar"/>
              </w:rPr>
              <w:t>三、活性炭吸附罐</w:t>
            </w:r>
          </w:p>
        </w:tc>
      </w:tr>
      <w:tr w14:paraId="13157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4" w:type="dxa"/>
            <w:gridSpan w:val="10"/>
            <w:vAlign w:val="center"/>
          </w:tcPr>
          <w:p w14:paraId="18A9AEE9">
            <w:pPr>
              <w:jc w:val="left"/>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（一）活性炭吸附罐主体</w:t>
            </w:r>
          </w:p>
        </w:tc>
      </w:tr>
      <w:tr w14:paraId="790A7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0E85DFBB">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1</w:t>
            </w:r>
          </w:p>
        </w:tc>
        <w:tc>
          <w:tcPr>
            <w:tcW w:w="1611" w:type="dxa"/>
            <w:vAlign w:val="center"/>
          </w:tcPr>
          <w:p w14:paraId="791CD6BD">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活性炭吸附罐</w:t>
            </w:r>
          </w:p>
        </w:tc>
        <w:tc>
          <w:tcPr>
            <w:tcW w:w="3537" w:type="dxa"/>
            <w:vAlign w:val="center"/>
          </w:tcPr>
          <w:p w14:paraId="6C7DD9D2">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40m³，直径3200，总高约9.0m（含厂家配套阀门及管道等）装填颗粒活性炭，颗粒炭密度0.5，装填系数0.8，每柱装颗粒炭约16吨</w:t>
            </w:r>
          </w:p>
        </w:tc>
        <w:tc>
          <w:tcPr>
            <w:tcW w:w="649" w:type="dxa"/>
            <w:vAlign w:val="center"/>
          </w:tcPr>
          <w:p w14:paraId="181AA37E">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套</w:t>
            </w:r>
          </w:p>
        </w:tc>
        <w:tc>
          <w:tcPr>
            <w:tcW w:w="735" w:type="dxa"/>
            <w:vAlign w:val="center"/>
          </w:tcPr>
          <w:p w14:paraId="170DD15D">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2</w:t>
            </w:r>
          </w:p>
        </w:tc>
        <w:tc>
          <w:tcPr>
            <w:tcW w:w="784" w:type="dxa"/>
          </w:tcPr>
          <w:p w14:paraId="50DD0212">
            <w:pPr>
              <w:jc w:val="left"/>
              <w:rPr>
                <w:rFonts w:hint="eastAsia" w:ascii="宋体" w:hAnsi="宋体" w:eastAsia="宋体" w:cs="宋体"/>
                <w:bCs/>
                <w:color w:val="auto"/>
                <w:sz w:val="21"/>
                <w:szCs w:val="21"/>
                <w:highlight w:val="none"/>
                <w:vertAlign w:val="baseline"/>
                <w:lang w:val="zh-CN"/>
              </w:rPr>
            </w:pPr>
          </w:p>
        </w:tc>
        <w:tc>
          <w:tcPr>
            <w:tcW w:w="668" w:type="dxa"/>
          </w:tcPr>
          <w:p w14:paraId="32F7BEE2">
            <w:pPr>
              <w:jc w:val="left"/>
              <w:rPr>
                <w:rFonts w:hint="eastAsia" w:ascii="宋体" w:hAnsi="宋体" w:eastAsia="宋体" w:cs="宋体"/>
                <w:bCs/>
                <w:color w:val="auto"/>
                <w:sz w:val="21"/>
                <w:szCs w:val="21"/>
                <w:highlight w:val="none"/>
                <w:vertAlign w:val="baseline"/>
                <w:lang w:val="zh-CN"/>
              </w:rPr>
            </w:pPr>
          </w:p>
        </w:tc>
        <w:tc>
          <w:tcPr>
            <w:tcW w:w="852" w:type="dxa"/>
          </w:tcPr>
          <w:p w14:paraId="73057868">
            <w:pPr>
              <w:jc w:val="left"/>
              <w:rPr>
                <w:rFonts w:hint="eastAsia" w:ascii="宋体" w:hAnsi="宋体" w:eastAsia="宋体" w:cs="宋体"/>
                <w:bCs/>
                <w:color w:val="auto"/>
                <w:sz w:val="21"/>
                <w:szCs w:val="21"/>
                <w:highlight w:val="none"/>
                <w:vertAlign w:val="baseline"/>
                <w:lang w:val="zh-CN"/>
              </w:rPr>
            </w:pPr>
          </w:p>
        </w:tc>
        <w:tc>
          <w:tcPr>
            <w:tcW w:w="851" w:type="dxa"/>
          </w:tcPr>
          <w:p w14:paraId="733606A0">
            <w:pPr>
              <w:jc w:val="left"/>
              <w:rPr>
                <w:rFonts w:hint="eastAsia" w:ascii="宋体" w:hAnsi="宋体" w:eastAsia="宋体" w:cs="宋体"/>
                <w:bCs/>
                <w:color w:val="auto"/>
                <w:sz w:val="21"/>
                <w:szCs w:val="21"/>
                <w:highlight w:val="none"/>
                <w:vertAlign w:val="baseline"/>
                <w:lang w:val="zh-CN"/>
              </w:rPr>
            </w:pPr>
          </w:p>
        </w:tc>
        <w:tc>
          <w:tcPr>
            <w:tcW w:w="707" w:type="dxa"/>
          </w:tcPr>
          <w:p w14:paraId="1B785E5C">
            <w:pPr>
              <w:jc w:val="left"/>
              <w:rPr>
                <w:rFonts w:hint="eastAsia" w:ascii="宋体" w:hAnsi="宋体" w:eastAsia="宋体" w:cs="宋体"/>
                <w:bCs/>
                <w:color w:val="auto"/>
                <w:sz w:val="21"/>
                <w:szCs w:val="21"/>
                <w:highlight w:val="none"/>
                <w:vertAlign w:val="baseline"/>
                <w:lang w:val="zh-CN"/>
              </w:rPr>
            </w:pPr>
          </w:p>
        </w:tc>
      </w:tr>
      <w:tr w14:paraId="6EA69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4" w:type="dxa"/>
            <w:gridSpan w:val="10"/>
            <w:vAlign w:val="center"/>
          </w:tcPr>
          <w:p w14:paraId="7FA31890">
            <w:pPr>
              <w:jc w:val="left"/>
              <w:rPr>
                <w:rFonts w:hint="eastAsia" w:ascii="宋体" w:hAnsi="宋体" w:eastAsia="宋体" w:cs="宋体"/>
                <w:bCs/>
                <w:color w:val="auto"/>
                <w:sz w:val="21"/>
                <w:szCs w:val="21"/>
                <w:highlight w:val="none"/>
                <w:vertAlign w:val="baseline"/>
                <w:lang w:val="zh-CN"/>
              </w:rPr>
            </w:pPr>
            <w:r>
              <w:rPr>
                <w:rFonts w:hint="eastAsia" w:ascii="宋体" w:hAnsi="宋体" w:eastAsia="宋体" w:cs="宋体"/>
                <w:b/>
                <w:bCs/>
                <w:i w:val="0"/>
                <w:iCs w:val="0"/>
                <w:color w:val="auto"/>
                <w:kern w:val="0"/>
                <w:sz w:val="22"/>
                <w:szCs w:val="22"/>
                <w:u w:val="none"/>
                <w:lang w:val="en-US" w:eastAsia="zh-CN" w:bidi="ar"/>
              </w:rPr>
              <w:t>（二）安装材料</w:t>
            </w:r>
          </w:p>
        </w:tc>
      </w:tr>
      <w:tr w14:paraId="26F8E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3A0EBCDB">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1</w:t>
            </w:r>
          </w:p>
        </w:tc>
        <w:tc>
          <w:tcPr>
            <w:tcW w:w="1611" w:type="dxa"/>
            <w:vAlign w:val="center"/>
          </w:tcPr>
          <w:p w14:paraId="72FEEB6F">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钢管</w:t>
            </w:r>
          </w:p>
        </w:tc>
        <w:tc>
          <w:tcPr>
            <w:tcW w:w="3537" w:type="dxa"/>
            <w:vAlign w:val="center"/>
          </w:tcPr>
          <w:p w14:paraId="5AD0C809">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D325x6、D219x6等</w:t>
            </w:r>
          </w:p>
        </w:tc>
        <w:tc>
          <w:tcPr>
            <w:tcW w:w="649" w:type="dxa"/>
            <w:vAlign w:val="center"/>
          </w:tcPr>
          <w:p w14:paraId="5042C80E">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批</w:t>
            </w:r>
          </w:p>
        </w:tc>
        <w:tc>
          <w:tcPr>
            <w:tcW w:w="735" w:type="dxa"/>
            <w:vAlign w:val="center"/>
          </w:tcPr>
          <w:p w14:paraId="67798EF0">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1</w:t>
            </w:r>
          </w:p>
        </w:tc>
        <w:tc>
          <w:tcPr>
            <w:tcW w:w="784" w:type="dxa"/>
          </w:tcPr>
          <w:p w14:paraId="1E26A577">
            <w:pPr>
              <w:jc w:val="left"/>
              <w:rPr>
                <w:rFonts w:hint="eastAsia" w:ascii="宋体" w:hAnsi="宋体" w:eastAsia="宋体" w:cs="宋体"/>
                <w:bCs/>
                <w:color w:val="auto"/>
                <w:sz w:val="21"/>
                <w:szCs w:val="21"/>
                <w:highlight w:val="none"/>
                <w:vertAlign w:val="baseline"/>
                <w:lang w:val="zh-CN"/>
              </w:rPr>
            </w:pPr>
          </w:p>
        </w:tc>
        <w:tc>
          <w:tcPr>
            <w:tcW w:w="668" w:type="dxa"/>
          </w:tcPr>
          <w:p w14:paraId="23BFBB38">
            <w:pPr>
              <w:jc w:val="left"/>
              <w:rPr>
                <w:rFonts w:hint="eastAsia" w:ascii="宋体" w:hAnsi="宋体" w:eastAsia="宋体" w:cs="宋体"/>
                <w:bCs/>
                <w:color w:val="auto"/>
                <w:sz w:val="21"/>
                <w:szCs w:val="21"/>
                <w:highlight w:val="none"/>
                <w:vertAlign w:val="baseline"/>
                <w:lang w:val="zh-CN"/>
              </w:rPr>
            </w:pPr>
          </w:p>
        </w:tc>
        <w:tc>
          <w:tcPr>
            <w:tcW w:w="852" w:type="dxa"/>
          </w:tcPr>
          <w:p w14:paraId="0A640CEA">
            <w:pPr>
              <w:jc w:val="left"/>
              <w:rPr>
                <w:rFonts w:hint="eastAsia" w:ascii="宋体" w:hAnsi="宋体" w:eastAsia="宋体" w:cs="宋体"/>
                <w:bCs/>
                <w:color w:val="auto"/>
                <w:sz w:val="21"/>
                <w:szCs w:val="21"/>
                <w:highlight w:val="none"/>
                <w:vertAlign w:val="baseline"/>
                <w:lang w:val="zh-CN"/>
              </w:rPr>
            </w:pPr>
          </w:p>
        </w:tc>
        <w:tc>
          <w:tcPr>
            <w:tcW w:w="851" w:type="dxa"/>
          </w:tcPr>
          <w:p w14:paraId="3A13A7E8">
            <w:pPr>
              <w:jc w:val="left"/>
              <w:rPr>
                <w:rFonts w:hint="eastAsia" w:ascii="宋体" w:hAnsi="宋体" w:eastAsia="宋体" w:cs="宋体"/>
                <w:bCs/>
                <w:color w:val="auto"/>
                <w:sz w:val="21"/>
                <w:szCs w:val="21"/>
                <w:highlight w:val="none"/>
                <w:vertAlign w:val="baseline"/>
                <w:lang w:val="zh-CN"/>
              </w:rPr>
            </w:pPr>
          </w:p>
        </w:tc>
        <w:tc>
          <w:tcPr>
            <w:tcW w:w="707" w:type="dxa"/>
          </w:tcPr>
          <w:p w14:paraId="065A5999">
            <w:pPr>
              <w:jc w:val="left"/>
              <w:rPr>
                <w:rFonts w:hint="eastAsia" w:ascii="宋体" w:hAnsi="宋体" w:eastAsia="宋体" w:cs="宋体"/>
                <w:bCs/>
                <w:color w:val="auto"/>
                <w:sz w:val="21"/>
                <w:szCs w:val="21"/>
                <w:highlight w:val="none"/>
                <w:vertAlign w:val="baseline"/>
                <w:lang w:val="zh-CN"/>
              </w:rPr>
            </w:pPr>
          </w:p>
        </w:tc>
      </w:tr>
      <w:tr w14:paraId="15E38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5BD2DCB7">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2</w:t>
            </w:r>
          </w:p>
        </w:tc>
        <w:tc>
          <w:tcPr>
            <w:tcW w:w="1611" w:type="dxa"/>
            <w:vAlign w:val="center"/>
          </w:tcPr>
          <w:p w14:paraId="069E9C5B">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90°弯头</w:t>
            </w:r>
          </w:p>
        </w:tc>
        <w:tc>
          <w:tcPr>
            <w:tcW w:w="3537" w:type="dxa"/>
            <w:vAlign w:val="center"/>
          </w:tcPr>
          <w:p w14:paraId="42A235FB">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DN300、DN200</w:t>
            </w:r>
          </w:p>
        </w:tc>
        <w:tc>
          <w:tcPr>
            <w:tcW w:w="649" w:type="dxa"/>
            <w:vAlign w:val="center"/>
          </w:tcPr>
          <w:p w14:paraId="67FC8063">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批</w:t>
            </w:r>
          </w:p>
        </w:tc>
        <w:tc>
          <w:tcPr>
            <w:tcW w:w="735" w:type="dxa"/>
            <w:vAlign w:val="center"/>
          </w:tcPr>
          <w:p w14:paraId="6BA6CA9C">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1</w:t>
            </w:r>
          </w:p>
        </w:tc>
        <w:tc>
          <w:tcPr>
            <w:tcW w:w="784" w:type="dxa"/>
          </w:tcPr>
          <w:p w14:paraId="62237863">
            <w:pPr>
              <w:jc w:val="left"/>
              <w:rPr>
                <w:rFonts w:hint="eastAsia" w:ascii="宋体" w:hAnsi="宋体" w:eastAsia="宋体" w:cs="宋体"/>
                <w:bCs/>
                <w:color w:val="auto"/>
                <w:sz w:val="21"/>
                <w:szCs w:val="21"/>
                <w:highlight w:val="none"/>
                <w:vertAlign w:val="baseline"/>
                <w:lang w:val="zh-CN"/>
              </w:rPr>
            </w:pPr>
          </w:p>
        </w:tc>
        <w:tc>
          <w:tcPr>
            <w:tcW w:w="668" w:type="dxa"/>
          </w:tcPr>
          <w:p w14:paraId="4FD8E8AE">
            <w:pPr>
              <w:jc w:val="left"/>
              <w:rPr>
                <w:rFonts w:hint="eastAsia" w:ascii="宋体" w:hAnsi="宋体" w:eastAsia="宋体" w:cs="宋体"/>
                <w:bCs/>
                <w:color w:val="auto"/>
                <w:sz w:val="21"/>
                <w:szCs w:val="21"/>
                <w:highlight w:val="none"/>
                <w:vertAlign w:val="baseline"/>
                <w:lang w:val="zh-CN"/>
              </w:rPr>
            </w:pPr>
          </w:p>
        </w:tc>
        <w:tc>
          <w:tcPr>
            <w:tcW w:w="852" w:type="dxa"/>
          </w:tcPr>
          <w:p w14:paraId="37B6C331">
            <w:pPr>
              <w:jc w:val="left"/>
              <w:rPr>
                <w:rFonts w:hint="eastAsia" w:ascii="宋体" w:hAnsi="宋体" w:eastAsia="宋体" w:cs="宋体"/>
                <w:bCs/>
                <w:color w:val="auto"/>
                <w:sz w:val="21"/>
                <w:szCs w:val="21"/>
                <w:highlight w:val="none"/>
                <w:vertAlign w:val="baseline"/>
                <w:lang w:val="zh-CN"/>
              </w:rPr>
            </w:pPr>
          </w:p>
        </w:tc>
        <w:tc>
          <w:tcPr>
            <w:tcW w:w="851" w:type="dxa"/>
          </w:tcPr>
          <w:p w14:paraId="61359C84">
            <w:pPr>
              <w:jc w:val="left"/>
              <w:rPr>
                <w:rFonts w:hint="eastAsia" w:ascii="宋体" w:hAnsi="宋体" w:eastAsia="宋体" w:cs="宋体"/>
                <w:bCs/>
                <w:color w:val="auto"/>
                <w:sz w:val="21"/>
                <w:szCs w:val="21"/>
                <w:highlight w:val="none"/>
                <w:vertAlign w:val="baseline"/>
                <w:lang w:val="zh-CN"/>
              </w:rPr>
            </w:pPr>
          </w:p>
        </w:tc>
        <w:tc>
          <w:tcPr>
            <w:tcW w:w="707" w:type="dxa"/>
          </w:tcPr>
          <w:p w14:paraId="4B445B4B">
            <w:pPr>
              <w:jc w:val="left"/>
              <w:rPr>
                <w:rFonts w:hint="eastAsia" w:ascii="宋体" w:hAnsi="宋体" w:eastAsia="宋体" w:cs="宋体"/>
                <w:bCs/>
                <w:color w:val="auto"/>
                <w:sz w:val="21"/>
                <w:szCs w:val="21"/>
                <w:highlight w:val="none"/>
                <w:vertAlign w:val="baseline"/>
                <w:lang w:val="zh-CN"/>
              </w:rPr>
            </w:pPr>
          </w:p>
        </w:tc>
      </w:tr>
      <w:tr w14:paraId="0E6EF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257F702B">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3</w:t>
            </w:r>
          </w:p>
        </w:tc>
        <w:tc>
          <w:tcPr>
            <w:tcW w:w="1611" w:type="dxa"/>
            <w:vAlign w:val="center"/>
          </w:tcPr>
          <w:p w14:paraId="4717F8FA">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法兰</w:t>
            </w:r>
          </w:p>
        </w:tc>
        <w:tc>
          <w:tcPr>
            <w:tcW w:w="3537" w:type="dxa"/>
            <w:vAlign w:val="center"/>
          </w:tcPr>
          <w:p w14:paraId="7014D045">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DN300，PN=1.0MPa；</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DN200，PN=1.0MPa</w:t>
            </w:r>
          </w:p>
        </w:tc>
        <w:tc>
          <w:tcPr>
            <w:tcW w:w="649" w:type="dxa"/>
            <w:vAlign w:val="center"/>
          </w:tcPr>
          <w:p w14:paraId="0B6DE281">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批</w:t>
            </w:r>
          </w:p>
        </w:tc>
        <w:tc>
          <w:tcPr>
            <w:tcW w:w="735" w:type="dxa"/>
            <w:vAlign w:val="center"/>
          </w:tcPr>
          <w:p w14:paraId="1E773688">
            <w:pPr>
              <w:keepNext w:val="0"/>
              <w:keepLines w:val="0"/>
              <w:widowControl/>
              <w:suppressLineNumbers w:val="0"/>
              <w:jc w:val="center"/>
              <w:textAlignment w:val="center"/>
              <w:rPr>
                <w:rFonts w:hint="eastAsia" w:ascii="宋体" w:hAnsi="宋体" w:eastAsia="宋体" w:cs="宋体"/>
                <w:bCs/>
                <w:color w:val="auto"/>
                <w:sz w:val="21"/>
                <w:szCs w:val="21"/>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1</w:t>
            </w:r>
          </w:p>
        </w:tc>
        <w:tc>
          <w:tcPr>
            <w:tcW w:w="784" w:type="dxa"/>
          </w:tcPr>
          <w:p w14:paraId="08C556E5">
            <w:pPr>
              <w:jc w:val="left"/>
              <w:rPr>
                <w:rFonts w:hint="eastAsia" w:ascii="宋体" w:hAnsi="宋体" w:eastAsia="宋体" w:cs="宋体"/>
                <w:bCs/>
                <w:color w:val="auto"/>
                <w:sz w:val="21"/>
                <w:szCs w:val="21"/>
                <w:highlight w:val="none"/>
                <w:vertAlign w:val="baseline"/>
                <w:lang w:val="zh-CN"/>
              </w:rPr>
            </w:pPr>
          </w:p>
        </w:tc>
        <w:tc>
          <w:tcPr>
            <w:tcW w:w="668" w:type="dxa"/>
          </w:tcPr>
          <w:p w14:paraId="7E692C1D">
            <w:pPr>
              <w:jc w:val="left"/>
              <w:rPr>
                <w:rFonts w:hint="eastAsia" w:ascii="宋体" w:hAnsi="宋体" w:eastAsia="宋体" w:cs="宋体"/>
                <w:bCs/>
                <w:color w:val="auto"/>
                <w:sz w:val="21"/>
                <w:szCs w:val="21"/>
                <w:highlight w:val="none"/>
                <w:vertAlign w:val="baseline"/>
                <w:lang w:val="zh-CN"/>
              </w:rPr>
            </w:pPr>
          </w:p>
        </w:tc>
        <w:tc>
          <w:tcPr>
            <w:tcW w:w="852" w:type="dxa"/>
          </w:tcPr>
          <w:p w14:paraId="370F2860">
            <w:pPr>
              <w:jc w:val="left"/>
              <w:rPr>
                <w:rFonts w:hint="eastAsia" w:ascii="宋体" w:hAnsi="宋体" w:eastAsia="宋体" w:cs="宋体"/>
                <w:bCs/>
                <w:color w:val="auto"/>
                <w:sz w:val="21"/>
                <w:szCs w:val="21"/>
                <w:highlight w:val="none"/>
                <w:vertAlign w:val="baseline"/>
                <w:lang w:val="zh-CN"/>
              </w:rPr>
            </w:pPr>
          </w:p>
        </w:tc>
        <w:tc>
          <w:tcPr>
            <w:tcW w:w="851" w:type="dxa"/>
          </w:tcPr>
          <w:p w14:paraId="1151766B">
            <w:pPr>
              <w:jc w:val="left"/>
              <w:rPr>
                <w:rFonts w:hint="eastAsia" w:ascii="宋体" w:hAnsi="宋体" w:eastAsia="宋体" w:cs="宋体"/>
                <w:bCs/>
                <w:color w:val="auto"/>
                <w:sz w:val="21"/>
                <w:szCs w:val="21"/>
                <w:highlight w:val="none"/>
                <w:vertAlign w:val="baseline"/>
                <w:lang w:val="zh-CN"/>
              </w:rPr>
            </w:pPr>
          </w:p>
        </w:tc>
        <w:tc>
          <w:tcPr>
            <w:tcW w:w="707" w:type="dxa"/>
          </w:tcPr>
          <w:p w14:paraId="19041902">
            <w:pPr>
              <w:jc w:val="left"/>
              <w:rPr>
                <w:rFonts w:hint="eastAsia" w:ascii="宋体" w:hAnsi="宋体" w:eastAsia="宋体" w:cs="宋体"/>
                <w:bCs/>
                <w:color w:val="auto"/>
                <w:sz w:val="21"/>
                <w:szCs w:val="21"/>
                <w:highlight w:val="none"/>
                <w:vertAlign w:val="baseline"/>
                <w:lang w:val="zh-CN"/>
              </w:rPr>
            </w:pPr>
          </w:p>
        </w:tc>
      </w:tr>
      <w:tr w14:paraId="3A498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906" w:type="dxa"/>
            <w:gridSpan w:val="6"/>
            <w:vAlign w:val="center"/>
          </w:tcPr>
          <w:p w14:paraId="77414AEF">
            <w:pPr>
              <w:jc w:val="center"/>
              <w:rPr>
                <w:rFonts w:hint="eastAsia" w:ascii="宋体" w:hAnsi="宋体" w:eastAsia="宋体" w:cs="宋体"/>
                <w:bCs/>
                <w:color w:val="auto"/>
                <w:sz w:val="21"/>
                <w:szCs w:val="21"/>
                <w:highlight w:val="none"/>
                <w:vertAlign w:val="baseline"/>
                <w:lang w:val="en-US" w:eastAsia="zh-CN"/>
              </w:rPr>
            </w:pPr>
            <w:r>
              <w:rPr>
                <w:rFonts w:hint="eastAsia" w:ascii="宋体" w:hAnsi="宋体" w:eastAsia="宋体" w:cs="宋体"/>
                <w:bCs/>
                <w:color w:val="auto"/>
                <w:sz w:val="21"/>
                <w:szCs w:val="21"/>
                <w:highlight w:val="none"/>
                <w:vertAlign w:val="baseline"/>
                <w:lang w:val="en-US" w:eastAsia="zh-CN"/>
              </w:rPr>
              <w:t>小计</w:t>
            </w:r>
          </w:p>
        </w:tc>
        <w:tc>
          <w:tcPr>
            <w:tcW w:w="3078" w:type="dxa"/>
            <w:gridSpan w:val="4"/>
          </w:tcPr>
          <w:p w14:paraId="7813D2EA">
            <w:pPr>
              <w:jc w:val="left"/>
              <w:rPr>
                <w:rFonts w:hint="default" w:ascii="宋体" w:hAnsi="宋体" w:eastAsia="宋体" w:cs="宋体"/>
                <w:bCs/>
                <w:color w:val="auto"/>
                <w:sz w:val="21"/>
                <w:szCs w:val="21"/>
                <w:highlight w:val="none"/>
                <w:u w:val="single"/>
                <w:vertAlign w:val="baseline"/>
                <w:lang w:val="en-US" w:eastAsia="zh-CN"/>
              </w:rPr>
            </w:pPr>
          </w:p>
        </w:tc>
      </w:tr>
      <w:tr w14:paraId="345ED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6" w:type="dxa"/>
            <w:gridSpan w:val="6"/>
            <w:vMerge w:val="restart"/>
            <w:vAlign w:val="center"/>
          </w:tcPr>
          <w:p w14:paraId="20799FD4">
            <w:pPr>
              <w:jc w:val="center"/>
              <w:rPr>
                <w:rFonts w:hint="eastAsia" w:ascii="宋体" w:hAnsi="宋体" w:eastAsia="宋体" w:cs="宋体"/>
                <w:bCs/>
                <w:color w:val="auto"/>
                <w:sz w:val="21"/>
                <w:szCs w:val="21"/>
                <w:highlight w:val="none"/>
                <w:vertAlign w:val="baseline"/>
                <w:lang w:val="en-US" w:eastAsia="zh-CN"/>
              </w:rPr>
            </w:pPr>
            <w:r>
              <w:rPr>
                <w:rFonts w:hint="eastAsia" w:ascii="宋体" w:hAnsi="宋体" w:eastAsia="宋体" w:cs="宋体"/>
                <w:bCs/>
                <w:color w:val="auto"/>
                <w:sz w:val="21"/>
                <w:szCs w:val="21"/>
                <w:highlight w:val="none"/>
                <w:vertAlign w:val="baseline"/>
                <w:lang w:val="en-US" w:eastAsia="zh-CN"/>
              </w:rPr>
              <w:t>合计（含税）</w:t>
            </w:r>
          </w:p>
        </w:tc>
        <w:tc>
          <w:tcPr>
            <w:tcW w:w="3078" w:type="dxa"/>
            <w:gridSpan w:val="4"/>
          </w:tcPr>
          <w:p w14:paraId="41CD2157">
            <w:pPr>
              <w:jc w:val="left"/>
              <w:rPr>
                <w:rFonts w:hint="eastAsia" w:ascii="宋体" w:hAnsi="宋体" w:eastAsia="宋体" w:cs="宋体"/>
                <w:bCs/>
                <w:color w:val="auto"/>
                <w:sz w:val="21"/>
                <w:szCs w:val="21"/>
                <w:highlight w:val="none"/>
                <w:vertAlign w:val="baseline"/>
                <w:lang w:val="zh-CN"/>
              </w:rPr>
            </w:pPr>
            <w:r>
              <w:rPr>
                <w:rFonts w:hint="eastAsia" w:ascii="宋体" w:hAnsi="宋体" w:eastAsia="宋体" w:cs="宋体"/>
                <w:bCs/>
                <w:color w:val="auto"/>
                <w:sz w:val="21"/>
                <w:szCs w:val="21"/>
                <w:highlight w:val="none"/>
                <w:vertAlign w:val="baseline"/>
                <w:lang w:val="en-US" w:eastAsia="zh-CN"/>
              </w:rPr>
              <w:t>小写：</w:t>
            </w:r>
          </w:p>
        </w:tc>
      </w:tr>
      <w:tr w14:paraId="57059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6" w:type="dxa"/>
            <w:gridSpan w:val="6"/>
            <w:vMerge w:val="continue"/>
            <w:vAlign w:val="center"/>
          </w:tcPr>
          <w:p w14:paraId="3E2BC732">
            <w:pPr>
              <w:jc w:val="left"/>
              <w:rPr>
                <w:rFonts w:hint="eastAsia" w:ascii="宋体" w:hAnsi="宋体" w:eastAsia="宋体" w:cs="宋体"/>
                <w:bCs/>
                <w:color w:val="auto"/>
                <w:sz w:val="21"/>
                <w:szCs w:val="21"/>
                <w:highlight w:val="none"/>
                <w:vertAlign w:val="baseline"/>
                <w:lang w:val="zh-CN"/>
              </w:rPr>
            </w:pPr>
          </w:p>
        </w:tc>
        <w:tc>
          <w:tcPr>
            <w:tcW w:w="3078" w:type="dxa"/>
            <w:gridSpan w:val="4"/>
          </w:tcPr>
          <w:p w14:paraId="7F824A29">
            <w:pPr>
              <w:jc w:val="left"/>
              <w:rPr>
                <w:rFonts w:hint="eastAsia" w:ascii="宋体" w:hAnsi="宋体" w:eastAsia="宋体" w:cs="宋体"/>
                <w:bCs/>
                <w:color w:val="auto"/>
                <w:sz w:val="21"/>
                <w:szCs w:val="21"/>
                <w:highlight w:val="none"/>
                <w:vertAlign w:val="baseline"/>
                <w:lang w:val="zh-CN"/>
              </w:rPr>
            </w:pPr>
            <w:r>
              <w:rPr>
                <w:rFonts w:hint="eastAsia" w:ascii="宋体" w:hAnsi="宋体" w:eastAsia="宋体" w:cs="宋体"/>
                <w:bCs/>
                <w:color w:val="auto"/>
                <w:sz w:val="21"/>
                <w:szCs w:val="21"/>
                <w:highlight w:val="none"/>
                <w:vertAlign w:val="baseline"/>
                <w:lang w:val="en-US" w:eastAsia="zh-CN"/>
              </w:rPr>
              <w:t>大写：</w:t>
            </w:r>
          </w:p>
        </w:tc>
      </w:tr>
    </w:tbl>
    <w:p w14:paraId="607D4719">
      <w:pPr>
        <w:jc w:val="left"/>
        <w:rPr>
          <w:rFonts w:ascii="宋体" w:hAnsi="宋体"/>
          <w:bCs/>
          <w:color w:val="auto"/>
          <w:sz w:val="24"/>
          <w:highlight w:val="none"/>
          <w:lang w:val="zh-CN"/>
        </w:rPr>
      </w:pPr>
    </w:p>
    <w:p w14:paraId="0A06D528">
      <w:pPr>
        <w:jc w:val="left"/>
        <w:rPr>
          <w:rFonts w:ascii="宋体" w:hAnsi="宋体"/>
          <w:bCs/>
          <w:color w:val="auto"/>
          <w:sz w:val="24"/>
          <w:highlight w:val="none"/>
          <w:lang w:val="zh-CN"/>
        </w:rPr>
      </w:pPr>
    </w:p>
    <w:p w14:paraId="6FE94984">
      <w:pPr>
        <w:jc w:val="left"/>
        <w:rPr>
          <w:rFonts w:ascii="宋体" w:hAnsi="宋体"/>
          <w:bCs/>
          <w:color w:val="auto"/>
          <w:sz w:val="24"/>
          <w:highlight w:val="none"/>
          <w:lang w:val="zh-CN"/>
        </w:rPr>
      </w:pPr>
      <w:r>
        <w:rPr>
          <w:rFonts w:hint="eastAsia" w:ascii="宋体" w:hAnsi="宋体"/>
          <w:bCs/>
          <w:color w:val="auto"/>
          <w:sz w:val="24"/>
          <w:highlight w:val="none"/>
          <w:lang w:val="zh-CN"/>
        </w:rPr>
        <w:t xml:space="preserve">投标人签名：                                                       </w:t>
      </w:r>
      <w:r>
        <w:rPr>
          <w:rFonts w:hint="eastAsia" w:ascii="宋体" w:hAnsi="宋体"/>
          <w:color w:val="auto"/>
          <w:sz w:val="24"/>
          <w:szCs w:val="24"/>
          <w:highlight w:val="none"/>
        </w:rPr>
        <w:t>日期：</w:t>
      </w:r>
      <w:bookmarkEnd w:id="72"/>
    </w:p>
    <w:p w14:paraId="35A3C400">
      <w:pPr>
        <w:ind w:left="1"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注：</w:t>
      </w:r>
    </w:p>
    <w:p w14:paraId="311148B5">
      <w:pPr>
        <w:tabs>
          <w:tab w:val="left" w:pos="0"/>
        </w:tabs>
        <w:spacing w:line="500" w:lineRule="exact"/>
        <w:ind w:firstLine="480" w:firstLineChars="200"/>
        <w:rPr>
          <w:rFonts w:ascii="宋体" w:hAnsi="宋体" w:cs="宋体"/>
          <w:bCs/>
          <w:color w:val="auto"/>
          <w:sz w:val="24"/>
          <w:szCs w:val="24"/>
          <w:highlight w:val="none"/>
        </w:rPr>
      </w:pPr>
      <w:bookmarkStart w:id="73" w:name="_Toc4946"/>
      <w:r>
        <w:rPr>
          <w:rFonts w:hint="eastAsia" w:ascii="宋体" w:hAnsi="宋体" w:cs="宋体"/>
          <w:bCs/>
          <w:color w:val="auto"/>
          <w:sz w:val="24"/>
          <w:szCs w:val="24"/>
          <w:highlight w:val="none"/>
        </w:rPr>
        <w:t>①</w:t>
      </w:r>
      <w:r>
        <w:rPr>
          <w:rFonts w:hint="eastAsia" w:ascii="宋体" w:hAnsi="宋体" w:cs="宋体"/>
          <w:bCs/>
          <w:color w:val="0000FF"/>
          <w:sz w:val="24"/>
          <w:szCs w:val="24"/>
          <w:highlight w:val="none"/>
        </w:rPr>
        <w:t>投标报价包含所有货物装卸、安装、调试、人力、机械、运输、仓储、各种税费（如发生政策性调整，将同步调整）、劳保、专利技术、质保、政策性文件规定及合同包含的所有风险、责任等各项所有费用。</w:t>
      </w:r>
    </w:p>
    <w:p w14:paraId="19024536">
      <w:pPr>
        <w:tabs>
          <w:tab w:val="left" w:pos="0"/>
        </w:tabs>
        <w:spacing w:line="500" w:lineRule="exact"/>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②乙方应先到工地踏勘以充分了解项目情况、工地位置、道路、储存空间、装卸限制及任何其他足以影响报价的情况，任何因忽视或误解现场情况而导致的索赔或交货期延长申请将不被批准。</w:t>
      </w:r>
    </w:p>
    <w:p w14:paraId="70A2160B">
      <w:pPr>
        <w:tabs>
          <w:tab w:val="left" w:pos="0"/>
        </w:tabs>
        <w:adjustRightInd w:val="0"/>
        <w:snapToGrid w:val="0"/>
        <w:spacing w:line="5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③有的完成本项目的费用以及按国家标准或验收规范要求对材料、构件进行质量检测或检测所需的试验、检测费用应列入投标报价中。</w:t>
      </w:r>
    </w:p>
    <w:p w14:paraId="3466376F">
      <w:pPr>
        <w:tabs>
          <w:tab w:val="left" w:pos="0"/>
        </w:tabs>
        <w:adjustRightInd w:val="0"/>
        <w:snapToGrid w:val="0"/>
        <w:spacing w:line="500" w:lineRule="exact"/>
        <w:ind w:firstLine="480" w:firstLineChars="200"/>
        <w:rPr>
          <w:rFonts w:hint="eastAsia" w:ascii="宋体" w:hAnsi="宋体" w:cs="宋体"/>
          <w:bCs/>
          <w:color w:val="auto"/>
          <w:sz w:val="24"/>
          <w:szCs w:val="24"/>
          <w:highlight w:val="none"/>
        </w:rPr>
      </w:pPr>
    </w:p>
    <w:bookmarkEnd w:id="73"/>
    <w:p w14:paraId="73F55BC6">
      <w:pPr>
        <w:rPr>
          <w:rFonts w:ascii="黑体" w:hAnsi="宋体" w:eastAsia="黑体"/>
          <w:bCs/>
          <w:color w:val="auto"/>
          <w:sz w:val="28"/>
          <w:szCs w:val="28"/>
          <w:highlight w:val="none"/>
        </w:rPr>
      </w:pPr>
      <w:bookmarkStart w:id="74" w:name="_Toc8000"/>
      <w:r>
        <w:rPr>
          <w:rFonts w:hint="eastAsia" w:ascii="黑体" w:hAnsi="宋体" w:eastAsia="黑体"/>
          <w:bCs/>
          <w:color w:val="auto"/>
          <w:sz w:val="28"/>
          <w:szCs w:val="28"/>
          <w:highlight w:val="none"/>
        </w:rPr>
        <w:t>（三）资格证明文件</w:t>
      </w:r>
    </w:p>
    <w:p w14:paraId="37230C1D">
      <w:pPr>
        <w:ind w:firstLine="480" w:firstLineChars="200"/>
        <w:rPr>
          <w:rFonts w:ascii="黑体" w:eastAsia="黑体"/>
          <w:bCs/>
          <w:color w:val="auto"/>
          <w:sz w:val="36"/>
          <w:highlight w:val="none"/>
        </w:rPr>
      </w:pPr>
      <w:r>
        <w:rPr>
          <w:rFonts w:hint="eastAsia" w:ascii="黑体" w:hAnsi="宋体" w:eastAsia="黑体"/>
          <w:bCs/>
          <w:color w:val="auto"/>
          <w:sz w:val="24"/>
          <w:szCs w:val="24"/>
          <w:highlight w:val="none"/>
        </w:rPr>
        <w:t>1、关于资格的声明函（格式）：</w:t>
      </w:r>
      <w:bookmarkEnd w:id="74"/>
    </w:p>
    <w:p w14:paraId="72E01556">
      <w:pPr>
        <w:spacing w:beforeLines="50" w:afterLines="50"/>
        <w:jc w:val="center"/>
        <w:rPr>
          <w:rFonts w:ascii="黑体" w:eastAsia="黑体"/>
          <w:bCs/>
          <w:color w:val="auto"/>
          <w:sz w:val="32"/>
          <w:highlight w:val="none"/>
        </w:rPr>
      </w:pPr>
      <w:bookmarkStart w:id="75" w:name="报价方关于资格的声明函（格式）"/>
      <w:bookmarkEnd w:id="75"/>
      <w:bookmarkStart w:id="76" w:name="_Toc24943"/>
      <w:r>
        <w:rPr>
          <w:rFonts w:hint="eastAsia" w:ascii="黑体" w:eastAsia="黑体"/>
          <w:bCs/>
          <w:color w:val="auto"/>
          <w:sz w:val="28"/>
          <w:szCs w:val="28"/>
          <w:highlight w:val="none"/>
        </w:rPr>
        <w:t>关于资格的声明函</w:t>
      </w:r>
      <w:bookmarkEnd w:id="76"/>
    </w:p>
    <w:p w14:paraId="386862F7">
      <w:pPr>
        <w:spacing w:line="480" w:lineRule="auto"/>
        <w:jc w:val="right"/>
        <w:rPr>
          <w:rFonts w:hint="eastAsia" w:ascii="宋体" w:eastAsiaTheme="minorEastAsia"/>
          <w:bCs/>
          <w:color w:val="auto"/>
          <w:sz w:val="24"/>
          <w:szCs w:val="24"/>
          <w:highlight w:val="none"/>
          <w:lang w:eastAsia="zh-CN"/>
        </w:rPr>
      </w:pPr>
      <w:bookmarkStart w:id="77" w:name="OLE_LINK80"/>
      <w:r>
        <w:rPr>
          <w:rFonts w:hint="eastAsia" w:ascii="宋体" w:hAnsi="宋体"/>
          <w:bCs/>
          <w:color w:val="auto"/>
          <w:sz w:val="24"/>
          <w:szCs w:val="24"/>
          <w:highlight w:val="none"/>
        </w:rPr>
        <w:t>项目编号：</w:t>
      </w:r>
      <w:r>
        <w:rPr>
          <w:rFonts w:hint="eastAsia" w:ascii="宋体" w:hAnsi="宋体"/>
          <w:bCs/>
          <w:color w:val="auto"/>
          <w:sz w:val="24"/>
          <w:szCs w:val="24"/>
          <w:highlight w:val="none"/>
          <w:lang w:eastAsia="zh-CN"/>
        </w:rPr>
        <w:t>YXGYJT202512012（EPC）</w:t>
      </w:r>
    </w:p>
    <w:p w14:paraId="78D67F08">
      <w:pPr>
        <w:tabs>
          <w:tab w:val="left" w:pos="6300"/>
        </w:tabs>
        <w:spacing w:line="480" w:lineRule="auto"/>
        <w:jc w:val="center"/>
        <w:rPr>
          <w:rFonts w:ascii="宋体"/>
          <w:bCs/>
          <w:color w:val="auto"/>
          <w:sz w:val="24"/>
          <w:szCs w:val="24"/>
          <w:highlight w:val="none"/>
        </w:rPr>
      </w:pP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val="en-US" w:eastAsia="zh-CN"/>
        </w:rPr>
        <w:t xml:space="preserve">             </w:t>
      </w:r>
      <w:r>
        <w:rPr>
          <w:rFonts w:hint="eastAsia" w:ascii="宋体" w:hAnsi="宋体"/>
          <w:bCs/>
          <w:color w:val="auto"/>
          <w:sz w:val="24"/>
          <w:szCs w:val="24"/>
          <w:highlight w:val="none"/>
        </w:rPr>
        <w:t xml:space="preserve">日期： </w:t>
      </w:r>
    </w:p>
    <w:p w14:paraId="1C716419">
      <w:pPr>
        <w:spacing w:line="480" w:lineRule="auto"/>
        <w:jc w:val="center"/>
        <w:rPr>
          <w:rFonts w:ascii="宋体"/>
          <w:bCs/>
          <w:color w:val="auto"/>
          <w:sz w:val="24"/>
          <w:szCs w:val="24"/>
          <w:highlight w:val="none"/>
        </w:rPr>
      </w:pPr>
    </w:p>
    <w:bookmarkEnd w:id="77"/>
    <w:p w14:paraId="55C639A1">
      <w:pPr>
        <w:spacing w:line="480" w:lineRule="auto"/>
        <w:rPr>
          <w:rFonts w:ascii="宋体"/>
          <w:bCs/>
          <w:color w:val="auto"/>
          <w:sz w:val="24"/>
          <w:szCs w:val="24"/>
          <w:highlight w:val="none"/>
        </w:rPr>
      </w:pPr>
      <w:r>
        <w:rPr>
          <w:rFonts w:hint="eastAsia" w:ascii="宋体" w:hAnsi="宋体"/>
          <w:bCs/>
          <w:color w:val="auto"/>
          <w:sz w:val="24"/>
          <w:szCs w:val="24"/>
          <w:highlight w:val="none"/>
          <w:lang w:eastAsia="zh-CN"/>
        </w:rPr>
        <w:t>宜兴市公用环保集团有限公司</w:t>
      </w:r>
      <w:r>
        <w:rPr>
          <w:rFonts w:hint="eastAsia" w:ascii="宋体" w:hAnsi="宋体"/>
          <w:bCs/>
          <w:color w:val="auto"/>
          <w:sz w:val="24"/>
          <w:szCs w:val="24"/>
          <w:highlight w:val="none"/>
        </w:rPr>
        <w:t>：</w:t>
      </w:r>
    </w:p>
    <w:p w14:paraId="08A2D9FC">
      <w:pPr>
        <w:spacing w:line="480" w:lineRule="auto"/>
        <w:ind w:firstLine="480" w:firstLineChars="200"/>
        <w:rPr>
          <w:rFonts w:ascii="宋体"/>
          <w:bCs/>
          <w:color w:val="auto"/>
          <w:sz w:val="24"/>
          <w:szCs w:val="24"/>
          <w:highlight w:val="none"/>
        </w:rPr>
      </w:pPr>
      <w:r>
        <w:rPr>
          <w:rFonts w:hint="eastAsia" w:ascii="宋体" w:hAnsi="宋体"/>
          <w:bCs/>
          <w:color w:val="auto"/>
          <w:sz w:val="24"/>
          <w:szCs w:val="24"/>
          <w:highlight w:val="none"/>
        </w:rPr>
        <w:t>我公司（单位）参加本次项目（</w:t>
      </w:r>
      <w:r>
        <w:rPr>
          <w:rFonts w:hint="eastAsia" w:ascii="宋体" w:hAnsi="宋体"/>
          <w:bCs/>
          <w:color w:val="auto"/>
          <w:sz w:val="24"/>
          <w:szCs w:val="24"/>
          <w:highlight w:val="none"/>
          <w:lang w:eastAsia="zh-CN"/>
        </w:rPr>
        <w:t>YXGYJT202512012（EPC）</w:t>
      </w:r>
      <w:r>
        <w:rPr>
          <w:rFonts w:hint="eastAsia" w:ascii="黑体" w:eastAsia="黑体"/>
          <w:bCs/>
          <w:color w:val="auto"/>
          <w:sz w:val="24"/>
          <w:szCs w:val="24"/>
          <w:highlight w:val="none"/>
        </w:rPr>
        <w:t>）</w:t>
      </w:r>
      <w:r>
        <w:rPr>
          <w:rFonts w:hint="eastAsia" w:ascii="宋体" w:hAnsi="宋体"/>
          <w:bCs/>
          <w:color w:val="auto"/>
          <w:sz w:val="24"/>
          <w:szCs w:val="24"/>
          <w:highlight w:val="none"/>
        </w:rPr>
        <w:t>采购活动前三年内在经营活动中没有重大违法记录；</w:t>
      </w:r>
      <w:r>
        <w:rPr>
          <w:rFonts w:ascii="宋体" w:hAnsi="宋体" w:cs="宋体"/>
          <w:color w:val="auto"/>
          <w:kern w:val="0"/>
          <w:sz w:val="24"/>
          <w:szCs w:val="24"/>
          <w:highlight w:val="none"/>
        </w:rPr>
        <w:t>同时，投标时不存在</w:t>
      </w:r>
      <w:bookmarkStart w:id="78" w:name="OLE_LINK242"/>
      <w:r>
        <w:rPr>
          <w:rFonts w:hint="eastAsia" w:ascii="宋体" w:hAnsi="宋体" w:cs="宋体"/>
          <w:color w:val="auto"/>
          <w:kern w:val="0"/>
          <w:sz w:val="24"/>
          <w:szCs w:val="24"/>
          <w:highlight w:val="none"/>
        </w:rPr>
        <w:t>有效期限</w:t>
      </w:r>
      <w:bookmarkEnd w:id="78"/>
      <w:r>
        <w:rPr>
          <w:rFonts w:ascii="宋体" w:hAnsi="宋体" w:cs="宋体"/>
          <w:color w:val="auto"/>
          <w:kern w:val="0"/>
          <w:sz w:val="24"/>
          <w:szCs w:val="24"/>
          <w:highlight w:val="none"/>
        </w:rPr>
        <w:t>内的采购严重违法失信行为的</w:t>
      </w:r>
      <w:r>
        <w:rPr>
          <w:rFonts w:hint="eastAsia" w:ascii="宋体" w:hAnsi="宋体" w:cs="宋体"/>
          <w:color w:val="auto"/>
          <w:kern w:val="0"/>
          <w:sz w:val="24"/>
          <w:szCs w:val="24"/>
          <w:highlight w:val="none"/>
        </w:rPr>
        <w:t>处罚</w:t>
      </w:r>
      <w:r>
        <w:rPr>
          <w:rFonts w:ascii="宋体" w:hAnsi="宋体" w:cs="宋体"/>
          <w:color w:val="auto"/>
          <w:kern w:val="0"/>
          <w:sz w:val="24"/>
          <w:szCs w:val="24"/>
          <w:highlight w:val="none"/>
        </w:rPr>
        <w:t>记录</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未被列入失信名单或重大税收违法案件当事人名单；</w:t>
      </w:r>
      <w:r>
        <w:rPr>
          <w:rFonts w:hint="eastAsia" w:ascii="宋体" w:hAnsi="宋体"/>
          <w:bCs/>
          <w:color w:val="auto"/>
          <w:sz w:val="24"/>
          <w:szCs w:val="24"/>
          <w:highlight w:val="none"/>
        </w:rPr>
        <w:t>且具备履行合同所必需的设备和专业技术能力。我公司（单位）愿针对本次项目（</w:t>
      </w:r>
      <w:r>
        <w:rPr>
          <w:rFonts w:hint="eastAsia" w:ascii="宋体" w:hAnsi="宋体"/>
          <w:bCs/>
          <w:color w:val="auto"/>
          <w:sz w:val="24"/>
          <w:szCs w:val="24"/>
          <w:highlight w:val="none"/>
          <w:lang w:eastAsia="zh-CN"/>
        </w:rPr>
        <w:t>YXGYJT202512012（EPC）</w:t>
      </w:r>
      <w:r>
        <w:rPr>
          <w:rFonts w:hint="eastAsia" w:ascii="黑体" w:eastAsia="黑体"/>
          <w:bCs/>
          <w:color w:val="auto"/>
          <w:sz w:val="24"/>
          <w:szCs w:val="24"/>
          <w:highlight w:val="none"/>
        </w:rPr>
        <w:t>）</w:t>
      </w:r>
      <w:r>
        <w:rPr>
          <w:rFonts w:hint="eastAsia" w:ascii="宋体" w:hAnsi="宋体"/>
          <w:bCs/>
          <w:color w:val="auto"/>
          <w:sz w:val="24"/>
          <w:szCs w:val="24"/>
          <w:highlight w:val="none"/>
        </w:rPr>
        <w:t>进行投标，</w:t>
      </w:r>
      <w:r>
        <w:rPr>
          <w:rFonts w:hint="eastAsia" w:ascii="宋体" w:hAnsi="宋体"/>
          <w:color w:val="auto"/>
          <w:sz w:val="24"/>
          <w:szCs w:val="24"/>
          <w:highlight w:val="none"/>
        </w:rPr>
        <w:t>所提供的货物均为原厂全新合格品，</w:t>
      </w:r>
      <w:r>
        <w:rPr>
          <w:rFonts w:hint="eastAsia" w:ascii="宋体" w:hAnsi="宋体"/>
          <w:bCs/>
          <w:color w:val="auto"/>
          <w:sz w:val="24"/>
          <w:szCs w:val="24"/>
          <w:highlight w:val="none"/>
        </w:rPr>
        <w:t>投标文件中所有关于投标资格的文件、证明、陈述均是真实的、准确的。若有违背，我公司（单位）</w:t>
      </w:r>
      <w:r>
        <w:rPr>
          <w:rFonts w:ascii="宋体"/>
          <w:bCs/>
          <w:color w:val="auto"/>
          <w:sz w:val="24"/>
          <w:szCs w:val="24"/>
          <w:highlight w:val="none"/>
        </w:rPr>
        <w:t>同意监管部门做出的相关决定并承担由此而产生的一切后果</w:t>
      </w:r>
      <w:r>
        <w:rPr>
          <w:rFonts w:hint="eastAsia" w:ascii="宋体"/>
          <w:bCs/>
          <w:color w:val="auto"/>
          <w:sz w:val="24"/>
          <w:szCs w:val="24"/>
          <w:highlight w:val="none"/>
        </w:rPr>
        <w:t>。</w:t>
      </w:r>
    </w:p>
    <w:p w14:paraId="4145AA0F">
      <w:pPr>
        <w:spacing w:line="480" w:lineRule="auto"/>
        <w:rPr>
          <w:rFonts w:ascii="宋体"/>
          <w:bCs/>
          <w:color w:val="auto"/>
          <w:sz w:val="24"/>
          <w:szCs w:val="24"/>
          <w:highlight w:val="none"/>
        </w:rPr>
      </w:pPr>
    </w:p>
    <w:p w14:paraId="440CAFFF">
      <w:pPr>
        <w:rPr>
          <w:rFonts w:ascii="宋体" w:hAnsi="宋体"/>
          <w:color w:val="auto"/>
          <w:sz w:val="24"/>
          <w:szCs w:val="28"/>
          <w:highlight w:val="none"/>
        </w:rPr>
      </w:pPr>
      <w:bookmarkStart w:id="79" w:name="OLE_LINK81"/>
    </w:p>
    <w:p w14:paraId="5D3D9F84">
      <w:pPr>
        <w:jc w:val="center"/>
        <w:rPr>
          <w:rFonts w:ascii="宋体" w:hAnsi="宋体"/>
          <w:bCs/>
          <w:color w:val="auto"/>
          <w:sz w:val="24"/>
          <w:highlight w:val="none"/>
          <w:lang w:val="zh-CN"/>
        </w:rPr>
      </w:pPr>
      <w:r>
        <w:rPr>
          <w:rFonts w:hint="eastAsia" w:ascii="宋体" w:hAnsi="宋体"/>
          <w:bCs/>
          <w:color w:val="auto"/>
          <w:sz w:val="24"/>
          <w:highlight w:val="none"/>
          <w:lang w:val="zh-CN"/>
        </w:rPr>
        <w:t>投标人签名：</w:t>
      </w:r>
    </w:p>
    <w:p w14:paraId="17D74543">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投标人公章：</w:t>
      </w:r>
    </w:p>
    <w:bookmarkEnd w:id="79"/>
    <w:p w14:paraId="7B641B15">
      <w:pPr>
        <w:spacing w:line="360" w:lineRule="auto"/>
        <w:jc w:val="center"/>
        <w:rPr>
          <w:rFonts w:ascii="黑体" w:eastAsia="黑体"/>
          <w:bCs/>
          <w:color w:val="auto"/>
          <w:sz w:val="28"/>
          <w:szCs w:val="28"/>
          <w:highlight w:val="none"/>
        </w:rPr>
      </w:pPr>
      <w:bookmarkStart w:id="80" w:name="OLE_LINK36"/>
    </w:p>
    <w:p w14:paraId="694EAFA3">
      <w:pPr>
        <w:spacing w:line="360" w:lineRule="auto"/>
        <w:rPr>
          <w:rFonts w:ascii="黑体" w:eastAsia="黑体"/>
          <w:bCs/>
          <w:color w:val="auto"/>
          <w:sz w:val="28"/>
          <w:szCs w:val="28"/>
          <w:highlight w:val="none"/>
        </w:rPr>
      </w:pPr>
      <w:r>
        <w:rPr>
          <w:rFonts w:ascii="楷体_GB2312" w:hAnsi="宋体" w:eastAsia="楷体_GB2312"/>
          <w:bCs/>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2" name="文本框 3"/>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4E9D7F5">
                            <w:pPr>
                              <w:jc w:val="left"/>
                              <w:rPr>
                                <w:rFonts w:ascii="黑体" w:eastAsia="黑体"/>
                                <w:sz w:val="32"/>
                                <w:szCs w:val="32"/>
                              </w:rPr>
                            </w:pPr>
                          </w:p>
                          <w:p w14:paraId="3D6213FA">
                            <w:pPr>
                              <w:jc w:val="center"/>
                              <w:rPr>
                                <w:rFonts w:ascii="楷体_GB2312" w:eastAsia="楷体_GB2312"/>
                                <w:sz w:val="28"/>
                                <w:szCs w:val="28"/>
                              </w:rPr>
                            </w:pPr>
                            <w:r>
                              <w:rPr>
                                <w:rFonts w:hint="eastAsia" w:ascii="楷体_GB2312" w:eastAsia="楷体_GB2312"/>
                                <w:sz w:val="28"/>
                                <w:szCs w:val="28"/>
                              </w:rPr>
                              <w:t>法定代表人身份证复印件</w:t>
                            </w:r>
                          </w:p>
                          <w:p w14:paraId="78ECAECC">
                            <w:pPr>
                              <w:jc w:val="center"/>
                              <w:rPr>
                                <w:rFonts w:ascii="楷体_GB2312" w:eastAsia="楷体_GB2312"/>
                                <w:sz w:val="28"/>
                                <w:szCs w:val="28"/>
                              </w:rPr>
                            </w:pPr>
                            <w:r>
                              <w:rPr>
                                <w:rFonts w:hint="eastAsia" w:ascii="楷体_GB2312" w:eastAsia="楷体_GB2312"/>
                                <w:sz w:val="28"/>
                                <w:szCs w:val="28"/>
                              </w:rPr>
                              <w:t>反面</w:t>
                            </w:r>
                          </w:p>
                        </w:txbxContent>
                      </wps:txbx>
                      <wps:bodyPr upright="1"/>
                    </wps:wsp>
                  </a:graphicData>
                </a:graphic>
              </wp:anchor>
            </w:drawing>
          </mc:Choice>
          <mc:Fallback>
            <w:pict>
              <v:shape id="文本框 3"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Y5PknZAAAACQEAAA8AAAAAAAAAAQAg&#10;AAAAIgAAAGRycy9kb3ducmV2LnhtbFBLAQIUABQAAAAIAIdO4kDQiZJpDQIAADcEAAAOAAAAAAAA&#10;AAEAIAAAACgBAABkcnMvZTJvRG9jLnhtbFBLBQYAAAAABgAGAFkBAACnBQAAAAA=&#10;">
                <v:fill on="t" focussize="0,0"/>
                <v:stroke color="#000000" joinstyle="miter"/>
                <v:imagedata o:title=""/>
                <o:lock v:ext="edit" aspectratio="f"/>
                <v:textbox>
                  <w:txbxContent>
                    <w:p w14:paraId="44E9D7F5">
                      <w:pPr>
                        <w:jc w:val="left"/>
                        <w:rPr>
                          <w:rFonts w:ascii="黑体" w:eastAsia="黑体"/>
                          <w:sz w:val="32"/>
                          <w:szCs w:val="32"/>
                        </w:rPr>
                      </w:pPr>
                    </w:p>
                    <w:p w14:paraId="3D6213FA">
                      <w:pPr>
                        <w:jc w:val="center"/>
                        <w:rPr>
                          <w:rFonts w:ascii="楷体_GB2312" w:eastAsia="楷体_GB2312"/>
                          <w:sz w:val="28"/>
                          <w:szCs w:val="28"/>
                        </w:rPr>
                      </w:pPr>
                      <w:r>
                        <w:rPr>
                          <w:rFonts w:hint="eastAsia" w:ascii="楷体_GB2312" w:eastAsia="楷体_GB2312"/>
                          <w:sz w:val="28"/>
                          <w:szCs w:val="28"/>
                        </w:rPr>
                        <w:t>法定代表人身份证复印件</w:t>
                      </w:r>
                    </w:p>
                    <w:p w14:paraId="78ECAECC">
                      <w:pPr>
                        <w:jc w:val="center"/>
                        <w:rPr>
                          <w:rFonts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ascii="楷体_GB2312" w:hAnsi="宋体" w:eastAsia="楷体_GB2312"/>
          <w:bCs/>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1" name="文本框 3"/>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936BD4F">
                            <w:pPr>
                              <w:jc w:val="left"/>
                              <w:rPr>
                                <w:rFonts w:ascii="黑体" w:eastAsia="黑体"/>
                                <w:sz w:val="32"/>
                                <w:szCs w:val="32"/>
                              </w:rPr>
                            </w:pPr>
                          </w:p>
                          <w:p w14:paraId="68FFA641">
                            <w:pPr>
                              <w:jc w:val="center"/>
                              <w:rPr>
                                <w:rFonts w:ascii="楷体_GB2312" w:eastAsia="楷体_GB2312"/>
                                <w:sz w:val="28"/>
                                <w:szCs w:val="28"/>
                              </w:rPr>
                            </w:pPr>
                            <w:r>
                              <w:rPr>
                                <w:rFonts w:hint="eastAsia" w:ascii="楷体_GB2312" w:eastAsia="楷体_GB2312"/>
                                <w:sz w:val="28"/>
                                <w:szCs w:val="28"/>
                              </w:rPr>
                              <w:t>法定代表人身份证复印件</w:t>
                            </w:r>
                          </w:p>
                          <w:p w14:paraId="2353EA79">
                            <w:pPr>
                              <w:jc w:val="center"/>
                              <w:rPr>
                                <w:rFonts w:ascii="楷体_GB2312" w:eastAsia="楷体_GB2312"/>
                                <w:sz w:val="28"/>
                                <w:szCs w:val="28"/>
                              </w:rPr>
                            </w:pPr>
                            <w:r>
                              <w:rPr>
                                <w:rFonts w:hint="eastAsia" w:ascii="楷体_GB2312" w:eastAsia="楷体_GB2312"/>
                                <w:sz w:val="28"/>
                                <w:szCs w:val="28"/>
                              </w:rPr>
                              <w:t>正面</w:t>
                            </w:r>
                          </w:p>
                        </w:txbxContent>
                      </wps:txbx>
                      <wps:bodyPr upright="1"/>
                    </wps:wsp>
                  </a:graphicData>
                </a:graphic>
              </wp:anchor>
            </w:drawing>
          </mc:Choice>
          <mc:Fallback>
            <w:pict>
              <v:shape id="文本框 3"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jQWNF2AAAAAgBAAAPAAAAAAAAAAEAIAAAACIA&#10;AABkcnMvZG93bnJldi54bWxQSwECFAAUAAAACACHTuJAKGSXPgkCAAA3BAAADgAAAAAAAAABACAA&#10;AAAnAQAAZHJzL2Uyb0RvYy54bWxQSwUGAAAAAAYABgBZAQAAogUAAAAA&#10;">
                <v:fill on="t" focussize="0,0"/>
                <v:stroke color="#000000" joinstyle="miter"/>
                <v:imagedata o:title=""/>
                <o:lock v:ext="edit" aspectratio="f"/>
                <v:textbox>
                  <w:txbxContent>
                    <w:p w14:paraId="1936BD4F">
                      <w:pPr>
                        <w:jc w:val="left"/>
                        <w:rPr>
                          <w:rFonts w:ascii="黑体" w:eastAsia="黑体"/>
                          <w:sz w:val="32"/>
                          <w:szCs w:val="32"/>
                        </w:rPr>
                      </w:pPr>
                    </w:p>
                    <w:p w14:paraId="68FFA641">
                      <w:pPr>
                        <w:jc w:val="center"/>
                        <w:rPr>
                          <w:rFonts w:ascii="楷体_GB2312" w:eastAsia="楷体_GB2312"/>
                          <w:sz w:val="28"/>
                          <w:szCs w:val="28"/>
                        </w:rPr>
                      </w:pPr>
                      <w:r>
                        <w:rPr>
                          <w:rFonts w:hint="eastAsia" w:ascii="楷体_GB2312" w:eastAsia="楷体_GB2312"/>
                          <w:sz w:val="28"/>
                          <w:szCs w:val="28"/>
                        </w:rPr>
                        <w:t>法定代表人身份证复印件</w:t>
                      </w:r>
                    </w:p>
                    <w:p w14:paraId="2353EA79">
                      <w:pPr>
                        <w:jc w:val="center"/>
                        <w:rPr>
                          <w:rFonts w:ascii="楷体_GB2312" w:eastAsia="楷体_GB2312"/>
                          <w:sz w:val="28"/>
                          <w:szCs w:val="28"/>
                        </w:rPr>
                      </w:pPr>
                      <w:r>
                        <w:rPr>
                          <w:rFonts w:hint="eastAsia" w:ascii="楷体_GB2312" w:eastAsia="楷体_GB2312"/>
                          <w:sz w:val="28"/>
                          <w:szCs w:val="28"/>
                        </w:rPr>
                        <w:t>正面</w:t>
                      </w:r>
                    </w:p>
                  </w:txbxContent>
                </v:textbox>
              </v:shape>
            </w:pict>
          </mc:Fallback>
        </mc:AlternateContent>
      </w:r>
    </w:p>
    <w:p w14:paraId="5602BED8">
      <w:pPr>
        <w:spacing w:line="360" w:lineRule="auto"/>
        <w:rPr>
          <w:rFonts w:ascii="黑体" w:eastAsia="黑体"/>
          <w:bCs/>
          <w:color w:val="auto"/>
          <w:sz w:val="28"/>
          <w:szCs w:val="28"/>
          <w:highlight w:val="none"/>
        </w:rPr>
      </w:pPr>
    </w:p>
    <w:p w14:paraId="3D3D9E8F">
      <w:pPr>
        <w:spacing w:line="360" w:lineRule="auto"/>
        <w:jc w:val="center"/>
        <w:rPr>
          <w:rFonts w:ascii="黑体" w:eastAsia="黑体"/>
          <w:bCs/>
          <w:color w:val="auto"/>
          <w:sz w:val="28"/>
          <w:szCs w:val="28"/>
          <w:highlight w:val="none"/>
        </w:rPr>
      </w:pPr>
    </w:p>
    <w:p w14:paraId="22E91163">
      <w:pPr>
        <w:spacing w:line="360" w:lineRule="auto"/>
        <w:jc w:val="center"/>
        <w:rPr>
          <w:rFonts w:ascii="黑体" w:eastAsia="黑体"/>
          <w:bCs/>
          <w:color w:val="auto"/>
          <w:sz w:val="28"/>
          <w:szCs w:val="28"/>
          <w:highlight w:val="none"/>
        </w:rPr>
      </w:pPr>
    </w:p>
    <w:bookmarkEnd w:id="80"/>
    <w:p w14:paraId="1D0D48C0">
      <w:pPr>
        <w:spacing w:line="360" w:lineRule="auto"/>
        <w:rPr>
          <w:rFonts w:ascii="黑体" w:eastAsia="黑体"/>
          <w:bCs/>
          <w:color w:val="auto"/>
          <w:sz w:val="28"/>
          <w:szCs w:val="28"/>
          <w:highlight w:val="none"/>
        </w:rPr>
      </w:pPr>
    </w:p>
    <w:p w14:paraId="66858A45">
      <w:pPr>
        <w:ind w:firstLine="480" w:firstLineChars="200"/>
        <w:rPr>
          <w:rFonts w:ascii="宋体" w:hAnsi="宋体"/>
          <w:color w:val="auto"/>
          <w:sz w:val="24"/>
          <w:szCs w:val="28"/>
          <w:highlight w:val="none"/>
        </w:rPr>
      </w:pPr>
      <w:r>
        <w:rPr>
          <w:rFonts w:ascii="黑体" w:hAnsi="宋体" w:eastAsia="黑体"/>
          <w:bCs/>
          <w:color w:val="auto"/>
          <w:sz w:val="24"/>
          <w:szCs w:val="24"/>
          <w:highlight w:val="none"/>
        </w:rPr>
        <w:br w:type="page"/>
      </w:r>
      <w:r>
        <w:rPr>
          <w:rFonts w:hint="eastAsia" w:ascii="黑体" w:hAnsi="宋体" w:eastAsia="黑体"/>
          <w:bCs/>
          <w:color w:val="auto"/>
          <w:sz w:val="24"/>
          <w:szCs w:val="24"/>
          <w:highlight w:val="none"/>
        </w:rPr>
        <w:t>2、法定代表人授权委托书（格式）：</w:t>
      </w:r>
    </w:p>
    <w:p w14:paraId="71A9CD6B">
      <w:pPr>
        <w:spacing w:beforeLines="50" w:afterLines="50"/>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法定代表人授权书</w:t>
      </w:r>
    </w:p>
    <w:p w14:paraId="29C4C2BF">
      <w:pPr>
        <w:jc w:val="center"/>
        <w:rPr>
          <w:rFonts w:ascii="宋体" w:hAnsi="宋体"/>
          <w:color w:val="auto"/>
          <w:sz w:val="24"/>
          <w:szCs w:val="28"/>
          <w:highlight w:val="none"/>
        </w:rPr>
      </w:pPr>
    </w:p>
    <w:p w14:paraId="3069935F">
      <w:pPr>
        <w:tabs>
          <w:tab w:val="left" w:pos="255"/>
        </w:tabs>
        <w:spacing w:line="360" w:lineRule="auto"/>
        <w:ind w:left="420" w:leftChars="200"/>
        <w:jc w:val="right"/>
        <w:rPr>
          <w:rFonts w:ascii="宋体" w:hAnsi="宋体"/>
          <w:color w:val="auto"/>
          <w:sz w:val="24"/>
          <w:szCs w:val="21"/>
          <w:highlight w:val="none"/>
          <w:lang w:val="zh-CN"/>
        </w:rPr>
      </w:pPr>
      <w:r>
        <w:rPr>
          <w:rFonts w:hint="eastAsia" w:ascii="宋体" w:hAnsi="宋体"/>
          <w:color w:val="auto"/>
          <w:sz w:val="24"/>
          <w:szCs w:val="21"/>
          <w:highlight w:val="none"/>
          <w:lang w:val="zh-CN"/>
        </w:rPr>
        <w:t>项目编号：YXGYJT202512012（EPC）</w:t>
      </w:r>
    </w:p>
    <w:p w14:paraId="022DCEC1">
      <w:pPr>
        <w:tabs>
          <w:tab w:val="left" w:pos="255"/>
        </w:tabs>
        <w:spacing w:line="360" w:lineRule="auto"/>
        <w:ind w:left="420" w:leftChars="200" w:firstLine="6720" w:firstLineChars="2800"/>
        <w:jc w:val="both"/>
        <w:rPr>
          <w:rFonts w:ascii="宋体" w:hAnsi="宋体"/>
          <w:color w:val="auto"/>
          <w:sz w:val="24"/>
          <w:szCs w:val="21"/>
          <w:highlight w:val="none"/>
          <w:lang w:val="zh-CN"/>
        </w:rPr>
      </w:pPr>
      <w:r>
        <w:rPr>
          <w:rFonts w:hint="eastAsia" w:ascii="宋体" w:hAnsi="宋体"/>
          <w:color w:val="auto"/>
          <w:sz w:val="24"/>
          <w:szCs w:val="21"/>
          <w:highlight w:val="none"/>
          <w:lang w:val="zh-CN"/>
        </w:rPr>
        <w:t>日期：</w:t>
      </w:r>
    </w:p>
    <w:p w14:paraId="0A50D434">
      <w:pPr>
        <w:tabs>
          <w:tab w:val="left" w:pos="255"/>
        </w:tabs>
        <w:spacing w:line="360" w:lineRule="auto"/>
        <w:ind w:left="420" w:leftChars="200"/>
        <w:rPr>
          <w:rFonts w:ascii="宋体" w:hAnsi="宋体" w:eastAsia="宋体" w:cs="Times New Roman"/>
          <w:color w:val="auto"/>
          <w:sz w:val="24"/>
          <w:szCs w:val="21"/>
          <w:highlight w:val="none"/>
          <w:lang w:val="zh-CN"/>
        </w:rPr>
      </w:pPr>
      <w:r>
        <w:rPr>
          <w:rFonts w:hint="eastAsia" w:ascii="宋体" w:hAnsi="宋体" w:eastAsia="宋体" w:cs="Times New Roman"/>
          <w:bCs/>
          <w:color w:val="auto"/>
          <w:sz w:val="24"/>
          <w:szCs w:val="24"/>
          <w:highlight w:val="none"/>
          <w:lang w:eastAsia="zh-CN"/>
        </w:rPr>
        <w:t>宜兴市公用环保集团有限公司</w:t>
      </w:r>
      <w:r>
        <w:rPr>
          <w:rFonts w:hint="eastAsia" w:ascii="宋体" w:hAnsi="宋体" w:eastAsia="宋体" w:cs="Times New Roman"/>
          <w:bCs/>
          <w:color w:val="auto"/>
          <w:sz w:val="24"/>
          <w:szCs w:val="24"/>
          <w:highlight w:val="none"/>
        </w:rPr>
        <w:t>、</w:t>
      </w:r>
      <w:r>
        <w:rPr>
          <w:rFonts w:hint="eastAsia" w:ascii="宋体" w:hAnsi="宋体" w:eastAsia="宋体" w:cs="Times New Roman"/>
          <w:color w:val="auto"/>
          <w:sz w:val="24"/>
          <w:szCs w:val="21"/>
          <w:highlight w:val="none"/>
          <w:lang w:val="zh-CN"/>
        </w:rPr>
        <w:t>江苏希地丰华项目管理集团有限公司：</w:t>
      </w:r>
    </w:p>
    <w:p w14:paraId="2F32E087">
      <w:pPr>
        <w:tabs>
          <w:tab w:val="left" w:pos="255"/>
        </w:tabs>
        <w:spacing w:line="360" w:lineRule="auto"/>
        <w:ind w:left="420" w:leftChars="200" w:firstLine="480" w:firstLineChars="200"/>
        <w:rPr>
          <w:rFonts w:ascii="宋体" w:hAnsi="宋体" w:eastAsia="宋体" w:cs="Times New Roman"/>
          <w:color w:val="auto"/>
          <w:sz w:val="24"/>
          <w:szCs w:val="21"/>
          <w:highlight w:val="none"/>
          <w:lang w:val="zh-CN"/>
        </w:rPr>
      </w:pPr>
      <w:r>
        <w:rPr>
          <w:rFonts w:hint="eastAsia" w:ascii="宋体" w:hAnsi="宋体" w:eastAsia="宋体" w:cs="Times New Roman"/>
          <w:color w:val="auto"/>
          <w:sz w:val="24"/>
          <w:szCs w:val="21"/>
          <w:highlight w:val="none"/>
          <w:u w:val="single"/>
          <w:lang w:val="zh-CN"/>
        </w:rPr>
        <w:t>（单位）</w:t>
      </w:r>
      <w:r>
        <w:rPr>
          <w:rFonts w:hint="eastAsia" w:ascii="宋体" w:hAnsi="宋体" w:eastAsia="宋体" w:cs="Times New Roman"/>
          <w:color w:val="auto"/>
          <w:sz w:val="24"/>
          <w:szCs w:val="21"/>
          <w:highlight w:val="none"/>
          <w:lang w:val="zh-CN"/>
        </w:rPr>
        <w:t>系中华人民共和国合法企业。法定地址：</w:t>
      </w:r>
      <w:r>
        <w:rPr>
          <w:rFonts w:hint="eastAsia" w:ascii="宋体" w:hAnsi="宋体" w:eastAsia="宋体" w:cs="Times New Roman"/>
          <w:color w:val="auto"/>
          <w:sz w:val="24"/>
          <w:szCs w:val="21"/>
          <w:highlight w:val="none"/>
          <w:u w:val="single"/>
          <w:lang w:val="en-US" w:eastAsia="zh-CN"/>
        </w:rPr>
        <w:t xml:space="preserve">            </w:t>
      </w:r>
      <w:r>
        <w:rPr>
          <w:rFonts w:hint="eastAsia" w:ascii="宋体" w:hAnsi="宋体" w:eastAsia="宋体" w:cs="Times New Roman"/>
          <w:color w:val="auto"/>
          <w:sz w:val="24"/>
          <w:szCs w:val="21"/>
          <w:highlight w:val="none"/>
          <w:lang w:val="zh-CN"/>
        </w:rPr>
        <w:t>特授权代表我公司</w:t>
      </w:r>
      <w:r>
        <w:rPr>
          <w:rFonts w:hint="eastAsia" w:ascii="宋体" w:hAnsi="宋体" w:eastAsia="宋体" w:cs="Times New Roman"/>
          <w:color w:val="auto"/>
          <w:sz w:val="24"/>
          <w:szCs w:val="21"/>
          <w:highlight w:val="none"/>
          <w:u w:val="single"/>
          <w:lang w:val="zh-CN"/>
        </w:rPr>
        <w:t>（单位）</w:t>
      </w:r>
      <w:r>
        <w:rPr>
          <w:rFonts w:hint="eastAsia" w:ascii="宋体" w:hAnsi="宋体" w:eastAsia="宋体" w:cs="Times New Roman"/>
          <w:color w:val="auto"/>
          <w:sz w:val="24"/>
          <w:szCs w:val="21"/>
          <w:highlight w:val="none"/>
          <w:lang w:val="zh-CN"/>
        </w:rPr>
        <w:t>全权办理针对上述项目的投标、参与开标、谈判、签约等具体工作，并签署全部有关的文件、协议及合同。</w:t>
      </w:r>
    </w:p>
    <w:p w14:paraId="40EF8472">
      <w:pPr>
        <w:tabs>
          <w:tab w:val="left" w:pos="255"/>
        </w:tabs>
        <w:spacing w:line="360" w:lineRule="auto"/>
        <w:ind w:left="420" w:leftChars="200" w:firstLine="480" w:firstLineChars="200"/>
        <w:rPr>
          <w:rFonts w:ascii="宋体" w:hAnsi="宋体" w:eastAsia="宋体" w:cs="Times New Roman"/>
          <w:color w:val="auto"/>
          <w:sz w:val="24"/>
          <w:szCs w:val="21"/>
          <w:highlight w:val="none"/>
          <w:lang w:val="zh-CN"/>
        </w:rPr>
      </w:pPr>
      <w:r>
        <w:rPr>
          <w:rFonts w:hint="eastAsia" w:ascii="宋体" w:hAnsi="宋体" w:eastAsia="宋体" w:cs="Times New Roman"/>
          <w:color w:val="auto"/>
          <w:sz w:val="24"/>
          <w:szCs w:val="21"/>
          <w:highlight w:val="none"/>
          <w:lang w:val="zh-CN"/>
        </w:rPr>
        <w:t>我公司</w:t>
      </w:r>
      <w:r>
        <w:rPr>
          <w:rFonts w:hint="eastAsia" w:ascii="宋体" w:hAnsi="宋体" w:eastAsia="宋体" w:cs="Times New Roman"/>
          <w:color w:val="auto"/>
          <w:sz w:val="24"/>
          <w:szCs w:val="21"/>
          <w:highlight w:val="none"/>
          <w:u w:val="single"/>
          <w:lang w:val="zh-CN"/>
        </w:rPr>
        <w:t>（单位）</w:t>
      </w:r>
      <w:r>
        <w:rPr>
          <w:rFonts w:hint="eastAsia" w:ascii="宋体" w:hAnsi="宋体" w:eastAsia="宋体" w:cs="Times New Roman"/>
          <w:color w:val="auto"/>
          <w:sz w:val="24"/>
          <w:szCs w:val="21"/>
          <w:highlight w:val="none"/>
          <w:lang w:val="zh-CN"/>
        </w:rPr>
        <w:t>对被授权代表人的签名负全部责任。</w:t>
      </w:r>
    </w:p>
    <w:p w14:paraId="5F647CB1">
      <w:pPr>
        <w:tabs>
          <w:tab w:val="left" w:pos="255"/>
        </w:tabs>
        <w:spacing w:line="360" w:lineRule="auto"/>
        <w:ind w:left="420" w:leftChars="200" w:firstLine="480" w:firstLineChars="200"/>
        <w:rPr>
          <w:rFonts w:ascii="宋体" w:hAnsi="宋体" w:eastAsia="宋体" w:cs="Times New Roman"/>
          <w:color w:val="auto"/>
          <w:sz w:val="24"/>
          <w:szCs w:val="21"/>
          <w:highlight w:val="none"/>
          <w:lang w:val="zh-CN"/>
        </w:rPr>
      </w:pPr>
      <w:r>
        <w:rPr>
          <w:rFonts w:hint="eastAsia" w:ascii="宋体" w:hAnsi="宋体" w:eastAsia="宋体" w:cs="Times New Roman"/>
          <w:color w:val="auto"/>
          <w:sz w:val="24"/>
          <w:szCs w:val="21"/>
          <w:highlight w:val="none"/>
          <w:lang w:val="zh-CN"/>
        </w:rPr>
        <w:t>在撤销授权的书面通知送达你处以前，本授权书一直有效，被授权代表人签署的所有文件（在授权书有效期内签署的）不因授权的撤销而失效。</w:t>
      </w:r>
    </w:p>
    <w:p w14:paraId="6A6DEC68">
      <w:pPr>
        <w:tabs>
          <w:tab w:val="left" w:pos="255"/>
        </w:tabs>
        <w:spacing w:line="360" w:lineRule="auto"/>
        <w:ind w:left="420" w:leftChars="200" w:firstLine="480" w:firstLineChars="200"/>
        <w:rPr>
          <w:rFonts w:ascii="宋体" w:hAnsi="宋体" w:eastAsia="宋体" w:cs="Times New Roman"/>
          <w:color w:val="auto"/>
          <w:sz w:val="24"/>
          <w:szCs w:val="21"/>
          <w:highlight w:val="none"/>
          <w:lang w:val="zh-CN"/>
        </w:rPr>
      </w:pPr>
      <w:r>
        <w:rPr>
          <w:rFonts w:hint="eastAsia" w:ascii="宋体" w:hAnsi="宋体" w:eastAsia="宋体" w:cs="Times New Roman"/>
          <w:color w:val="auto"/>
          <w:sz w:val="24"/>
          <w:szCs w:val="21"/>
          <w:highlight w:val="none"/>
          <w:lang w:val="zh-CN"/>
        </w:rPr>
        <w:t>被授权代表人情况：</w:t>
      </w:r>
    </w:p>
    <w:p w14:paraId="0CB43150">
      <w:pPr>
        <w:tabs>
          <w:tab w:val="left" w:pos="255"/>
        </w:tabs>
        <w:spacing w:line="360" w:lineRule="auto"/>
        <w:ind w:left="420" w:leftChars="200" w:firstLine="480" w:firstLineChars="200"/>
        <w:rPr>
          <w:rFonts w:ascii="宋体" w:hAnsi="宋体" w:eastAsia="宋体" w:cs="Times New Roman"/>
          <w:color w:val="auto"/>
          <w:sz w:val="24"/>
          <w:szCs w:val="21"/>
          <w:highlight w:val="none"/>
          <w:lang w:val="zh-CN"/>
        </w:rPr>
      </w:pPr>
      <w:r>
        <w:rPr>
          <w:rFonts w:hint="eastAsia" w:ascii="宋体" w:hAnsi="宋体" w:eastAsia="宋体" w:cs="Times New Roman"/>
          <w:color w:val="auto"/>
          <w:sz w:val="24"/>
          <w:szCs w:val="21"/>
          <w:highlight w:val="none"/>
          <w:lang w:val="zh-CN"/>
        </w:rPr>
        <w:t>姓名：           性别：        年龄：         职务：</w:t>
      </w:r>
    </w:p>
    <w:p w14:paraId="5E43E6C8">
      <w:pPr>
        <w:tabs>
          <w:tab w:val="left" w:pos="255"/>
        </w:tabs>
        <w:spacing w:line="360" w:lineRule="auto"/>
        <w:ind w:left="420" w:leftChars="200" w:firstLine="480" w:firstLineChars="200"/>
        <w:rPr>
          <w:rFonts w:ascii="宋体" w:hAnsi="宋体" w:eastAsia="宋体" w:cs="Times New Roman"/>
          <w:color w:val="auto"/>
          <w:sz w:val="24"/>
          <w:szCs w:val="21"/>
          <w:highlight w:val="none"/>
          <w:lang w:val="zh-CN"/>
        </w:rPr>
      </w:pPr>
      <w:r>
        <w:rPr>
          <w:rFonts w:hint="eastAsia" w:ascii="宋体" w:hAnsi="宋体" w:eastAsia="宋体" w:cs="Times New Roman"/>
          <w:color w:val="auto"/>
          <w:sz w:val="24"/>
          <w:szCs w:val="21"/>
          <w:highlight w:val="none"/>
          <w:lang w:val="zh-CN"/>
        </w:rPr>
        <w:t>身份证号码：                   手机号码：</w:t>
      </w:r>
    </w:p>
    <w:p w14:paraId="0C8302F1">
      <w:pPr>
        <w:tabs>
          <w:tab w:val="left" w:pos="255"/>
        </w:tabs>
        <w:spacing w:line="360" w:lineRule="auto"/>
        <w:ind w:left="420" w:leftChars="200" w:firstLine="480" w:firstLineChars="200"/>
        <w:rPr>
          <w:rFonts w:ascii="宋体" w:hAnsi="宋体" w:eastAsia="宋体" w:cs="Times New Roman"/>
          <w:color w:val="auto"/>
          <w:sz w:val="24"/>
          <w:szCs w:val="21"/>
          <w:highlight w:val="none"/>
          <w:lang w:val="zh-CN"/>
        </w:rPr>
      </w:pPr>
      <w:r>
        <w:rPr>
          <w:rFonts w:hint="eastAsia" w:ascii="宋体" w:hAnsi="宋体" w:eastAsia="宋体" w:cs="Times New Roman"/>
          <w:color w:val="auto"/>
          <w:sz w:val="24"/>
          <w:szCs w:val="21"/>
          <w:highlight w:val="none"/>
          <w:lang w:val="zh-CN"/>
        </w:rPr>
        <w:t>办公电话：                     传真：</w:t>
      </w:r>
    </w:p>
    <w:p w14:paraId="1D5ED43B">
      <w:pPr>
        <w:tabs>
          <w:tab w:val="left" w:pos="255"/>
        </w:tabs>
        <w:spacing w:line="360" w:lineRule="auto"/>
        <w:ind w:left="420" w:leftChars="200" w:firstLine="480" w:firstLineChars="200"/>
        <w:rPr>
          <w:rFonts w:ascii="宋体" w:hAnsi="宋体" w:eastAsia="宋体" w:cs="Times New Roman"/>
          <w:color w:val="auto"/>
          <w:sz w:val="24"/>
          <w:szCs w:val="21"/>
          <w:highlight w:val="none"/>
          <w:lang w:val="zh-CN"/>
        </w:rPr>
      </w:pPr>
      <w:r>
        <w:rPr>
          <w:rFonts w:hint="eastAsia" w:ascii="宋体" w:hAnsi="宋体" w:eastAsia="宋体" w:cs="Times New Roman"/>
          <w:color w:val="auto"/>
          <w:sz w:val="24"/>
          <w:szCs w:val="21"/>
          <w:highlight w:val="none"/>
          <w:lang w:val="zh-CN"/>
        </w:rPr>
        <w:t>通讯地址：</w:t>
      </w:r>
    </w:p>
    <w:p w14:paraId="74451D05">
      <w:pPr>
        <w:tabs>
          <w:tab w:val="left" w:pos="255"/>
        </w:tabs>
        <w:spacing w:line="360" w:lineRule="auto"/>
        <w:ind w:left="420" w:leftChars="200" w:firstLine="480" w:firstLineChars="200"/>
        <w:rPr>
          <w:rFonts w:ascii="宋体" w:hAnsi="宋体" w:eastAsia="宋体" w:cs="Times New Roman"/>
          <w:color w:val="auto"/>
          <w:sz w:val="24"/>
          <w:szCs w:val="21"/>
          <w:highlight w:val="none"/>
          <w:lang w:val="zh-CN"/>
        </w:rPr>
      </w:pPr>
      <w:r>
        <w:rPr>
          <w:rFonts w:hint="eastAsia" w:ascii="宋体" w:hAnsi="宋体" w:eastAsia="宋体" w:cs="Times New Roman"/>
          <w:color w:val="auto"/>
          <w:sz w:val="24"/>
          <w:szCs w:val="21"/>
          <w:highlight w:val="none"/>
          <w:lang w:val="zh-CN"/>
        </w:rPr>
        <w:t>被授权代表人签名：                  单位名称（公章）：</w:t>
      </w:r>
    </w:p>
    <w:p w14:paraId="24CCA200">
      <w:pPr>
        <w:tabs>
          <w:tab w:val="left" w:pos="255"/>
        </w:tabs>
        <w:spacing w:line="360" w:lineRule="auto"/>
        <w:ind w:left="420" w:leftChars="200" w:firstLine="480" w:firstLineChars="200"/>
        <w:rPr>
          <w:rFonts w:ascii="宋体" w:hAnsi="宋体" w:eastAsia="宋体" w:cs="Times New Roman"/>
          <w:color w:val="auto"/>
          <w:sz w:val="24"/>
          <w:szCs w:val="21"/>
          <w:highlight w:val="none"/>
          <w:lang w:val="zh-CN"/>
        </w:rPr>
      </w:pPr>
      <w:r>
        <w:rPr>
          <w:rFonts w:hint="eastAsia" w:ascii="宋体" w:hAnsi="宋体" w:eastAsia="宋体" w:cs="Times New Roman"/>
          <w:color w:val="auto"/>
          <w:sz w:val="24"/>
          <w:szCs w:val="21"/>
          <w:highlight w:val="none"/>
          <w:lang w:val="zh-CN"/>
        </w:rPr>
        <w:t xml:space="preserve">                                    法定代表人签名：</w:t>
      </w:r>
    </w:p>
    <w:p w14:paraId="505C2411">
      <w:pPr>
        <w:spacing w:line="360" w:lineRule="auto"/>
        <w:rPr>
          <w:rFonts w:ascii="黑体" w:hAnsi="Calibri" w:eastAsia="黑体" w:cs="Times New Roman"/>
          <w:bCs/>
          <w:color w:val="auto"/>
          <w:sz w:val="28"/>
          <w:szCs w:val="28"/>
          <w:highlight w:val="none"/>
        </w:rPr>
      </w:pPr>
    </w:p>
    <w:p w14:paraId="586F6459">
      <w:pPr>
        <w:spacing w:line="360" w:lineRule="auto"/>
        <w:rPr>
          <w:rFonts w:ascii="黑体" w:eastAsia="黑体"/>
          <w:bCs/>
          <w:color w:val="auto"/>
          <w:sz w:val="28"/>
          <w:szCs w:val="28"/>
          <w:highlight w:val="none"/>
        </w:rPr>
      </w:pPr>
      <w:r>
        <w:rPr>
          <w:rFonts w:ascii="楷体_GB2312" w:hAnsi="宋体" w:eastAsia="楷体_GB2312"/>
          <w:bCs/>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4" name="文本框 5"/>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2375E64">
                            <w:pPr>
                              <w:jc w:val="left"/>
                              <w:rPr>
                                <w:rFonts w:ascii="黑体" w:eastAsia="黑体"/>
                                <w:sz w:val="32"/>
                                <w:szCs w:val="32"/>
                              </w:rPr>
                            </w:pPr>
                          </w:p>
                          <w:p w14:paraId="1AB612B8">
                            <w:pPr>
                              <w:jc w:val="center"/>
                              <w:rPr>
                                <w:rFonts w:ascii="楷体_GB2312" w:eastAsia="楷体_GB2312"/>
                                <w:sz w:val="28"/>
                                <w:szCs w:val="28"/>
                              </w:rPr>
                            </w:pPr>
                            <w:r>
                              <w:rPr>
                                <w:rFonts w:hint="eastAsia" w:ascii="楷体_GB2312" w:eastAsia="楷体_GB2312"/>
                                <w:sz w:val="28"/>
                                <w:szCs w:val="28"/>
                              </w:rPr>
                              <w:t>被授权代表身份证复印件</w:t>
                            </w:r>
                          </w:p>
                          <w:p w14:paraId="5A55DEEC">
                            <w:pPr>
                              <w:jc w:val="center"/>
                              <w:rPr>
                                <w:rFonts w:ascii="楷体_GB2312" w:eastAsia="楷体_GB2312"/>
                                <w:sz w:val="28"/>
                                <w:szCs w:val="28"/>
                              </w:rPr>
                            </w:pPr>
                            <w:r>
                              <w:rPr>
                                <w:rFonts w:hint="eastAsia" w:ascii="楷体_GB2312" w:eastAsia="楷体_GB2312"/>
                                <w:sz w:val="28"/>
                                <w:szCs w:val="28"/>
                              </w:rPr>
                              <w:t>反面</w:t>
                            </w:r>
                          </w:p>
                          <w:p w14:paraId="34802CE0">
                            <w:pPr>
                              <w:jc w:val="center"/>
                              <w:rPr>
                                <w:rFonts w:ascii="楷体_GB2312" w:eastAsia="楷体_GB2312"/>
                                <w:sz w:val="28"/>
                                <w:szCs w:val="28"/>
                              </w:rPr>
                            </w:pPr>
                          </w:p>
                        </w:txbxContent>
                      </wps:txbx>
                      <wps:bodyPr upright="1"/>
                    </wps:wsp>
                  </a:graphicData>
                </a:graphic>
              </wp:anchor>
            </w:drawing>
          </mc:Choice>
          <mc:Fallback>
            <w:pict>
              <v:shape id="文本框 5" o:spid="_x0000_s1026" o:spt="202" type="#_x0000_t202" style="position:absolute;left:0pt;margin-left:245.9pt;margin-top:2.05pt;height:163pt;width:241.35pt;z-index:251662336;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Y5PknZAAAACQEAAA8AAAAAAAAAAQAg&#10;AAAAIgAAAGRycy9kb3ducmV2LnhtbFBLAQIUABQAAAAIAIdO4kCbTMR9DQIAADcEAAAOAAAAAAAA&#10;AAEAIAAAACgBAABkcnMvZTJvRG9jLnhtbFBLBQYAAAAABgAGAFkBAACnBQAAAAA=&#10;">
                <v:fill on="t" focussize="0,0"/>
                <v:stroke color="#000000" joinstyle="miter"/>
                <v:imagedata o:title=""/>
                <o:lock v:ext="edit" aspectratio="f"/>
                <v:textbox>
                  <w:txbxContent>
                    <w:p w14:paraId="72375E64">
                      <w:pPr>
                        <w:jc w:val="left"/>
                        <w:rPr>
                          <w:rFonts w:ascii="黑体" w:eastAsia="黑体"/>
                          <w:sz w:val="32"/>
                          <w:szCs w:val="32"/>
                        </w:rPr>
                      </w:pPr>
                    </w:p>
                    <w:p w14:paraId="1AB612B8">
                      <w:pPr>
                        <w:jc w:val="center"/>
                        <w:rPr>
                          <w:rFonts w:ascii="楷体_GB2312" w:eastAsia="楷体_GB2312"/>
                          <w:sz w:val="28"/>
                          <w:szCs w:val="28"/>
                        </w:rPr>
                      </w:pPr>
                      <w:r>
                        <w:rPr>
                          <w:rFonts w:hint="eastAsia" w:ascii="楷体_GB2312" w:eastAsia="楷体_GB2312"/>
                          <w:sz w:val="28"/>
                          <w:szCs w:val="28"/>
                        </w:rPr>
                        <w:t>被授权代表身份证复印件</w:t>
                      </w:r>
                    </w:p>
                    <w:p w14:paraId="5A55DEEC">
                      <w:pPr>
                        <w:jc w:val="center"/>
                        <w:rPr>
                          <w:rFonts w:ascii="楷体_GB2312" w:eastAsia="楷体_GB2312"/>
                          <w:sz w:val="28"/>
                          <w:szCs w:val="28"/>
                        </w:rPr>
                      </w:pPr>
                      <w:r>
                        <w:rPr>
                          <w:rFonts w:hint="eastAsia" w:ascii="楷体_GB2312" w:eastAsia="楷体_GB2312"/>
                          <w:sz w:val="28"/>
                          <w:szCs w:val="28"/>
                        </w:rPr>
                        <w:t>反面</w:t>
                      </w:r>
                    </w:p>
                    <w:p w14:paraId="34802CE0">
                      <w:pPr>
                        <w:jc w:val="center"/>
                        <w:rPr>
                          <w:rFonts w:ascii="楷体_GB2312" w:eastAsia="楷体_GB2312"/>
                          <w:sz w:val="28"/>
                          <w:szCs w:val="28"/>
                        </w:rPr>
                      </w:pPr>
                    </w:p>
                  </w:txbxContent>
                </v:textbox>
              </v:shape>
            </w:pict>
          </mc:Fallback>
        </mc:AlternateContent>
      </w:r>
      <w:r>
        <w:rPr>
          <w:rFonts w:ascii="楷体_GB2312" w:hAnsi="宋体" w:eastAsia="楷体_GB2312"/>
          <w:bCs/>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3" name="文本框 4"/>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BB3C722">
                            <w:pPr>
                              <w:jc w:val="left"/>
                              <w:rPr>
                                <w:rFonts w:ascii="黑体" w:eastAsia="黑体"/>
                                <w:sz w:val="32"/>
                                <w:szCs w:val="32"/>
                              </w:rPr>
                            </w:pPr>
                          </w:p>
                          <w:p w14:paraId="33FF35D0">
                            <w:pPr>
                              <w:jc w:val="center"/>
                              <w:rPr>
                                <w:rFonts w:ascii="楷体_GB2312" w:eastAsia="楷体_GB2312"/>
                                <w:sz w:val="28"/>
                                <w:szCs w:val="28"/>
                              </w:rPr>
                            </w:pPr>
                            <w:r>
                              <w:rPr>
                                <w:rFonts w:hint="eastAsia" w:ascii="楷体_GB2312" w:eastAsia="楷体_GB2312"/>
                                <w:sz w:val="28"/>
                                <w:szCs w:val="28"/>
                              </w:rPr>
                              <w:t>被授权代表身份证复印件</w:t>
                            </w:r>
                          </w:p>
                          <w:p w14:paraId="39D56011">
                            <w:pPr>
                              <w:jc w:val="center"/>
                              <w:rPr>
                                <w:rFonts w:ascii="楷体_GB2312" w:eastAsia="楷体_GB2312"/>
                                <w:sz w:val="28"/>
                                <w:szCs w:val="28"/>
                              </w:rPr>
                            </w:pPr>
                            <w:r>
                              <w:rPr>
                                <w:rFonts w:hint="eastAsia" w:ascii="楷体_GB2312" w:eastAsia="楷体_GB2312"/>
                                <w:sz w:val="28"/>
                                <w:szCs w:val="28"/>
                              </w:rPr>
                              <w:t>正面</w:t>
                            </w:r>
                          </w:p>
                          <w:p w14:paraId="529EBC01">
                            <w:pPr>
                              <w:jc w:val="center"/>
                              <w:rPr>
                                <w:rFonts w:ascii="楷体_GB2312" w:eastAsia="楷体_GB2312"/>
                                <w:sz w:val="28"/>
                                <w:szCs w:val="28"/>
                              </w:rPr>
                            </w:pPr>
                          </w:p>
                        </w:txbxContent>
                      </wps:txbx>
                      <wps:bodyPr upright="1"/>
                    </wps:wsp>
                  </a:graphicData>
                </a:graphic>
              </wp:anchor>
            </w:drawing>
          </mc:Choice>
          <mc:Fallback>
            <w:pict>
              <v:shape id="文本框 4"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NBY0XYAAAACAEAAA8AAAAAAAAAAQAgAAAA&#10;IgAAAGRycy9kb3ducmV2LnhtbFBLAQIUABQAAAAIAIdO4kAV5ubuCwIAADcEAAAOAAAAAAAAAAEA&#10;IAAAACcBAABkcnMvZTJvRG9jLnhtbFBLBQYAAAAABgAGAFkBAACkBQAAAAA=&#10;">
                <v:fill on="t" focussize="0,0"/>
                <v:stroke color="#000000" joinstyle="miter"/>
                <v:imagedata o:title=""/>
                <o:lock v:ext="edit" aspectratio="f"/>
                <v:textbox>
                  <w:txbxContent>
                    <w:p w14:paraId="0BB3C722">
                      <w:pPr>
                        <w:jc w:val="left"/>
                        <w:rPr>
                          <w:rFonts w:ascii="黑体" w:eastAsia="黑体"/>
                          <w:sz w:val="32"/>
                          <w:szCs w:val="32"/>
                        </w:rPr>
                      </w:pPr>
                    </w:p>
                    <w:p w14:paraId="33FF35D0">
                      <w:pPr>
                        <w:jc w:val="center"/>
                        <w:rPr>
                          <w:rFonts w:ascii="楷体_GB2312" w:eastAsia="楷体_GB2312"/>
                          <w:sz w:val="28"/>
                          <w:szCs w:val="28"/>
                        </w:rPr>
                      </w:pPr>
                      <w:r>
                        <w:rPr>
                          <w:rFonts w:hint="eastAsia" w:ascii="楷体_GB2312" w:eastAsia="楷体_GB2312"/>
                          <w:sz w:val="28"/>
                          <w:szCs w:val="28"/>
                        </w:rPr>
                        <w:t>被授权代表身份证复印件</w:t>
                      </w:r>
                    </w:p>
                    <w:p w14:paraId="39D56011">
                      <w:pPr>
                        <w:jc w:val="center"/>
                        <w:rPr>
                          <w:rFonts w:ascii="楷体_GB2312" w:eastAsia="楷体_GB2312"/>
                          <w:sz w:val="28"/>
                          <w:szCs w:val="28"/>
                        </w:rPr>
                      </w:pPr>
                      <w:r>
                        <w:rPr>
                          <w:rFonts w:hint="eastAsia" w:ascii="楷体_GB2312" w:eastAsia="楷体_GB2312"/>
                          <w:sz w:val="28"/>
                          <w:szCs w:val="28"/>
                        </w:rPr>
                        <w:t>正面</w:t>
                      </w:r>
                    </w:p>
                    <w:p w14:paraId="529EBC01">
                      <w:pPr>
                        <w:jc w:val="center"/>
                        <w:rPr>
                          <w:rFonts w:ascii="楷体_GB2312" w:eastAsia="楷体_GB2312"/>
                          <w:sz w:val="28"/>
                          <w:szCs w:val="28"/>
                        </w:rPr>
                      </w:pPr>
                    </w:p>
                  </w:txbxContent>
                </v:textbox>
              </v:shape>
            </w:pict>
          </mc:Fallback>
        </mc:AlternateContent>
      </w:r>
    </w:p>
    <w:p w14:paraId="4916CA54">
      <w:pPr>
        <w:spacing w:line="360" w:lineRule="auto"/>
        <w:rPr>
          <w:rFonts w:ascii="黑体" w:eastAsia="黑体"/>
          <w:bCs/>
          <w:color w:val="auto"/>
          <w:sz w:val="28"/>
          <w:szCs w:val="28"/>
          <w:highlight w:val="none"/>
        </w:rPr>
      </w:pPr>
    </w:p>
    <w:p w14:paraId="785B3BDD">
      <w:pPr>
        <w:spacing w:line="360" w:lineRule="auto"/>
        <w:jc w:val="center"/>
        <w:rPr>
          <w:rFonts w:ascii="黑体" w:eastAsia="黑体"/>
          <w:bCs/>
          <w:color w:val="auto"/>
          <w:sz w:val="28"/>
          <w:szCs w:val="28"/>
          <w:highlight w:val="none"/>
        </w:rPr>
      </w:pPr>
    </w:p>
    <w:p w14:paraId="73528B16">
      <w:pPr>
        <w:spacing w:line="360" w:lineRule="auto"/>
        <w:jc w:val="center"/>
        <w:rPr>
          <w:rFonts w:ascii="黑体" w:eastAsia="黑体"/>
          <w:bCs/>
          <w:color w:val="auto"/>
          <w:sz w:val="28"/>
          <w:szCs w:val="28"/>
          <w:highlight w:val="none"/>
        </w:rPr>
      </w:pPr>
    </w:p>
    <w:p w14:paraId="447AA2FF">
      <w:pPr>
        <w:spacing w:line="360" w:lineRule="auto"/>
        <w:ind w:firstLine="480" w:firstLineChars="200"/>
        <w:rPr>
          <w:rFonts w:ascii="黑体" w:hAnsi="宋体" w:eastAsia="黑体"/>
          <w:bCs/>
          <w:color w:val="auto"/>
          <w:sz w:val="24"/>
          <w:szCs w:val="24"/>
          <w:highlight w:val="none"/>
        </w:rPr>
      </w:pPr>
    </w:p>
    <w:p w14:paraId="41B49BDA">
      <w:pPr>
        <w:rPr>
          <w:rFonts w:ascii="黑体" w:hAnsi="宋体" w:eastAsia="黑体"/>
          <w:bCs/>
          <w:color w:val="auto"/>
          <w:sz w:val="24"/>
          <w:szCs w:val="24"/>
          <w:highlight w:val="none"/>
        </w:rPr>
      </w:pPr>
    </w:p>
    <w:p w14:paraId="639F1091">
      <w:pPr>
        <w:ind w:firstLine="480" w:firstLineChars="200"/>
        <w:rPr>
          <w:rFonts w:ascii="黑体" w:hAnsi="宋体" w:eastAsia="黑体"/>
          <w:bCs/>
          <w:color w:val="auto"/>
          <w:sz w:val="24"/>
          <w:szCs w:val="24"/>
          <w:highlight w:val="none"/>
        </w:rPr>
      </w:pPr>
      <w:bookmarkStart w:id="81" w:name="_Toc27231"/>
      <w:r>
        <w:rPr>
          <w:rFonts w:ascii="黑体" w:hAnsi="宋体" w:eastAsia="黑体"/>
          <w:bCs/>
          <w:color w:val="auto"/>
          <w:sz w:val="24"/>
          <w:szCs w:val="24"/>
          <w:highlight w:val="none"/>
        </w:rPr>
        <w:br w:type="page"/>
      </w:r>
      <w:r>
        <w:rPr>
          <w:rFonts w:hint="eastAsia" w:ascii="黑体" w:hAnsi="宋体" w:eastAsia="黑体"/>
          <w:bCs/>
          <w:color w:val="auto"/>
          <w:sz w:val="24"/>
          <w:szCs w:val="24"/>
          <w:highlight w:val="none"/>
        </w:rPr>
        <w:t>3、资格性证明材料复印件：</w:t>
      </w:r>
      <w:bookmarkEnd w:id="81"/>
    </w:p>
    <w:p w14:paraId="1FE99305">
      <w:pPr>
        <w:spacing w:beforeLines="50" w:afterLines="50" w:line="480" w:lineRule="auto"/>
        <w:jc w:val="center"/>
        <w:rPr>
          <w:rFonts w:ascii="宋体" w:hAnsi="宋体"/>
          <w:bCs/>
          <w:color w:val="auto"/>
          <w:sz w:val="24"/>
          <w:szCs w:val="24"/>
          <w:highlight w:val="none"/>
        </w:rPr>
      </w:pPr>
      <w:r>
        <w:rPr>
          <w:rFonts w:hint="eastAsia" w:ascii="黑体" w:hAnsi="黑体" w:eastAsia="黑体"/>
          <w:bCs/>
          <w:color w:val="auto"/>
          <w:sz w:val="28"/>
          <w:szCs w:val="24"/>
          <w:highlight w:val="none"/>
        </w:rPr>
        <w:t>资格性证明材料</w:t>
      </w:r>
    </w:p>
    <w:p w14:paraId="39368DF7">
      <w:pPr>
        <w:spacing w:line="480" w:lineRule="auto"/>
        <w:jc w:val="center"/>
        <w:rPr>
          <w:rFonts w:hint="eastAsia" w:ascii="宋体" w:eastAsiaTheme="minorEastAsia"/>
          <w:bCs/>
          <w:color w:val="auto"/>
          <w:sz w:val="24"/>
          <w:szCs w:val="24"/>
          <w:highlight w:val="none"/>
          <w:lang w:eastAsia="zh-CN"/>
        </w:rPr>
      </w:pP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val="en-US" w:eastAsia="zh-CN"/>
        </w:rPr>
        <w:t xml:space="preserve">   </w:t>
      </w:r>
      <w:r>
        <w:rPr>
          <w:rFonts w:hint="eastAsia" w:ascii="宋体" w:hAnsi="宋体"/>
          <w:bCs/>
          <w:color w:val="auto"/>
          <w:sz w:val="24"/>
          <w:szCs w:val="24"/>
          <w:highlight w:val="none"/>
        </w:rPr>
        <w:t>项目编号：</w:t>
      </w:r>
      <w:r>
        <w:rPr>
          <w:rFonts w:hint="eastAsia" w:ascii="宋体" w:hAnsi="宋体"/>
          <w:bCs/>
          <w:color w:val="auto"/>
          <w:sz w:val="24"/>
          <w:szCs w:val="24"/>
          <w:highlight w:val="none"/>
          <w:lang w:eastAsia="zh-CN"/>
        </w:rPr>
        <w:t>YXGYJT202512012（EPC）</w:t>
      </w:r>
    </w:p>
    <w:p w14:paraId="1C512BE0">
      <w:pPr>
        <w:spacing w:line="360" w:lineRule="auto"/>
        <w:jc w:val="center"/>
        <w:rPr>
          <w:rFonts w:ascii="宋体" w:hAnsi="宋体"/>
          <w:bCs/>
          <w:color w:val="auto"/>
          <w:sz w:val="24"/>
          <w:szCs w:val="24"/>
          <w:highlight w:val="none"/>
        </w:rPr>
      </w:pPr>
      <w:r>
        <w:rPr>
          <w:rFonts w:hint="eastAsia" w:ascii="宋体" w:hAnsi="宋体"/>
          <w:bCs/>
          <w:color w:val="auto"/>
          <w:sz w:val="24"/>
          <w:szCs w:val="24"/>
          <w:highlight w:val="none"/>
        </w:rPr>
        <w:t xml:space="preserve">            日期：</w:t>
      </w:r>
    </w:p>
    <w:p w14:paraId="6514854B">
      <w:pPr>
        <w:spacing w:line="480" w:lineRule="auto"/>
        <w:rPr>
          <w:rFonts w:ascii="宋体" w:hAnsi="宋体" w:cs="宋体"/>
          <w:color w:val="auto"/>
          <w:sz w:val="24"/>
          <w:szCs w:val="24"/>
          <w:highlight w:val="none"/>
        </w:rPr>
      </w:pPr>
      <w:r>
        <w:rPr>
          <w:rFonts w:hint="eastAsia" w:ascii="宋体" w:hAnsi="宋体"/>
          <w:bCs/>
          <w:color w:val="auto"/>
          <w:sz w:val="24"/>
          <w:szCs w:val="24"/>
          <w:highlight w:val="none"/>
        </w:rPr>
        <w:t>投标人应按以下顺序提供相关材料复印件：</w:t>
      </w:r>
    </w:p>
    <w:p w14:paraId="780CBFB5">
      <w:pPr>
        <w:numPr>
          <w:ilvl w:val="0"/>
          <w:numId w:val="0"/>
        </w:numPr>
        <w:tabs>
          <w:tab w:val="left" w:pos="0"/>
          <w:tab w:val="left" w:pos="255"/>
        </w:tabs>
        <w:spacing w:line="360" w:lineRule="auto"/>
        <w:ind w:left="26" w:leftChars="0" w:firstLine="480" w:firstLineChars="200"/>
        <w:rPr>
          <w:rFonts w:ascii="宋体" w:hAnsi="宋体"/>
          <w:color w:val="auto"/>
          <w:sz w:val="24"/>
          <w:szCs w:val="24"/>
          <w:highlight w:val="none"/>
        </w:rPr>
      </w:pPr>
      <w:r>
        <w:rPr>
          <w:rFonts w:hint="eastAsia" w:ascii="宋体" w:hAnsi="宋体" w:cstheme="minorBidi"/>
          <w:color w:val="auto"/>
          <w:kern w:val="2"/>
          <w:sz w:val="24"/>
          <w:szCs w:val="24"/>
          <w:lang w:val="en-US" w:eastAsia="zh-CN" w:bidi="ar-SA"/>
        </w:rPr>
        <w:t>①</w:t>
      </w:r>
      <w:r>
        <w:rPr>
          <w:rFonts w:hint="eastAsia" w:ascii="宋体" w:hAnsi="宋体" w:eastAsiaTheme="minorEastAsia" w:cstheme="minorBidi"/>
          <w:color w:val="auto"/>
          <w:kern w:val="2"/>
          <w:sz w:val="24"/>
          <w:szCs w:val="24"/>
          <w:lang w:val="en-US" w:eastAsia="zh-CN" w:bidi="ar-SA"/>
        </w:rPr>
        <w:t>　</w:t>
      </w:r>
      <w:r>
        <w:rPr>
          <w:rFonts w:hint="eastAsia" w:ascii="宋体" w:hAnsi="宋体"/>
          <w:color w:val="auto"/>
          <w:sz w:val="24"/>
          <w:szCs w:val="24"/>
          <w:highlight w:val="none"/>
        </w:rPr>
        <w:t>关于资格的声明函（附法定代表人身份证复印件）（格式见附件）；</w:t>
      </w:r>
    </w:p>
    <w:p w14:paraId="697B61FE">
      <w:pPr>
        <w:numPr>
          <w:ilvl w:val="0"/>
          <w:numId w:val="0"/>
        </w:numPr>
        <w:tabs>
          <w:tab w:val="left" w:pos="0"/>
          <w:tab w:val="left" w:pos="255"/>
        </w:tabs>
        <w:spacing w:line="360" w:lineRule="auto"/>
        <w:ind w:left="26" w:leftChars="0" w:firstLine="480" w:firstLineChars="200"/>
        <w:rPr>
          <w:rFonts w:ascii="宋体" w:hAnsi="宋体"/>
          <w:color w:val="auto"/>
          <w:sz w:val="24"/>
          <w:szCs w:val="24"/>
          <w:highlight w:val="none"/>
        </w:rPr>
      </w:pPr>
      <w:r>
        <w:rPr>
          <w:rFonts w:hint="eastAsia" w:ascii="宋体" w:hAnsi="宋体" w:cstheme="minorBidi"/>
          <w:color w:val="auto"/>
          <w:kern w:val="2"/>
          <w:sz w:val="24"/>
          <w:szCs w:val="24"/>
          <w:lang w:val="en-US" w:eastAsia="zh-CN" w:bidi="ar-SA"/>
        </w:rPr>
        <w:t>②</w:t>
      </w:r>
      <w:r>
        <w:rPr>
          <w:rFonts w:hint="eastAsia" w:ascii="宋体" w:hAnsi="宋体" w:eastAsiaTheme="minorEastAsia" w:cstheme="minorBidi"/>
          <w:color w:val="auto"/>
          <w:kern w:val="2"/>
          <w:sz w:val="24"/>
          <w:szCs w:val="24"/>
          <w:lang w:val="en-US" w:eastAsia="zh-CN" w:bidi="ar-SA"/>
        </w:rPr>
        <w:t>　</w:t>
      </w:r>
      <w:r>
        <w:rPr>
          <w:rFonts w:hint="eastAsia" w:ascii="宋体" w:hAnsi="宋体"/>
          <w:color w:val="auto"/>
          <w:sz w:val="24"/>
          <w:szCs w:val="24"/>
          <w:highlight w:val="none"/>
        </w:rPr>
        <w:t>投标人法定代表人授权委托书</w:t>
      </w:r>
      <w:r>
        <w:rPr>
          <w:rFonts w:hint="eastAsia" w:ascii="宋体" w:hAnsi="宋体"/>
          <w:color w:val="auto"/>
          <w:sz w:val="24"/>
          <w:szCs w:val="21"/>
          <w:highlight w:val="none"/>
        </w:rPr>
        <w:t>及被</w:t>
      </w:r>
      <w:r>
        <w:rPr>
          <w:rFonts w:hint="eastAsia" w:ascii="宋体" w:hAnsi="宋体"/>
          <w:color w:val="auto"/>
          <w:sz w:val="24"/>
          <w:szCs w:val="24"/>
          <w:highlight w:val="none"/>
        </w:rPr>
        <w:t>授权代表</w:t>
      </w:r>
      <w:r>
        <w:rPr>
          <w:rFonts w:hint="eastAsia" w:ascii="宋体" w:hAnsi="宋体"/>
          <w:color w:val="auto"/>
          <w:sz w:val="24"/>
          <w:szCs w:val="21"/>
          <w:highlight w:val="none"/>
        </w:rPr>
        <w:t>的身份证复印件</w:t>
      </w:r>
      <w:r>
        <w:rPr>
          <w:rFonts w:hint="eastAsia" w:ascii="宋体" w:hAnsi="宋体"/>
          <w:color w:val="auto"/>
          <w:sz w:val="24"/>
          <w:szCs w:val="24"/>
          <w:highlight w:val="none"/>
        </w:rPr>
        <w:t>（格式见附件，法定代表人亲自参加投标的除外）；</w:t>
      </w:r>
    </w:p>
    <w:p w14:paraId="621F0334">
      <w:pPr>
        <w:numPr>
          <w:ilvl w:val="0"/>
          <w:numId w:val="0"/>
        </w:numPr>
        <w:tabs>
          <w:tab w:val="left" w:pos="0"/>
          <w:tab w:val="left" w:pos="255"/>
        </w:tabs>
        <w:spacing w:line="360" w:lineRule="auto"/>
        <w:ind w:left="26" w:leftChars="0" w:firstLine="480" w:firstLineChars="200"/>
        <w:rPr>
          <w:rFonts w:ascii="宋体" w:hAnsi="宋体"/>
          <w:color w:val="auto"/>
          <w:sz w:val="24"/>
          <w:szCs w:val="24"/>
          <w:highlight w:val="none"/>
        </w:rPr>
      </w:pPr>
      <w:r>
        <w:rPr>
          <w:rFonts w:hint="eastAsia" w:ascii="宋体" w:hAnsi="宋体" w:cstheme="minorBidi"/>
          <w:color w:val="auto"/>
          <w:kern w:val="2"/>
          <w:sz w:val="24"/>
          <w:szCs w:val="24"/>
          <w:lang w:val="en-US" w:eastAsia="zh-CN" w:bidi="ar-SA"/>
        </w:rPr>
        <w:t>③</w:t>
      </w:r>
      <w:r>
        <w:rPr>
          <w:rFonts w:hint="eastAsia" w:ascii="宋体" w:hAnsi="宋体" w:eastAsiaTheme="minorEastAsia" w:cstheme="minorBidi"/>
          <w:color w:val="auto"/>
          <w:kern w:val="2"/>
          <w:sz w:val="24"/>
          <w:szCs w:val="24"/>
          <w:lang w:val="en-US" w:eastAsia="zh-CN" w:bidi="ar-SA"/>
        </w:rPr>
        <w:t>　</w:t>
      </w:r>
      <w:r>
        <w:rPr>
          <w:rFonts w:hint="eastAsia" w:ascii="宋体" w:hAnsi="宋体"/>
          <w:color w:val="auto"/>
          <w:sz w:val="24"/>
          <w:szCs w:val="24"/>
          <w:highlight w:val="none"/>
        </w:rPr>
        <w:t>具有独立承担民事责任能力的</w:t>
      </w:r>
      <w:r>
        <w:rPr>
          <w:rFonts w:hint="eastAsia" w:ascii="宋体" w:hAnsi="宋体" w:eastAsia="宋体" w:cs="Times New Roman"/>
          <w:color w:val="auto"/>
          <w:sz w:val="24"/>
          <w:szCs w:val="21"/>
          <w:highlight w:val="none"/>
          <w:lang w:val="zh-CN"/>
        </w:rPr>
        <w:t>营业执照</w:t>
      </w:r>
      <w:r>
        <w:rPr>
          <w:rFonts w:hint="eastAsia" w:ascii="宋体" w:hAnsi="宋体"/>
          <w:color w:val="auto"/>
          <w:sz w:val="24"/>
          <w:szCs w:val="21"/>
          <w:highlight w:val="none"/>
          <w:lang w:val="zh-CN"/>
        </w:rPr>
        <w:t>或法人（登记）证书复印件；</w:t>
      </w:r>
    </w:p>
    <w:p w14:paraId="6BC3FA66">
      <w:pPr>
        <w:numPr>
          <w:ilvl w:val="0"/>
          <w:numId w:val="0"/>
        </w:numPr>
        <w:tabs>
          <w:tab w:val="left" w:pos="420"/>
          <w:tab w:val="left" w:pos="945"/>
          <w:tab w:val="left" w:pos="1155"/>
        </w:tabs>
        <w:spacing w:line="360" w:lineRule="auto"/>
        <w:rPr>
          <w:rFonts w:hint="default" w:eastAsia="宋体"/>
          <w:lang w:val="en-US" w:eastAsia="zh-CN"/>
        </w:rPr>
      </w:pPr>
      <w:r>
        <w:rPr>
          <w:rFonts w:hint="eastAsia" w:eastAsia="宋体" w:cstheme="minorBidi"/>
          <w:kern w:val="2"/>
          <w:sz w:val="21"/>
          <w:szCs w:val="22"/>
          <w:lang w:val="en-US" w:eastAsia="zh-CN" w:bidi="ar-SA"/>
        </w:rPr>
        <w:tab/>
      </w:r>
      <w:r>
        <w:rPr>
          <w:rFonts w:hint="eastAsia" w:eastAsia="宋体" w:cstheme="minorBidi"/>
          <w:kern w:val="2"/>
          <w:sz w:val="21"/>
          <w:szCs w:val="22"/>
          <w:lang w:val="en-US" w:eastAsia="zh-CN" w:bidi="ar-SA"/>
        </w:rPr>
        <w:t xml:space="preserve"> ④</w:t>
      </w:r>
      <w:r>
        <w:rPr>
          <w:rFonts w:hint="eastAsia" w:eastAsia="宋体" w:asciiTheme="minorHAnsi" w:hAnsiTheme="minorHAnsi" w:cstheme="minorBidi"/>
          <w:kern w:val="2"/>
          <w:sz w:val="21"/>
          <w:szCs w:val="22"/>
          <w:lang w:val="en-US" w:eastAsia="zh-CN" w:bidi="ar-SA"/>
        </w:rPr>
        <w:t>　</w:t>
      </w:r>
      <w:r>
        <w:rPr>
          <w:rFonts w:hint="eastAsia" w:ascii="宋体" w:hAnsi="宋体"/>
          <w:color w:val="auto"/>
          <w:sz w:val="24"/>
          <w:szCs w:val="24"/>
          <w:highlight w:val="none"/>
        </w:rPr>
        <w:t>银行出具的资信证明（若供应商为法人的须提供其基本开户银行出具的资信证明）或供应商近十二个月中任意一个月份的财务状况报告（资产负债表和利润表）或由会计师事务所出具的近两年中任意一个年度的审计报告和所附已审财务报告复印件；</w:t>
      </w:r>
    </w:p>
    <w:p w14:paraId="6952F472">
      <w:pPr>
        <w:numPr>
          <w:ilvl w:val="0"/>
          <w:numId w:val="0"/>
        </w:numPr>
        <w:tabs>
          <w:tab w:val="left" w:pos="420"/>
          <w:tab w:val="left" w:pos="945"/>
          <w:tab w:val="left" w:pos="1155"/>
        </w:tabs>
        <w:spacing w:line="360" w:lineRule="auto"/>
        <w:ind w:left="26" w:leftChars="0" w:firstLine="480" w:firstLineChars="200"/>
        <w:rPr>
          <w:rFonts w:ascii="宋体" w:hAnsi="宋体"/>
          <w:color w:val="auto"/>
          <w:sz w:val="24"/>
          <w:szCs w:val="24"/>
          <w:highlight w:val="none"/>
        </w:rPr>
      </w:pPr>
      <w:r>
        <w:rPr>
          <w:rFonts w:hint="eastAsia" w:ascii="宋体" w:hAnsi="宋体" w:cstheme="minorBidi"/>
          <w:color w:val="auto"/>
          <w:kern w:val="2"/>
          <w:sz w:val="24"/>
          <w:szCs w:val="24"/>
          <w:lang w:val="en-US" w:eastAsia="zh-CN" w:bidi="ar-SA"/>
        </w:rPr>
        <w:t>⑤</w:t>
      </w:r>
      <w:r>
        <w:rPr>
          <w:rFonts w:hint="eastAsia" w:ascii="宋体" w:hAnsi="宋体" w:eastAsiaTheme="minorEastAsia" w:cstheme="minorBidi"/>
          <w:color w:val="auto"/>
          <w:kern w:val="2"/>
          <w:sz w:val="24"/>
          <w:szCs w:val="24"/>
          <w:lang w:val="en-US" w:eastAsia="zh-CN" w:bidi="ar-SA"/>
        </w:rPr>
        <w:t>　</w:t>
      </w:r>
      <w:r>
        <w:rPr>
          <w:rFonts w:hint="eastAsia" w:ascii="宋体" w:hAnsi="宋体"/>
          <w:color w:val="auto"/>
          <w:sz w:val="24"/>
          <w:szCs w:val="24"/>
          <w:highlight w:val="none"/>
        </w:rPr>
        <w:t>投标人依法缴纳近十二个月中任意一个月份税收的相关材料（提供相关主管部门证明或银行代扣证明）复印件；</w:t>
      </w:r>
    </w:p>
    <w:p w14:paraId="4E6B59B0">
      <w:pPr>
        <w:numPr>
          <w:ilvl w:val="0"/>
          <w:numId w:val="0"/>
        </w:numPr>
        <w:tabs>
          <w:tab w:val="left" w:pos="420"/>
          <w:tab w:val="left" w:pos="945"/>
          <w:tab w:val="left" w:pos="1155"/>
        </w:tabs>
        <w:spacing w:line="360" w:lineRule="auto"/>
        <w:ind w:left="26" w:leftChars="0" w:firstLine="480" w:firstLineChars="0"/>
        <w:rPr>
          <w:rFonts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⑥　</w:t>
      </w:r>
      <w:r>
        <w:rPr>
          <w:rFonts w:hint="eastAsia" w:ascii="宋体" w:hAnsi="宋体" w:cs="宋体"/>
          <w:color w:val="auto"/>
          <w:sz w:val="24"/>
          <w:szCs w:val="24"/>
          <w:highlight w:val="none"/>
        </w:rPr>
        <w:t>投标人依法缴纳</w:t>
      </w:r>
      <w:r>
        <w:rPr>
          <w:rFonts w:hint="eastAsia" w:ascii="宋体" w:hAnsi="宋体"/>
          <w:color w:val="auto"/>
          <w:sz w:val="24"/>
          <w:szCs w:val="24"/>
          <w:highlight w:val="none"/>
        </w:rPr>
        <w:t>近十二个月中任意一个月份</w:t>
      </w:r>
      <w:r>
        <w:rPr>
          <w:rFonts w:hint="eastAsia" w:ascii="宋体" w:hAnsi="宋体" w:cs="宋体"/>
          <w:color w:val="auto"/>
          <w:sz w:val="24"/>
          <w:szCs w:val="24"/>
          <w:highlight w:val="none"/>
        </w:rPr>
        <w:t>社会保障资金的相关材料（提供相关主管部门证明或银行代扣证明）复印件；</w:t>
      </w:r>
    </w:p>
    <w:p w14:paraId="6B11C06D">
      <w:pPr>
        <w:numPr>
          <w:ilvl w:val="0"/>
          <w:numId w:val="0"/>
        </w:numPr>
        <w:tabs>
          <w:tab w:val="left" w:pos="420"/>
          <w:tab w:val="left" w:pos="945"/>
          <w:tab w:val="left" w:pos="1155"/>
        </w:tabs>
        <w:spacing w:line="360" w:lineRule="auto"/>
        <w:ind w:left="26" w:leftChars="0" w:firstLine="480" w:firstLineChars="200"/>
        <w:rPr>
          <w:rFonts w:ascii="宋体" w:hAnsi="宋体"/>
          <w:color w:val="auto"/>
          <w:sz w:val="24"/>
          <w:szCs w:val="24"/>
          <w:highlight w:val="none"/>
        </w:rPr>
      </w:pPr>
      <w:r>
        <w:rPr>
          <w:rFonts w:hint="eastAsia" w:ascii="宋体" w:hAnsi="宋体" w:cstheme="minorBidi"/>
          <w:color w:val="auto"/>
          <w:kern w:val="2"/>
          <w:sz w:val="24"/>
          <w:szCs w:val="24"/>
          <w:lang w:val="en-US" w:eastAsia="zh-CN" w:bidi="ar-SA"/>
        </w:rPr>
        <w:t>⑦</w:t>
      </w:r>
      <w:r>
        <w:rPr>
          <w:rFonts w:hint="eastAsia" w:ascii="宋体" w:hAnsi="宋体" w:eastAsiaTheme="minorEastAsia" w:cstheme="minorBidi"/>
          <w:color w:val="auto"/>
          <w:kern w:val="2"/>
          <w:sz w:val="24"/>
          <w:szCs w:val="24"/>
          <w:lang w:val="en-US" w:eastAsia="zh-CN" w:bidi="ar-SA"/>
        </w:rPr>
        <w:t>　</w:t>
      </w:r>
      <w:r>
        <w:rPr>
          <w:rFonts w:hint="eastAsia" w:ascii="宋体" w:hAnsi="宋体" w:cs="宋体"/>
          <w:color w:val="auto"/>
          <w:sz w:val="24"/>
          <w:szCs w:val="24"/>
          <w:highlight w:val="none"/>
        </w:rPr>
        <w:t>投标人为本项目被授权代表在近三个月内（不含投标当月）任意一个月缴纳的社保证明复印件（提供相关主管部门证明或银行代扣证明，法定代表人亲自参加报价的除外）。</w:t>
      </w:r>
    </w:p>
    <w:p w14:paraId="3DA4F631">
      <w:pPr>
        <w:numPr>
          <w:ilvl w:val="0"/>
          <w:numId w:val="0"/>
        </w:numPr>
        <w:tabs>
          <w:tab w:val="left" w:pos="420"/>
          <w:tab w:val="left" w:pos="945"/>
          <w:tab w:val="left" w:pos="1155"/>
        </w:tabs>
        <w:spacing w:line="360" w:lineRule="auto"/>
        <w:ind w:left="26" w:leftChars="0" w:firstLine="480" w:firstLineChars="200"/>
        <w:rPr>
          <w:rFonts w:ascii="宋体" w:hAnsi="宋体" w:cs="宋体"/>
          <w:color w:val="auto"/>
          <w:sz w:val="24"/>
          <w:szCs w:val="24"/>
          <w:highlight w:val="none"/>
        </w:rPr>
      </w:pPr>
      <w:r>
        <w:rPr>
          <w:rFonts w:hint="eastAsia" w:ascii="宋体" w:hAnsi="宋体" w:cs="宋体"/>
          <w:color w:val="auto"/>
          <w:kern w:val="2"/>
          <w:sz w:val="24"/>
          <w:szCs w:val="24"/>
          <w:lang w:val="en-US" w:eastAsia="zh-CN" w:bidi="ar-SA"/>
        </w:rPr>
        <w:t>⑧</w:t>
      </w:r>
      <w:r>
        <w:rPr>
          <w:rFonts w:hint="eastAsia" w:ascii="宋体" w:hAnsi="宋体" w:cs="宋体" w:eastAsiaTheme="minorEastAsia"/>
          <w:color w:val="auto"/>
          <w:kern w:val="2"/>
          <w:sz w:val="24"/>
          <w:szCs w:val="24"/>
          <w:lang w:val="en-US" w:eastAsia="zh-CN" w:bidi="ar-SA"/>
        </w:rPr>
        <w:t>　</w:t>
      </w:r>
      <w:r>
        <w:rPr>
          <w:rFonts w:hint="eastAsia" w:ascii="宋体" w:hAnsi="宋体"/>
          <w:b/>
          <w:color w:val="auto"/>
          <w:sz w:val="24"/>
          <w:szCs w:val="24"/>
          <w:highlight w:val="none"/>
        </w:rPr>
        <w:t>良好的信用记录：</w:t>
      </w:r>
      <w:r>
        <w:rPr>
          <w:rFonts w:hint="eastAsia" w:ascii="宋体" w:hAnsi="宋体"/>
          <w:bCs/>
          <w:color w:val="auto"/>
          <w:sz w:val="24"/>
          <w:szCs w:val="24"/>
          <w:highlight w:val="none"/>
        </w:rPr>
        <w:t>未被“</w:t>
      </w:r>
      <w:r>
        <w:rPr>
          <w:rFonts w:hint="eastAsia" w:ascii="宋体" w:hAnsi="宋体"/>
          <w:bCs/>
          <w:color w:val="auto"/>
          <w:sz w:val="24"/>
          <w:szCs w:val="24"/>
          <w:highlight w:val="none"/>
          <w:lang w:val="zh-CN"/>
        </w:rPr>
        <w:t>信用中国</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网站</w:t>
      </w:r>
      <w:r>
        <w:rPr>
          <w:rFonts w:hint="eastAsia" w:ascii="宋体" w:hAnsi="宋体"/>
          <w:bCs/>
          <w:color w:val="auto"/>
          <w:sz w:val="24"/>
          <w:szCs w:val="24"/>
          <w:highlight w:val="none"/>
        </w:rPr>
        <w:t>（www.creditchina.gov.cn）</w:t>
      </w:r>
      <w:r>
        <w:rPr>
          <w:rFonts w:hint="eastAsia" w:ascii="宋体" w:hAnsi="宋体"/>
          <w:bCs/>
          <w:color w:val="auto"/>
          <w:sz w:val="24"/>
          <w:szCs w:val="24"/>
          <w:highlight w:val="none"/>
          <w:lang w:val="zh-CN"/>
        </w:rPr>
        <w:t>列入失信执行人、重大税收违法案件当事人名单、</w:t>
      </w:r>
      <w:r>
        <w:rPr>
          <w:rFonts w:hint="eastAsia" w:ascii="宋体" w:hAnsi="宋体" w:eastAsia="宋体" w:cs="Times New Roman"/>
          <w:bCs/>
          <w:color w:val="auto"/>
          <w:sz w:val="24"/>
          <w:szCs w:val="24"/>
          <w:lang w:val="zh-CN"/>
        </w:rPr>
        <w:t>严重失信主体名单</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或未在</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中国政府采购网</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网站</w:t>
      </w:r>
      <w:r>
        <w:rPr>
          <w:rFonts w:hint="eastAsia" w:ascii="宋体" w:hAnsi="宋体"/>
          <w:bCs/>
          <w:color w:val="auto"/>
          <w:sz w:val="24"/>
          <w:szCs w:val="24"/>
          <w:highlight w:val="none"/>
        </w:rPr>
        <w:t>（www.ccgp.gov.cn）</w:t>
      </w:r>
      <w:r>
        <w:rPr>
          <w:rFonts w:hint="eastAsia" w:ascii="宋体" w:hAnsi="宋体"/>
          <w:bCs/>
          <w:color w:val="auto"/>
          <w:sz w:val="24"/>
          <w:szCs w:val="24"/>
          <w:highlight w:val="none"/>
          <w:lang w:val="zh-CN"/>
        </w:rPr>
        <w:t>被列入政府采购严重违法失信行为记录名单</w:t>
      </w:r>
      <w:r>
        <w:rPr>
          <w:rFonts w:hint="eastAsia" w:ascii="宋体" w:hAnsi="宋体"/>
          <w:bCs/>
          <w:color w:val="auto"/>
          <w:sz w:val="24"/>
          <w:szCs w:val="24"/>
          <w:highlight w:val="none"/>
        </w:rPr>
        <w:t>；</w:t>
      </w:r>
      <w:r>
        <w:rPr>
          <w:rFonts w:hint="eastAsia" w:ascii="宋体" w:hAnsi="宋体"/>
          <w:b/>
          <w:color w:val="auto"/>
          <w:sz w:val="24"/>
          <w:szCs w:val="24"/>
          <w:highlight w:val="none"/>
        </w:rPr>
        <w:t>（</w:t>
      </w:r>
      <w:r>
        <w:rPr>
          <w:rFonts w:ascii="宋体" w:hAnsi="宋体"/>
          <w:b/>
          <w:color w:val="auto"/>
          <w:sz w:val="24"/>
          <w:szCs w:val="24"/>
          <w:highlight w:val="none"/>
        </w:rPr>
        <w:t>若</w:t>
      </w:r>
      <w:r>
        <w:rPr>
          <w:rFonts w:hint="eastAsia" w:ascii="宋体" w:hAnsi="宋体"/>
          <w:b/>
          <w:color w:val="auto"/>
          <w:sz w:val="24"/>
          <w:szCs w:val="24"/>
          <w:highlight w:val="none"/>
        </w:rPr>
        <w:t>供应商</w:t>
      </w:r>
      <w:r>
        <w:rPr>
          <w:rFonts w:ascii="宋体" w:hAnsi="宋体"/>
          <w:b/>
          <w:color w:val="auto"/>
          <w:sz w:val="24"/>
          <w:szCs w:val="24"/>
          <w:highlight w:val="none"/>
        </w:rPr>
        <w:t>企业信息已录入以上网站的，</w:t>
      </w:r>
      <w:r>
        <w:rPr>
          <w:rFonts w:hint="eastAsia" w:ascii="宋体" w:hAnsi="宋体"/>
          <w:b/>
          <w:color w:val="auto"/>
          <w:sz w:val="24"/>
          <w:szCs w:val="24"/>
          <w:highlight w:val="none"/>
          <w:lang w:val="zh-CN"/>
        </w:rPr>
        <w:t>无需提供相关证明材料</w:t>
      </w:r>
      <w:r>
        <w:rPr>
          <w:rFonts w:ascii="宋体" w:hAnsi="宋体"/>
          <w:b/>
          <w:color w:val="auto"/>
          <w:sz w:val="24"/>
          <w:szCs w:val="24"/>
          <w:highlight w:val="none"/>
        </w:rPr>
        <w:t>；</w:t>
      </w:r>
      <w:r>
        <w:rPr>
          <w:rFonts w:hint="eastAsia" w:ascii="宋体" w:hAnsi="宋体"/>
          <w:b/>
          <w:color w:val="auto"/>
          <w:sz w:val="24"/>
          <w:szCs w:val="24"/>
          <w:highlight w:val="none"/>
        </w:rPr>
        <w:t>若供应商企业信息</w:t>
      </w:r>
      <w:r>
        <w:rPr>
          <w:rFonts w:ascii="宋体" w:hAnsi="宋体"/>
          <w:b/>
          <w:color w:val="auto"/>
          <w:sz w:val="24"/>
          <w:szCs w:val="24"/>
          <w:highlight w:val="none"/>
        </w:rPr>
        <w:t>未</w:t>
      </w:r>
      <w:r>
        <w:rPr>
          <w:rFonts w:hint="eastAsia" w:ascii="宋体" w:hAnsi="宋体"/>
          <w:b/>
          <w:color w:val="auto"/>
          <w:sz w:val="24"/>
          <w:szCs w:val="24"/>
          <w:highlight w:val="none"/>
        </w:rPr>
        <w:t>录入以上网站的，须在投标文件中提供</w:t>
      </w:r>
      <w:r>
        <w:rPr>
          <w:rFonts w:ascii="宋体" w:hAnsi="宋体"/>
          <w:b/>
          <w:color w:val="auto"/>
          <w:sz w:val="24"/>
          <w:szCs w:val="24"/>
          <w:highlight w:val="none"/>
        </w:rPr>
        <w:t>无不良信用记录</w:t>
      </w:r>
      <w:r>
        <w:rPr>
          <w:rFonts w:hint="eastAsia" w:ascii="宋体" w:hAnsi="宋体"/>
          <w:b/>
          <w:color w:val="auto"/>
          <w:sz w:val="24"/>
          <w:szCs w:val="24"/>
          <w:highlight w:val="none"/>
        </w:rPr>
        <w:t>承诺</w:t>
      </w:r>
      <w:r>
        <w:rPr>
          <w:rFonts w:ascii="宋体" w:hAnsi="宋体"/>
          <w:b/>
          <w:color w:val="auto"/>
          <w:sz w:val="24"/>
          <w:szCs w:val="24"/>
          <w:highlight w:val="none"/>
        </w:rPr>
        <w:t>书</w:t>
      </w:r>
      <w:r>
        <w:rPr>
          <w:rFonts w:hint="eastAsia" w:ascii="宋体" w:hAnsi="宋体"/>
          <w:b/>
          <w:color w:val="auto"/>
          <w:sz w:val="24"/>
          <w:szCs w:val="24"/>
          <w:highlight w:val="none"/>
        </w:rPr>
        <w:t>）</w:t>
      </w:r>
    </w:p>
    <w:p w14:paraId="2867E130">
      <w:pPr>
        <w:numPr>
          <w:ilvl w:val="0"/>
          <w:numId w:val="0"/>
        </w:numPr>
        <w:tabs>
          <w:tab w:val="left" w:pos="420"/>
          <w:tab w:val="left" w:pos="945"/>
          <w:tab w:val="left" w:pos="1155"/>
        </w:tabs>
        <w:spacing w:line="360" w:lineRule="auto"/>
        <w:ind w:left="26" w:leftChars="0" w:firstLine="480" w:firstLineChars="200"/>
        <w:rPr>
          <w:rFonts w:ascii="宋体" w:hAnsi="宋体" w:cs="宋体"/>
          <w:color w:val="auto"/>
          <w:sz w:val="24"/>
          <w:szCs w:val="24"/>
          <w:highlight w:val="none"/>
        </w:rPr>
      </w:pPr>
      <w:r>
        <w:rPr>
          <w:rFonts w:hint="eastAsia" w:ascii="宋体" w:hAnsi="宋体" w:cs="宋体"/>
          <w:color w:val="auto"/>
          <w:kern w:val="2"/>
          <w:sz w:val="24"/>
          <w:szCs w:val="24"/>
          <w:lang w:val="en-US" w:eastAsia="zh-CN" w:bidi="ar-SA"/>
        </w:rPr>
        <w:t>⑨</w:t>
      </w:r>
      <w:r>
        <w:rPr>
          <w:rFonts w:hint="eastAsia" w:ascii="宋体" w:hAnsi="宋体" w:cs="宋体" w:eastAsiaTheme="minorEastAsia"/>
          <w:color w:val="auto"/>
          <w:kern w:val="2"/>
          <w:sz w:val="24"/>
          <w:szCs w:val="24"/>
          <w:lang w:val="en-US" w:eastAsia="zh-CN" w:bidi="ar-SA"/>
        </w:rPr>
        <w:t>　</w:t>
      </w:r>
      <w:r>
        <w:rPr>
          <w:rFonts w:hint="eastAsia" w:ascii="宋体" w:hAnsi="宋体"/>
          <w:bCs/>
          <w:color w:val="auto"/>
          <w:sz w:val="24"/>
          <w:szCs w:val="24"/>
          <w:highlight w:val="none"/>
          <w:lang w:val="zh-CN"/>
        </w:rPr>
        <w:t>投标人具备</w:t>
      </w:r>
      <w:r>
        <w:rPr>
          <w:rFonts w:hint="eastAsia" w:ascii="宋体" w:hAnsi="宋体"/>
          <w:bCs/>
          <w:color w:val="auto"/>
          <w:sz w:val="24"/>
          <w:szCs w:val="24"/>
          <w:highlight w:val="none"/>
          <w:lang w:val="en-US" w:eastAsia="zh-CN"/>
        </w:rPr>
        <w:t>环保工程专业承包资质叁级及以上资质。</w:t>
      </w:r>
      <w:r>
        <w:rPr>
          <w:rFonts w:hint="eastAsia" w:ascii="宋体" w:hAnsi="宋体"/>
          <w:b/>
          <w:color w:val="auto"/>
          <w:sz w:val="24"/>
          <w:szCs w:val="24"/>
          <w:highlight w:val="none"/>
        </w:rPr>
        <w:t>（需提供有效期内资质证书原件或电子证书复印件（备注网上查询网址）并加盖投标人公章）</w:t>
      </w:r>
    </w:p>
    <w:p w14:paraId="5B3F3EF2">
      <w:pPr>
        <w:numPr>
          <w:ilvl w:val="0"/>
          <w:numId w:val="0"/>
        </w:numPr>
        <w:tabs>
          <w:tab w:val="left" w:pos="0"/>
          <w:tab w:val="left" w:pos="255"/>
        </w:tabs>
        <w:spacing w:line="360" w:lineRule="auto"/>
        <w:ind w:left="26" w:leftChars="0" w:firstLine="480" w:firstLineChars="200"/>
        <w:rPr>
          <w:rFonts w:hint="default" w:ascii="宋体" w:hAnsi="宋体"/>
          <w:color w:val="auto"/>
          <w:sz w:val="24"/>
          <w:szCs w:val="21"/>
          <w:highlight w:val="none"/>
          <w:lang w:val="en-US"/>
        </w:rPr>
      </w:pPr>
      <w:r>
        <w:rPr>
          <w:rFonts w:hint="eastAsia" w:ascii="宋体" w:hAnsi="宋体" w:cstheme="minorBidi"/>
          <w:color w:val="auto"/>
          <w:kern w:val="2"/>
          <w:sz w:val="24"/>
          <w:szCs w:val="21"/>
          <w:lang w:val="en-US" w:eastAsia="zh-CN" w:bidi="ar-SA"/>
        </w:rPr>
        <w:t>⑩</w:t>
      </w:r>
      <w:r>
        <w:rPr>
          <w:rFonts w:hint="eastAsia" w:ascii="宋体" w:hAnsi="宋体" w:eastAsiaTheme="minorEastAsia" w:cstheme="minorBidi"/>
          <w:color w:val="auto"/>
          <w:kern w:val="2"/>
          <w:sz w:val="24"/>
          <w:szCs w:val="21"/>
          <w:lang w:val="en-US" w:eastAsia="zh-CN" w:bidi="ar-SA"/>
        </w:rPr>
        <w:t>　</w:t>
      </w:r>
      <w:r>
        <w:rPr>
          <w:rFonts w:hint="eastAsia" w:ascii="宋体" w:hAnsi="宋体"/>
          <w:color w:val="auto"/>
          <w:sz w:val="24"/>
          <w:szCs w:val="21"/>
          <w:highlight w:val="none"/>
        </w:rPr>
        <w:t>投标保证金交纳证明复印件（银行转账记录）</w:t>
      </w:r>
      <w:r>
        <w:rPr>
          <w:rFonts w:hint="eastAsia" w:ascii="宋体" w:hAnsi="宋体"/>
          <w:color w:val="auto"/>
          <w:sz w:val="24"/>
          <w:szCs w:val="21"/>
          <w:highlight w:val="none"/>
          <w:lang w:eastAsia="zh-CN"/>
        </w:rPr>
        <w:t>。</w:t>
      </w:r>
    </w:p>
    <w:p w14:paraId="5E787382">
      <w:pPr>
        <w:tabs>
          <w:tab w:val="left" w:pos="0"/>
          <w:tab w:val="left" w:pos="255"/>
        </w:tabs>
        <w:spacing w:line="360" w:lineRule="auto"/>
        <w:ind w:left="506"/>
        <w:rPr>
          <w:rFonts w:ascii="宋体" w:hAnsi="宋体" w:cs="宋体"/>
          <w:color w:val="auto"/>
          <w:sz w:val="24"/>
          <w:szCs w:val="24"/>
          <w:highlight w:val="none"/>
        </w:rPr>
      </w:pPr>
      <w:r>
        <w:rPr>
          <w:rFonts w:hint="eastAsia" w:ascii="宋体" w:hAnsi="宋体"/>
          <w:color w:val="auto"/>
          <w:sz w:val="24"/>
          <w:szCs w:val="24"/>
          <w:highlight w:val="none"/>
        </w:rPr>
        <w:t>注：以上“近十二个月”是指投标截止日之前近十二个月（不含投标当月）。</w:t>
      </w:r>
    </w:p>
    <w:p w14:paraId="7A037A80">
      <w:pPr>
        <w:jc w:val="both"/>
        <w:rPr>
          <w:rFonts w:ascii="宋体" w:hAnsi="宋体" w:eastAsia="宋体" w:cs="Times New Roman"/>
          <w:color w:val="auto"/>
          <w:sz w:val="24"/>
          <w:szCs w:val="21"/>
          <w:highlight w:val="none"/>
        </w:rPr>
      </w:pPr>
    </w:p>
    <w:p w14:paraId="3E59CC48">
      <w:pPr>
        <w:jc w:val="center"/>
        <w:rPr>
          <w:rFonts w:ascii="宋体" w:hAnsi="宋体"/>
          <w:bCs/>
          <w:color w:val="auto"/>
          <w:sz w:val="24"/>
          <w:highlight w:val="none"/>
          <w:lang w:val="zh-CN"/>
        </w:rPr>
      </w:pPr>
      <w:r>
        <w:rPr>
          <w:rFonts w:hint="eastAsia" w:ascii="宋体" w:hAnsi="宋体"/>
          <w:bCs/>
          <w:color w:val="auto"/>
          <w:sz w:val="24"/>
          <w:highlight w:val="none"/>
          <w:lang w:val="en-US" w:eastAsia="zh-CN"/>
        </w:rPr>
        <w:t xml:space="preserve">                            </w:t>
      </w:r>
      <w:r>
        <w:rPr>
          <w:rFonts w:hint="eastAsia" w:ascii="宋体" w:hAnsi="宋体"/>
          <w:bCs/>
          <w:color w:val="auto"/>
          <w:sz w:val="24"/>
          <w:highlight w:val="none"/>
          <w:lang w:val="zh-CN"/>
        </w:rPr>
        <w:t>投标人签名：</w:t>
      </w:r>
    </w:p>
    <w:p w14:paraId="626282A1">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en-US" w:eastAsia="zh-CN"/>
        </w:rPr>
        <w:t xml:space="preserve">                            </w:t>
      </w:r>
      <w:r>
        <w:rPr>
          <w:rFonts w:hint="eastAsia" w:ascii="宋体" w:hAnsi="宋体"/>
          <w:bCs/>
          <w:color w:val="auto"/>
          <w:sz w:val="24"/>
          <w:highlight w:val="none"/>
          <w:lang w:val="zh-CN"/>
        </w:rPr>
        <w:t>投标人公章：</w:t>
      </w:r>
    </w:p>
    <w:p w14:paraId="22913E86">
      <w:pPr>
        <w:ind w:firstLine="480" w:firstLineChars="200"/>
        <w:rPr>
          <w:rFonts w:ascii="黑体" w:hAnsi="宋体" w:eastAsia="黑体"/>
          <w:bCs/>
          <w:color w:val="auto"/>
          <w:sz w:val="24"/>
          <w:szCs w:val="24"/>
          <w:highlight w:val="none"/>
        </w:rPr>
      </w:pPr>
      <w:r>
        <w:rPr>
          <w:rFonts w:ascii="黑体" w:hAnsi="宋体" w:eastAsia="黑体"/>
          <w:bCs/>
          <w:color w:val="auto"/>
          <w:sz w:val="24"/>
          <w:szCs w:val="24"/>
          <w:highlight w:val="none"/>
        </w:rPr>
        <w:br w:type="page"/>
      </w:r>
      <w:bookmarkStart w:id="82" w:name="OLE_LINK11"/>
      <w:r>
        <w:rPr>
          <w:rFonts w:hint="eastAsia" w:ascii="黑体" w:hAnsi="宋体" w:eastAsia="黑体"/>
          <w:bCs/>
          <w:color w:val="auto"/>
          <w:sz w:val="24"/>
          <w:szCs w:val="24"/>
          <w:highlight w:val="none"/>
        </w:rPr>
        <w:t>（四）</w:t>
      </w:r>
      <w:r>
        <w:rPr>
          <w:rFonts w:hint="eastAsia" w:ascii="黑体" w:hAnsi="宋体" w:eastAsia="黑体"/>
          <w:bCs/>
          <w:color w:val="auto"/>
          <w:sz w:val="24"/>
          <w:szCs w:val="24"/>
          <w:highlight w:val="none"/>
          <w:lang w:val="zh-CN"/>
        </w:rPr>
        <w:t>技术参数及相关要求偏离表</w:t>
      </w:r>
      <w:r>
        <w:rPr>
          <w:rFonts w:hint="eastAsia" w:ascii="黑体" w:hAnsi="宋体" w:eastAsia="黑体"/>
          <w:bCs/>
          <w:color w:val="auto"/>
          <w:sz w:val="24"/>
          <w:szCs w:val="24"/>
          <w:highlight w:val="none"/>
        </w:rPr>
        <w:t>（格式）：</w:t>
      </w:r>
    </w:p>
    <w:p w14:paraId="75AB49FE">
      <w:pPr>
        <w:tabs>
          <w:tab w:val="left" w:pos="255"/>
        </w:tabs>
        <w:spacing w:beforeLines="50" w:afterLines="50" w:line="360" w:lineRule="auto"/>
        <w:jc w:val="center"/>
        <w:rPr>
          <w:rFonts w:ascii="黑体" w:hAnsi="黑体" w:eastAsia="黑体"/>
          <w:color w:val="auto"/>
          <w:sz w:val="28"/>
          <w:szCs w:val="21"/>
          <w:highlight w:val="none"/>
          <w:lang w:val="zh-CN"/>
        </w:rPr>
      </w:pPr>
      <w:r>
        <w:rPr>
          <w:rFonts w:hint="eastAsia" w:ascii="黑体" w:hAnsi="黑体" w:eastAsia="黑体"/>
          <w:color w:val="auto"/>
          <w:sz w:val="28"/>
          <w:szCs w:val="21"/>
          <w:highlight w:val="none"/>
          <w:lang w:val="zh-CN"/>
        </w:rPr>
        <w:t xml:space="preserve"> 技术参数及相关要求偏离表</w:t>
      </w:r>
    </w:p>
    <w:p w14:paraId="1B227CE1">
      <w:pPr>
        <w:tabs>
          <w:tab w:val="left" w:pos="255"/>
        </w:tabs>
        <w:spacing w:beforeLines="50" w:afterLines="50" w:line="360" w:lineRule="auto"/>
        <w:ind w:left="420" w:leftChars="200" w:firstLine="480" w:firstLineChars="200"/>
        <w:rPr>
          <w:rFonts w:ascii="宋体" w:hAnsi="宋体"/>
          <w:color w:val="auto"/>
          <w:sz w:val="24"/>
          <w:szCs w:val="21"/>
          <w:highlight w:val="none"/>
          <w:lang w:val="zh-CN"/>
        </w:rPr>
      </w:pPr>
      <w:r>
        <w:rPr>
          <w:rFonts w:hint="eastAsia" w:ascii="宋体" w:hAnsi="宋体"/>
          <w:color w:val="auto"/>
          <w:sz w:val="24"/>
          <w:szCs w:val="21"/>
          <w:highlight w:val="none"/>
          <w:lang w:val="zh-CN"/>
        </w:rPr>
        <w:t>投标人名称（盖章）：               项目编号：YXGYJT202512012（EPC）</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14:paraId="40619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375D88D5">
            <w:pPr>
              <w:tabs>
                <w:tab w:val="left" w:pos="255"/>
              </w:tabs>
              <w:spacing w:line="360" w:lineRule="auto"/>
              <w:jc w:val="center"/>
              <w:rPr>
                <w:rFonts w:ascii="宋体" w:hAnsi="宋体"/>
                <w:color w:val="auto"/>
                <w:sz w:val="24"/>
                <w:szCs w:val="21"/>
                <w:highlight w:val="none"/>
                <w:lang w:val="zh-CN"/>
              </w:rPr>
            </w:pPr>
            <w:r>
              <w:rPr>
                <w:rFonts w:hint="eastAsia" w:ascii="宋体" w:hAnsi="宋体"/>
                <w:color w:val="auto"/>
                <w:sz w:val="24"/>
                <w:szCs w:val="21"/>
                <w:highlight w:val="none"/>
                <w:lang w:val="zh-CN"/>
              </w:rPr>
              <w:t>序号</w:t>
            </w:r>
          </w:p>
        </w:tc>
        <w:tc>
          <w:tcPr>
            <w:tcW w:w="1973" w:type="dxa"/>
            <w:vAlign w:val="center"/>
          </w:tcPr>
          <w:p w14:paraId="3E381477">
            <w:pPr>
              <w:tabs>
                <w:tab w:val="left" w:pos="255"/>
              </w:tabs>
              <w:spacing w:line="360" w:lineRule="auto"/>
              <w:jc w:val="center"/>
              <w:rPr>
                <w:rFonts w:ascii="宋体" w:hAnsi="宋体"/>
                <w:color w:val="auto"/>
                <w:sz w:val="24"/>
                <w:szCs w:val="21"/>
                <w:highlight w:val="none"/>
                <w:lang w:val="zh-CN"/>
              </w:rPr>
            </w:pPr>
            <w:r>
              <w:rPr>
                <w:rFonts w:hint="eastAsia" w:ascii="宋体" w:hAnsi="宋体"/>
                <w:color w:val="auto"/>
                <w:sz w:val="24"/>
                <w:szCs w:val="21"/>
                <w:highlight w:val="none"/>
                <w:lang w:val="zh-CN"/>
              </w:rPr>
              <w:t>项目名称</w:t>
            </w:r>
          </w:p>
        </w:tc>
        <w:tc>
          <w:tcPr>
            <w:tcW w:w="2315" w:type="dxa"/>
            <w:vAlign w:val="center"/>
          </w:tcPr>
          <w:p w14:paraId="3882C8D0">
            <w:pPr>
              <w:tabs>
                <w:tab w:val="left" w:pos="255"/>
              </w:tabs>
              <w:spacing w:line="360" w:lineRule="auto"/>
              <w:jc w:val="center"/>
              <w:rPr>
                <w:rFonts w:ascii="宋体" w:hAnsi="宋体"/>
                <w:color w:val="auto"/>
                <w:sz w:val="24"/>
                <w:szCs w:val="21"/>
                <w:highlight w:val="none"/>
                <w:lang w:val="zh-CN"/>
              </w:rPr>
            </w:pPr>
            <w:r>
              <w:rPr>
                <w:rFonts w:hint="eastAsia" w:ascii="宋体" w:hAnsi="宋体"/>
                <w:color w:val="auto"/>
                <w:sz w:val="24"/>
                <w:szCs w:val="21"/>
                <w:highlight w:val="none"/>
                <w:lang w:val="zh-CN"/>
              </w:rPr>
              <w:t>招标内容</w:t>
            </w:r>
          </w:p>
        </w:tc>
        <w:tc>
          <w:tcPr>
            <w:tcW w:w="2327" w:type="dxa"/>
            <w:vAlign w:val="center"/>
          </w:tcPr>
          <w:p w14:paraId="0408B71D">
            <w:pPr>
              <w:tabs>
                <w:tab w:val="left" w:pos="255"/>
              </w:tabs>
              <w:spacing w:line="360" w:lineRule="auto"/>
              <w:jc w:val="center"/>
              <w:rPr>
                <w:rFonts w:ascii="宋体" w:hAnsi="宋体"/>
                <w:color w:val="auto"/>
                <w:sz w:val="24"/>
                <w:szCs w:val="21"/>
                <w:highlight w:val="none"/>
                <w:lang w:val="zh-CN"/>
              </w:rPr>
            </w:pPr>
            <w:r>
              <w:rPr>
                <w:rFonts w:hint="eastAsia" w:ascii="宋体" w:hAnsi="宋体"/>
                <w:color w:val="auto"/>
                <w:sz w:val="24"/>
                <w:szCs w:val="21"/>
                <w:highlight w:val="none"/>
                <w:lang w:val="zh-CN"/>
              </w:rPr>
              <w:t>投标内容</w:t>
            </w:r>
          </w:p>
        </w:tc>
        <w:tc>
          <w:tcPr>
            <w:tcW w:w="1969" w:type="dxa"/>
            <w:vAlign w:val="center"/>
          </w:tcPr>
          <w:p w14:paraId="418B20C2">
            <w:pPr>
              <w:tabs>
                <w:tab w:val="left" w:pos="255"/>
              </w:tabs>
              <w:spacing w:line="360" w:lineRule="auto"/>
              <w:jc w:val="center"/>
              <w:rPr>
                <w:rFonts w:ascii="宋体" w:hAnsi="宋体"/>
                <w:color w:val="auto"/>
                <w:sz w:val="24"/>
                <w:szCs w:val="21"/>
                <w:highlight w:val="none"/>
                <w:lang w:val="zh-CN"/>
              </w:rPr>
            </w:pPr>
            <w:r>
              <w:rPr>
                <w:rFonts w:hint="eastAsia" w:ascii="宋体" w:hAnsi="宋体"/>
                <w:color w:val="auto"/>
                <w:sz w:val="24"/>
                <w:szCs w:val="21"/>
                <w:highlight w:val="none"/>
                <w:lang w:val="zh-CN"/>
              </w:rPr>
              <w:t>正偏离/负偏离</w:t>
            </w:r>
          </w:p>
        </w:tc>
      </w:tr>
      <w:tr w14:paraId="0E9E2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7EC15CF2">
            <w:pPr>
              <w:tabs>
                <w:tab w:val="left" w:pos="255"/>
              </w:tabs>
              <w:spacing w:line="360" w:lineRule="auto"/>
              <w:ind w:left="420" w:leftChars="200" w:firstLine="480" w:firstLineChars="200"/>
              <w:rPr>
                <w:rFonts w:ascii="宋体" w:hAnsi="宋体"/>
                <w:color w:val="auto"/>
                <w:sz w:val="24"/>
                <w:szCs w:val="21"/>
                <w:highlight w:val="none"/>
                <w:lang w:val="zh-CN"/>
              </w:rPr>
            </w:pPr>
          </w:p>
        </w:tc>
        <w:tc>
          <w:tcPr>
            <w:tcW w:w="1973" w:type="dxa"/>
            <w:vAlign w:val="center"/>
          </w:tcPr>
          <w:p w14:paraId="50F0CB30">
            <w:pPr>
              <w:tabs>
                <w:tab w:val="left" w:pos="255"/>
              </w:tabs>
              <w:spacing w:line="360" w:lineRule="auto"/>
              <w:ind w:left="420" w:leftChars="200" w:firstLine="480" w:firstLineChars="200"/>
              <w:rPr>
                <w:rFonts w:ascii="宋体" w:hAnsi="宋体"/>
                <w:color w:val="auto"/>
                <w:sz w:val="24"/>
                <w:szCs w:val="21"/>
                <w:highlight w:val="none"/>
                <w:lang w:val="zh-CN"/>
              </w:rPr>
            </w:pPr>
          </w:p>
        </w:tc>
        <w:tc>
          <w:tcPr>
            <w:tcW w:w="2315" w:type="dxa"/>
            <w:vAlign w:val="center"/>
          </w:tcPr>
          <w:p w14:paraId="407FC7E9">
            <w:pPr>
              <w:tabs>
                <w:tab w:val="left" w:pos="255"/>
              </w:tabs>
              <w:spacing w:line="360" w:lineRule="auto"/>
              <w:ind w:left="420" w:leftChars="200" w:firstLine="480" w:firstLineChars="200"/>
              <w:rPr>
                <w:rFonts w:ascii="宋体" w:hAnsi="宋体"/>
                <w:color w:val="auto"/>
                <w:sz w:val="24"/>
                <w:szCs w:val="21"/>
                <w:highlight w:val="none"/>
                <w:lang w:val="zh-CN"/>
              </w:rPr>
            </w:pPr>
          </w:p>
        </w:tc>
        <w:tc>
          <w:tcPr>
            <w:tcW w:w="2327" w:type="dxa"/>
            <w:vAlign w:val="center"/>
          </w:tcPr>
          <w:p w14:paraId="30E63AF9">
            <w:pPr>
              <w:tabs>
                <w:tab w:val="left" w:pos="255"/>
              </w:tabs>
              <w:spacing w:line="360" w:lineRule="auto"/>
              <w:ind w:left="420" w:leftChars="200" w:firstLine="480" w:firstLineChars="200"/>
              <w:rPr>
                <w:rFonts w:ascii="宋体" w:hAnsi="宋体"/>
                <w:color w:val="auto"/>
                <w:sz w:val="24"/>
                <w:szCs w:val="21"/>
                <w:highlight w:val="none"/>
                <w:lang w:val="zh-CN"/>
              </w:rPr>
            </w:pPr>
          </w:p>
        </w:tc>
        <w:tc>
          <w:tcPr>
            <w:tcW w:w="1969" w:type="dxa"/>
            <w:vAlign w:val="center"/>
          </w:tcPr>
          <w:p w14:paraId="778F6E7B">
            <w:pPr>
              <w:tabs>
                <w:tab w:val="left" w:pos="255"/>
              </w:tabs>
              <w:spacing w:line="360" w:lineRule="auto"/>
              <w:ind w:left="420" w:leftChars="200" w:firstLine="480" w:firstLineChars="200"/>
              <w:rPr>
                <w:rFonts w:ascii="宋体" w:hAnsi="宋体"/>
                <w:color w:val="auto"/>
                <w:sz w:val="24"/>
                <w:szCs w:val="21"/>
                <w:highlight w:val="none"/>
                <w:lang w:val="zh-CN"/>
              </w:rPr>
            </w:pPr>
          </w:p>
        </w:tc>
      </w:tr>
      <w:tr w14:paraId="69E54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7CFCC648">
            <w:pPr>
              <w:tabs>
                <w:tab w:val="left" w:pos="255"/>
              </w:tabs>
              <w:spacing w:line="360" w:lineRule="auto"/>
              <w:ind w:left="420" w:leftChars="200" w:firstLine="480" w:firstLineChars="200"/>
              <w:rPr>
                <w:rFonts w:ascii="宋体" w:hAnsi="宋体"/>
                <w:color w:val="auto"/>
                <w:sz w:val="24"/>
                <w:szCs w:val="21"/>
                <w:highlight w:val="none"/>
                <w:lang w:val="zh-CN"/>
              </w:rPr>
            </w:pPr>
          </w:p>
        </w:tc>
        <w:tc>
          <w:tcPr>
            <w:tcW w:w="1973" w:type="dxa"/>
            <w:vAlign w:val="center"/>
          </w:tcPr>
          <w:p w14:paraId="3194F942">
            <w:pPr>
              <w:tabs>
                <w:tab w:val="left" w:pos="255"/>
              </w:tabs>
              <w:spacing w:line="360" w:lineRule="auto"/>
              <w:ind w:left="420" w:leftChars="200" w:firstLine="480" w:firstLineChars="200"/>
              <w:rPr>
                <w:rFonts w:ascii="宋体" w:hAnsi="宋体"/>
                <w:color w:val="auto"/>
                <w:sz w:val="24"/>
                <w:szCs w:val="21"/>
                <w:highlight w:val="none"/>
                <w:lang w:val="zh-CN"/>
              </w:rPr>
            </w:pPr>
          </w:p>
        </w:tc>
        <w:tc>
          <w:tcPr>
            <w:tcW w:w="2315" w:type="dxa"/>
            <w:vAlign w:val="center"/>
          </w:tcPr>
          <w:p w14:paraId="0F833F8F">
            <w:pPr>
              <w:tabs>
                <w:tab w:val="left" w:pos="255"/>
              </w:tabs>
              <w:spacing w:line="360" w:lineRule="auto"/>
              <w:ind w:left="420" w:leftChars="200" w:firstLine="480" w:firstLineChars="200"/>
              <w:rPr>
                <w:rFonts w:ascii="宋体" w:hAnsi="宋体"/>
                <w:color w:val="auto"/>
                <w:sz w:val="24"/>
                <w:szCs w:val="21"/>
                <w:highlight w:val="none"/>
                <w:lang w:val="zh-CN"/>
              </w:rPr>
            </w:pPr>
          </w:p>
        </w:tc>
        <w:tc>
          <w:tcPr>
            <w:tcW w:w="2327" w:type="dxa"/>
            <w:vAlign w:val="center"/>
          </w:tcPr>
          <w:p w14:paraId="4710CF70">
            <w:pPr>
              <w:tabs>
                <w:tab w:val="left" w:pos="255"/>
              </w:tabs>
              <w:spacing w:line="360" w:lineRule="auto"/>
              <w:ind w:left="420" w:leftChars="200" w:firstLine="480" w:firstLineChars="200"/>
              <w:rPr>
                <w:rFonts w:ascii="宋体" w:hAnsi="宋体"/>
                <w:color w:val="auto"/>
                <w:sz w:val="24"/>
                <w:szCs w:val="21"/>
                <w:highlight w:val="none"/>
                <w:lang w:val="zh-CN"/>
              </w:rPr>
            </w:pPr>
          </w:p>
        </w:tc>
        <w:tc>
          <w:tcPr>
            <w:tcW w:w="1969" w:type="dxa"/>
            <w:vAlign w:val="center"/>
          </w:tcPr>
          <w:p w14:paraId="12470E72">
            <w:pPr>
              <w:tabs>
                <w:tab w:val="left" w:pos="255"/>
              </w:tabs>
              <w:spacing w:line="360" w:lineRule="auto"/>
              <w:ind w:left="420" w:leftChars="200" w:firstLine="480" w:firstLineChars="200"/>
              <w:rPr>
                <w:rFonts w:ascii="宋体" w:hAnsi="宋体"/>
                <w:color w:val="auto"/>
                <w:sz w:val="24"/>
                <w:szCs w:val="21"/>
                <w:highlight w:val="none"/>
                <w:lang w:val="zh-CN"/>
              </w:rPr>
            </w:pPr>
          </w:p>
        </w:tc>
      </w:tr>
      <w:tr w14:paraId="3CF75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7AC08C4B">
            <w:pPr>
              <w:tabs>
                <w:tab w:val="left" w:pos="255"/>
              </w:tabs>
              <w:spacing w:line="360" w:lineRule="auto"/>
              <w:ind w:left="420" w:leftChars="200" w:firstLine="480" w:firstLineChars="200"/>
              <w:rPr>
                <w:rFonts w:ascii="宋体" w:hAnsi="宋体"/>
                <w:color w:val="auto"/>
                <w:sz w:val="24"/>
                <w:szCs w:val="21"/>
                <w:highlight w:val="none"/>
                <w:lang w:val="zh-CN"/>
              </w:rPr>
            </w:pPr>
          </w:p>
        </w:tc>
        <w:tc>
          <w:tcPr>
            <w:tcW w:w="1973" w:type="dxa"/>
            <w:vAlign w:val="center"/>
          </w:tcPr>
          <w:p w14:paraId="55C201E1">
            <w:pPr>
              <w:tabs>
                <w:tab w:val="left" w:pos="255"/>
              </w:tabs>
              <w:spacing w:line="360" w:lineRule="auto"/>
              <w:ind w:left="420" w:leftChars="200" w:firstLine="480" w:firstLineChars="200"/>
              <w:rPr>
                <w:rFonts w:ascii="宋体" w:hAnsi="宋体"/>
                <w:color w:val="auto"/>
                <w:sz w:val="24"/>
                <w:szCs w:val="21"/>
                <w:highlight w:val="none"/>
                <w:lang w:val="zh-CN"/>
              </w:rPr>
            </w:pPr>
          </w:p>
        </w:tc>
        <w:tc>
          <w:tcPr>
            <w:tcW w:w="2315" w:type="dxa"/>
            <w:vAlign w:val="center"/>
          </w:tcPr>
          <w:p w14:paraId="4172D147">
            <w:pPr>
              <w:tabs>
                <w:tab w:val="left" w:pos="255"/>
              </w:tabs>
              <w:spacing w:line="360" w:lineRule="auto"/>
              <w:ind w:left="420" w:leftChars="200" w:firstLine="480" w:firstLineChars="200"/>
              <w:rPr>
                <w:rFonts w:ascii="宋体" w:hAnsi="宋体"/>
                <w:color w:val="auto"/>
                <w:sz w:val="24"/>
                <w:szCs w:val="21"/>
                <w:highlight w:val="none"/>
                <w:lang w:val="zh-CN"/>
              </w:rPr>
            </w:pPr>
          </w:p>
        </w:tc>
        <w:tc>
          <w:tcPr>
            <w:tcW w:w="2327" w:type="dxa"/>
            <w:vAlign w:val="center"/>
          </w:tcPr>
          <w:p w14:paraId="03893E93">
            <w:pPr>
              <w:tabs>
                <w:tab w:val="left" w:pos="255"/>
              </w:tabs>
              <w:spacing w:line="360" w:lineRule="auto"/>
              <w:ind w:left="420" w:leftChars="200" w:firstLine="480" w:firstLineChars="200"/>
              <w:rPr>
                <w:rFonts w:ascii="宋体" w:hAnsi="宋体"/>
                <w:color w:val="auto"/>
                <w:sz w:val="24"/>
                <w:szCs w:val="21"/>
                <w:highlight w:val="none"/>
                <w:lang w:val="zh-CN"/>
              </w:rPr>
            </w:pPr>
          </w:p>
        </w:tc>
        <w:tc>
          <w:tcPr>
            <w:tcW w:w="1969" w:type="dxa"/>
            <w:vAlign w:val="center"/>
          </w:tcPr>
          <w:p w14:paraId="052BDC99">
            <w:pPr>
              <w:tabs>
                <w:tab w:val="left" w:pos="255"/>
              </w:tabs>
              <w:spacing w:line="360" w:lineRule="auto"/>
              <w:ind w:left="420" w:leftChars="200" w:firstLine="480" w:firstLineChars="200"/>
              <w:rPr>
                <w:rFonts w:ascii="宋体" w:hAnsi="宋体"/>
                <w:color w:val="auto"/>
                <w:sz w:val="24"/>
                <w:szCs w:val="21"/>
                <w:highlight w:val="none"/>
                <w:lang w:val="zh-CN"/>
              </w:rPr>
            </w:pPr>
          </w:p>
        </w:tc>
      </w:tr>
      <w:tr w14:paraId="509B7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5CDF6D4A">
            <w:pPr>
              <w:tabs>
                <w:tab w:val="left" w:pos="255"/>
              </w:tabs>
              <w:spacing w:line="360" w:lineRule="auto"/>
              <w:ind w:left="420" w:leftChars="200" w:firstLine="480" w:firstLineChars="200"/>
              <w:rPr>
                <w:rFonts w:ascii="宋体" w:hAnsi="宋体"/>
                <w:color w:val="auto"/>
                <w:sz w:val="24"/>
                <w:szCs w:val="21"/>
                <w:highlight w:val="none"/>
                <w:lang w:val="zh-CN"/>
              </w:rPr>
            </w:pPr>
          </w:p>
        </w:tc>
        <w:tc>
          <w:tcPr>
            <w:tcW w:w="1973" w:type="dxa"/>
            <w:vAlign w:val="center"/>
          </w:tcPr>
          <w:p w14:paraId="68F0CF1C">
            <w:pPr>
              <w:tabs>
                <w:tab w:val="left" w:pos="255"/>
              </w:tabs>
              <w:spacing w:line="360" w:lineRule="auto"/>
              <w:ind w:left="420" w:leftChars="200" w:firstLine="480" w:firstLineChars="200"/>
              <w:rPr>
                <w:rFonts w:ascii="宋体" w:hAnsi="宋体"/>
                <w:color w:val="auto"/>
                <w:sz w:val="24"/>
                <w:szCs w:val="21"/>
                <w:highlight w:val="none"/>
                <w:lang w:val="zh-CN"/>
              </w:rPr>
            </w:pPr>
          </w:p>
        </w:tc>
        <w:tc>
          <w:tcPr>
            <w:tcW w:w="2315" w:type="dxa"/>
            <w:vAlign w:val="center"/>
          </w:tcPr>
          <w:p w14:paraId="2550C5DF">
            <w:pPr>
              <w:tabs>
                <w:tab w:val="left" w:pos="255"/>
              </w:tabs>
              <w:spacing w:line="360" w:lineRule="auto"/>
              <w:ind w:left="420" w:leftChars="200" w:firstLine="480" w:firstLineChars="200"/>
              <w:rPr>
                <w:rFonts w:ascii="宋体" w:hAnsi="宋体"/>
                <w:color w:val="auto"/>
                <w:sz w:val="24"/>
                <w:szCs w:val="21"/>
                <w:highlight w:val="none"/>
                <w:lang w:val="zh-CN"/>
              </w:rPr>
            </w:pPr>
          </w:p>
        </w:tc>
        <w:tc>
          <w:tcPr>
            <w:tcW w:w="2327" w:type="dxa"/>
            <w:vAlign w:val="center"/>
          </w:tcPr>
          <w:p w14:paraId="4E601406">
            <w:pPr>
              <w:tabs>
                <w:tab w:val="left" w:pos="255"/>
              </w:tabs>
              <w:spacing w:line="360" w:lineRule="auto"/>
              <w:ind w:left="420" w:leftChars="200" w:firstLine="480" w:firstLineChars="200"/>
              <w:rPr>
                <w:rFonts w:ascii="宋体" w:hAnsi="宋体"/>
                <w:color w:val="auto"/>
                <w:sz w:val="24"/>
                <w:szCs w:val="21"/>
                <w:highlight w:val="none"/>
                <w:lang w:val="zh-CN"/>
              </w:rPr>
            </w:pPr>
          </w:p>
        </w:tc>
        <w:tc>
          <w:tcPr>
            <w:tcW w:w="1969" w:type="dxa"/>
            <w:vAlign w:val="center"/>
          </w:tcPr>
          <w:p w14:paraId="32B08E72">
            <w:pPr>
              <w:tabs>
                <w:tab w:val="left" w:pos="255"/>
              </w:tabs>
              <w:spacing w:line="360" w:lineRule="auto"/>
              <w:ind w:left="420" w:leftChars="200" w:firstLine="480" w:firstLineChars="200"/>
              <w:rPr>
                <w:rFonts w:ascii="宋体" w:hAnsi="宋体"/>
                <w:color w:val="auto"/>
                <w:sz w:val="24"/>
                <w:szCs w:val="21"/>
                <w:highlight w:val="none"/>
                <w:lang w:val="zh-CN"/>
              </w:rPr>
            </w:pPr>
          </w:p>
        </w:tc>
      </w:tr>
      <w:tr w14:paraId="40D16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330AAA01">
            <w:pPr>
              <w:tabs>
                <w:tab w:val="left" w:pos="255"/>
              </w:tabs>
              <w:spacing w:line="360" w:lineRule="auto"/>
              <w:ind w:left="420" w:leftChars="200" w:firstLine="480" w:firstLineChars="200"/>
              <w:rPr>
                <w:rFonts w:ascii="宋体" w:hAnsi="宋体"/>
                <w:color w:val="auto"/>
                <w:sz w:val="24"/>
                <w:szCs w:val="21"/>
                <w:highlight w:val="none"/>
                <w:lang w:val="zh-CN"/>
              </w:rPr>
            </w:pPr>
          </w:p>
        </w:tc>
        <w:tc>
          <w:tcPr>
            <w:tcW w:w="1973" w:type="dxa"/>
            <w:vAlign w:val="center"/>
          </w:tcPr>
          <w:p w14:paraId="344DDACE">
            <w:pPr>
              <w:tabs>
                <w:tab w:val="left" w:pos="255"/>
              </w:tabs>
              <w:spacing w:line="360" w:lineRule="auto"/>
              <w:ind w:left="420" w:leftChars="200" w:firstLine="480" w:firstLineChars="200"/>
              <w:rPr>
                <w:rFonts w:ascii="宋体" w:hAnsi="宋体"/>
                <w:color w:val="auto"/>
                <w:sz w:val="24"/>
                <w:szCs w:val="21"/>
                <w:highlight w:val="none"/>
                <w:lang w:val="zh-CN"/>
              </w:rPr>
            </w:pPr>
          </w:p>
        </w:tc>
        <w:tc>
          <w:tcPr>
            <w:tcW w:w="2315" w:type="dxa"/>
            <w:vAlign w:val="center"/>
          </w:tcPr>
          <w:p w14:paraId="00EBA37E">
            <w:pPr>
              <w:tabs>
                <w:tab w:val="left" w:pos="255"/>
              </w:tabs>
              <w:spacing w:line="360" w:lineRule="auto"/>
              <w:ind w:left="420" w:leftChars="200" w:firstLine="480" w:firstLineChars="200"/>
              <w:rPr>
                <w:rFonts w:ascii="宋体" w:hAnsi="宋体"/>
                <w:color w:val="auto"/>
                <w:sz w:val="24"/>
                <w:szCs w:val="21"/>
                <w:highlight w:val="none"/>
                <w:lang w:val="zh-CN"/>
              </w:rPr>
            </w:pPr>
          </w:p>
        </w:tc>
        <w:tc>
          <w:tcPr>
            <w:tcW w:w="2327" w:type="dxa"/>
            <w:vAlign w:val="center"/>
          </w:tcPr>
          <w:p w14:paraId="2D12E5B1">
            <w:pPr>
              <w:tabs>
                <w:tab w:val="left" w:pos="255"/>
              </w:tabs>
              <w:spacing w:line="360" w:lineRule="auto"/>
              <w:ind w:left="420" w:leftChars="200" w:firstLine="480" w:firstLineChars="200"/>
              <w:rPr>
                <w:rFonts w:ascii="宋体" w:hAnsi="宋体"/>
                <w:color w:val="auto"/>
                <w:sz w:val="24"/>
                <w:szCs w:val="21"/>
                <w:highlight w:val="none"/>
                <w:lang w:val="zh-CN"/>
              </w:rPr>
            </w:pPr>
          </w:p>
        </w:tc>
        <w:tc>
          <w:tcPr>
            <w:tcW w:w="1969" w:type="dxa"/>
            <w:vAlign w:val="center"/>
          </w:tcPr>
          <w:p w14:paraId="37F2CD7C">
            <w:pPr>
              <w:tabs>
                <w:tab w:val="left" w:pos="255"/>
              </w:tabs>
              <w:spacing w:line="360" w:lineRule="auto"/>
              <w:ind w:left="420" w:leftChars="200" w:firstLine="480" w:firstLineChars="200"/>
              <w:rPr>
                <w:rFonts w:ascii="宋体" w:hAnsi="宋体"/>
                <w:color w:val="auto"/>
                <w:sz w:val="24"/>
                <w:szCs w:val="21"/>
                <w:highlight w:val="none"/>
                <w:lang w:val="zh-CN"/>
              </w:rPr>
            </w:pPr>
          </w:p>
        </w:tc>
      </w:tr>
      <w:tr w14:paraId="1113F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42E1EA61">
            <w:pPr>
              <w:tabs>
                <w:tab w:val="left" w:pos="255"/>
              </w:tabs>
              <w:spacing w:line="360" w:lineRule="auto"/>
              <w:ind w:left="420" w:leftChars="200" w:firstLine="480" w:firstLineChars="200"/>
              <w:rPr>
                <w:rFonts w:ascii="宋体" w:hAnsi="宋体"/>
                <w:color w:val="auto"/>
                <w:sz w:val="24"/>
                <w:szCs w:val="21"/>
                <w:highlight w:val="none"/>
                <w:lang w:val="zh-CN"/>
              </w:rPr>
            </w:pPr>
          </w:p>
        </w:tc>
        <w:tc>
          <w:tcPr>
            <w:tcW w:w="1973" w:type="dxa"/>
            <w:vAlign w:val="center"/>
          </w:tcPr>
          <w:p w14:paraId="768D204B">
            <w:pPr>
              <w:tabs>
                <w:tab w:val="left" w:pos="255"/>
              </w:tabs>
              <w:spacing w:line="360" w:lineRule="auto"/>
              <w:ind w:left="420" w:leftChars="200" w:firstLine="480" w:firstLineChars="200"/>
              <w:rPr>
                <w:rFonts w:ascii="宋体" w:hAnsi="宋体"/>
                <w:color w:val="auto"/>
                <w:sz w:val="24"/>
                <w:szCs w:val="21"/>
                <w:highlight w:val="none"/>
                <w:lang w:val="zh-CN"/>
              </w:rPr>
            </w:pPr>
          </w:p>
        </w:tc>
        <w:tc>
          <w:tcPr>
            <w:tcW w:w="2315" w:type="dxa"/>
            <w:vAlign w:val="center"/>
          </w:tcPr>
          <w:p w14:paraId="3722B545">
            <w:pPr>
              <w:tabs>
                <w:tab w:val="left" w:pos="255"/>
              </w:tabs>
              <w:spacing w:line="360" w:lineRule="auto"/>
              <w:ind w:left="420" w:leftChars="200" w:firstLine="480" w:firstLineChars="200"/>
              <w:rPr>
                <w:rFonts w:ascii="宋体" w:hAnsi="宋体"/>
                <w:color w:val="auto"/>
                <w:sz w:val="24"/>
                <w:szCs w:val="21"/>
                <w:highlight w:val="none"/>
                <w:lang w:val="zh-CN"/>
              </w:rPr>
            </w:pPr>
          </w:p>
        </w:tc>
        <w:tc>
          <w:tcPr>
            <w:tcW w:w="2327" w:type="dxa"/>
            <w:vAlign w:val="center"/>
          </w:tcPr>
          <w:p w14:paraId="04027A3C">
            <w:pPr>
              <w:tabs>
                <w:tab w:val="left" w:pos="255"/>
              </w:tabs>
              <w:spacing w:line="360" w:lineRule="auto"/>
              <w:ind w:left="420" w:leftChars="200" w:firstLine="480" w:firstLineChars="200"/>
              <w:rPr>
                <w:rFonts w:ascii="宋体" w:hAnsi="宋体"/>
                <w:color w:val="auto"/>
                <w:sz w:val="24"/>
                <w:szCs w:val="21"/>
                <w:highlight w:val="none"/>
                <w:lang w:val="zh-CN"/>
              </w:rPr>
            </w:pPr>
          </w:p>
        </w:tc>
        <w:tc>
          <w:tcPr>
            <w:tcW w:w="1969" w:type="dxa"/>
            <w:vAlign w:val="center"/>
          </w:tcPr>
          <w:p w14:paraId="4A80E16D">
            <w:pPr>
              <w:tabs>
                <w:tab w:val="left" w:pos="255"/>
              </w:tabs>
              <w:spacing w:line="360" w:lineRule="auto"/>
              <w:ind w:left="420" w:leftChars="200" w:firstLine="480" w:firstLineChars="200"/>
              <w:rPr>
                <w:rFonts w:ascii="宋体" w:hAnsi="宋体"/>
                <w:color w:val="auto"/>
                <w:sz w:val="24"/>
                <w:szCs w:val="21"/>
                <w:highlight w:val="none"/>
                <w:lang w:val="zh-CN"/>
              </w:rPr>
            </w:pPr>
          </w:p>
        </w:tc>
      </w:tr>
      <w:tr w14:paraId="0F91B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5CB97C3E">
            <w:pPr>
              <w:tabs>
                <w:tab w:val="left" w:pos="255"/>
              </w:tabs>
              <w:spacing w:line="360" w:lineRule="auto"/>
              <w:ind w:left="420" w:leftChars="200" w:firstLine="480" w:firstLineChars="200"/>
              <w:rPr>
                <w:rFonts w:ascii="宋体" w:hAnsi="宋体"/>
                <w:color w:val="auto"/>
                <w:sz w:val="24"/>
                <w:szCs w:val="21"/>
                <w:highlight w:val="none"/>
                <w:lang w:val="zh-CN"/>
              </w:rPr>
            </w:pPr>
          </w:p>
        </w:tc>
        <w:tc>
          <w:tcPr>
            <w:tcW w:w="1973" w:type="dxa"/>
            <w:vAlign w:val="center"/>
          </w:tcPr>
          <w:p w14:paraId="786C399D">
            <w:pPr>
              <w:tabs>
                <w:tab w:val="left" w:pos="255"/>
              </w:tabs>
              <w:spacing w:line="360" w:lineRule="auto"/>
              <w:ind w:left="420" w:leftChars="200" w:firstLine="480" w:firstLineChars="200"/>
              <w:rPr>
                <w:rFonts w:ascii="宋体" w:hAnsi="宋体"/>
                <w:color w:val="auto"/>
                <w:sz w:val="24"/>
                <w:szCs w:val="21"/>
                <w:highlight w:val="none"/>
                <w:lang w:val="zh-CN"/>
              </w:rPr>
            </w:pPr>
          </w:p>
        </w:tc>
        <w:tc>
          <w:tcPr>
            <w:tcW w:w="2315" w:type="dxa"/>
            <w:vAlign w:val="center"/>
          </w:tcPr>
          <w:p w14:paraId="28DABA93">
            <w:pPr>
              <w:tabs>
                <w:tab w:val="left" w:pos="255"/>
              </w:tabs>
              <w:spacing w:line="360" w:lineRule="auto"/>
              <w:ind w:left="420" w:leftChars="200" w:firstLine="480" w:firstLineChars="200"/>
              <w:rPr>
                <w:rFonts w:ascii="宋体" w:hAnsi="宋体"/>
                <w:color w:val="auto"/>
                <w:sz w:val="24"/>
                <w:szCs w:val="21"/>
                <w:highlight w:val="none"/>
                <w:lang w:val="zh-CN"/>
              </w:rPr>
            </w:pPr>
          </w:p>
        </w:tc>
        <w:tc>
          <w:tcPr>
            <w:tcW w:w="2327" w:type="dxa"/>
            <w:vAlign w:val="center"/>
          </w:tcPr>
          <w:p w14:paraId="2D9A5686">
            <w:pPr>
              <w:tabs>
                <w:tab w:val="left" w:pos="255"/>
              </w:tabs>
              <w:spacing w:line="360" w:lineRule="auto"/>
              <w:ind w:left="420" w:leftChars="200" w:firstLine="480" w:firstLineChars="200"/>
              <w:rPr>
                <w:rFonts w:ascii="宋体" w:hAnsi="宋体"/>
                <w:color w:val="auto"/>
                <w:sz w:val="24"/>
                <w:szCs w:val="21"/>
                <w:highlight w:val="none"/>
                <w:lang w:val="zh-CN"/>
              </w:rPr>
            </w:pPr>
          </w:p>
        </w:tc>
        <w:tc>
          <w:tcPr>
            <w:tcW w:w="1969" w:type="dxa"/>
            <w:vAlign w:val="center"/>
          </w:tcPr>
          <w:p w14:paraId="7E12309A">
            <w:pPr>
              <w:tabs>
                <w:tab w:val="left" w:pos="255"/>
              </w:tabs>
              <w:spacing w:line="360" w:lineRule="auto"/>
              <w:ind w:left="420" w:leftChars="200" w:firstLine="480" w:firstLineChars="200"/>
              <w:rPr>
                <w:rFonts w:ascii="宋体" w:hAnsi="宋体"/>
                <w:color w:val="auto"/>
                <w:sz w:val="24"/>
                <w:szCs w:val="21"/>
                <w:highlight w:val="none"/>
                <w:lang w:val="zh-CN"/>
              </w:rPr>
            </w:pPr>
          </w:p>
        </w:tc>
      </w:tr>
    </w:tbl>
    <w:p w14:paraId="00162349">
      <w:pPr>
        <w:spacing w:line="580" w:lineRule="exact"/>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lang w:val="zh-CN"/>
        </w:rPr>
        <w:t>注：投标人应对照招标文件“第四章项目技术要求和有关说明”的相关要求，将自身响应的偏离情况（与招标文件要求不一致的地方）详细填入上表，并注明“正偏离/负偏离”；若未填写上表，视为完全响应。</w:t>
      </w:r>
    </w:p>
    <w:p w14:paraId="3C9C4DDE">
      <w:pPr>
        <w:tabs>
          <w:tab w:val="left" w:pos="255"/>
        </w:tabs>
        <w:spacing w:line="360" w:lineRule="auto"/>
        <w:ind w:left="420" w:leftChars="200" w:firstLine="480" w:firstLineChars="200"/>
        <w:rPr>
          <w:rFonts w:ascii="宋体" w:hAnsi="宋体"/>
          <w:color w:val="auto"/>
          <w:sz w:val="24"/>
          <w:szCs w:val="21"/>
          <w:highlight w:val="none"/>
          <w:lang w:val="zh-CN"/>
        </w:rPr>
      </w:pPr>
    </w:p>
    <w:p w14:paraId="54244C1B">
      <w:pPr>
        <w:tabs>
          <w:tab w:val="left" w:pos="255"/>
        </w:tabs>
        <w:spacing w:line="360" w:lineRule="auto"/>
        <w:ind w:left="420" w:leftChars="200" w:firstLine="480" w:firstLineChars="200"/>
        <w:rPr>
          <w:rFonts w:ascii="宋体" w:hAnsi="宋体"/>
          <w:color w:val="auto"/>
          <w:sz w:val="24"/>
          <w:szCs w:val="21"/>
          <w:highlight w:val="none"/>
          <w:lang w:val="zh-CN"/>
        </w:rPr>
      </w:pPr>
      <w:r>
        <w:rPr>
          <w:rFonts w:hint="eastAsia" w:ascii="宋体" w:hAnsi="宋体"/>
          <w:color w:val="auto"/>
          <w:sz w:val="24"/>
          <w:szCs w:val="21"/>
          <w:highlight w:val="none"/>
          <w:lang w:val="zh-CN"/>
        </w:rPr>
        <w:t>投标人签名：                                    日期：</w:t>
      </w:r>
      <w:bookmarkEnd w:id="82"/>
    </w:p>
    <w:p w14:paraId="67E1FCE7">
      <w:pPr>
        <w:tabs>
          <w:tab w:val="left" w:pos="255"/>
        </w:tabs>
        <w:spacing w:line="360" w:lineRule="auto"/>
        <w:ind w:firstLine="480" w:firstLineChars="200"/>
        <w:jc w:val="left"/>
        <w:rPr>
          <w:rFonts w:ascii="宋体" w:hAnsi="宋体"/>
          <w:color w:val="auto"/>
          <w:sz w:val="24"/>
          <w:szCs w:val="21"/>
          <w:highlight w:val="none"/>
        </w:rPr>
      </w:pPr>
      <w:r>
        <w:rPr>
          <w:rFonts w:ascii="宋体" w:hAnsi="宋体"/>
          <w:color w:val="auto"/>
          <w:sz w:val="24"/>
          <w:szCs w:val="21"/>
          <w:highlight w:val="none"/>
        </w:rPr>
        <w:br w:type="page"/>
      </w:r>
    </w:p>
    <w:p w14:paraId="76F0C0B5">
      <w:pPr>
        <w:tabs>
          <w:tab w:val="left" w:pos="255"/>
        </w:tabs>
        <w:spacing w:line="360" w:lineRule="auto"/>
        <w:ind w:firstLine="480" w:firstLineChars="200"/>
        <w:jc w:val="left"/>
        <w:rPr>
          <w:rFonts w:ascii="黑体" w:hAnsi="宋体" w:eastAsia="黑体"/>
          <w:bCs/>
          <w:color w:val="auto"/>
          <w:sz w:val="24"/>
          <w:szCs w:val="24"/>
          <w:highlight w:val="none"/>
        </w:rPr>
      </w:pPr>
      <w:r>
        <w:rPr>
          <w:rFonts w:hint="eastAsia" w:ascii="黑体" w:hAnsi="宋体" w:eastAsia="黑体"/>
          <w:bCs/>
          <w:color w:val="auto"/>
          <w:sz w:val="24"/>
          <w:szCs w:val="24"/>
          <w:highlight w:val="none"/>
        </w:rPr>
        <w:t>(五)招标文件第四章“项目技术要求和有关说明”中要求提供的相关证明材料（如有自行添加）</w:t>
      </w:r>
    </w:p>
    <w:p w14:paraId="40C3F43A">
      <w:pPr>
        <w:tabs>
          <w:tab w:val="left" w:pos="255"/>
        </w:tabs>
        <w:spacing w:line="360" w:lineRule="auto"/>
        <w:ind w:firstLine="480" w:firstLineChars="200"/>
        <w:jc w:val="left"/>
        <w:rPr>
          <w:rFonts w:ascii="黑体" w:hAnsi="宋体" w:eastAsia="黑体"/>
          <w:bCs/>
          <w:color w:val="auto"/>
          <w:sz w:val="24"/>
          <w:szCs w:val="24"/>
          <w:highlight w:val="none"/>
        </w:rPr>
      </w:pPr>
    </w:p>
    <w:p w14:paraId="509714E4">
      <w:pPr>
        <w:tabs>
          <w:tab w:val="left" w:pos="255"/>
        </w:tabs>
        <w:spacing w:line="360" w:lineRule="auto"/>
        <w:ind w:firstLine="480" w:firstLineChars="200"/>
        <w:jc w:val="left"/>
        <w:rPr>
          <w:rFonts w:ascii="黑体" w:hAnsi="宋体" w:eastAsia="黑体"/>
          <w:bCs/>
          <w:color w:val="auto"/>
          <w:sz w:val="24"/>
          <w:szCs w:val="24"/>
          <w:highlight w:val="none"/>
        </w:rPr>
      </w:pPr>
    </w:p>
    <w:p w14:paraId="55101CAC">
      <w:pPr>
        <w:tabs>
          <w:tab w:val="left" w:pos="255"/>
        </w:tabs>
        <w:spacing w:line="360" w:lineRule="auto"/>
        <w:ind w:firstLine="480" w:firstLineChars="200"/>
        <w:jc w:val="left"/>
        <w:rPr>
          <w:rFonts w:ascii="黑体" w:hAnsi="宋体" w:eastAsia="黑体"/>
          <w:bCs/>
          <w:color w:val="auto"/>
          <w:sz w:val="24"/>
          <w:szCs w:val="24"/>
          <w:highlight w:val="none"/>
        </w:rPr>
      </w:pPr>
    </w:p>
    <w:p w14:paraId="223816F6">
      <w:pPr>
        <w:tabs>
          <w:tab w:val="left" w:pos="255"/>
        </w:tabs>
        <w:spacing w:line="360" w:lineRule="auto"/>
        <w:ind w:firstLine="480" w:firstLineChars="200"/>
        <w:jc w:val="left"/>
        <w:rPr>
          <w:rFonts w:ascii="黑体" w:hAnsi="宋体" w:eastAsia="黑体"/>
          <w:bCs/>
          <w:color w:val="auto"/>
          <w:sz w:val="24"/>
          <w:szCs w:val="24"/>
          <w:highlight w:val="none"/>
        </w:rPr>
      </w:pPr>
    </w:p>
    <w:p w14:paraId="2B9146CC">
      <w:pPr>
        <w:tabs>
          <w:tab w:val="left" w:pos="255"/>
        </w:tabs>
        <w:spacing w:line="360" w:lineRule="auto"/>
        <w:ind w:firstLine="480" w:firstLineChars="200"/>
        <w:jc w:val="left"/>
        <w:rPr>
          <w:rFonts w:ascii="黑体" w:hAnsi="宋体" w:eastAsia="黑体"/>
          <w:bCs/>
          <w:color w:val="auto"/>
          <w:sz w:val="24"/>
          <w:szCs w:val="24"/>
          <w:highlight w:val="none"/>
        </w:rPr>
      </w:pPr>
    </w:p>
    <w:p w14:paraId="578E1147">
      <w:pPr>
        <w:tabs>
          <w:tab w:val="left" w:pos="255"/>
        </w:tabs>
        <w:spacing w:line="360" w:lineRule="auto"/>
        <w:ind w:firstLine="480" w:firstLineChars="200"/>
        <w:jc w:val="left"/>
        <w:rPr>
          <w:rFonts w:ascii="黑体" w:hAnsi="宋体" w:eastAsia="黑体"/>
          <w:bCs/>
          <w:color w:val="auto"/>
          <w:sz w:val="24"/>
          <w:szCs w:val="24"/>
          <w:highlight w:val="none"/>
        </w:rPr>
      </w:pPr>
    </w:p>
    <w:p w14:paraId="7A302AA0">
      <w:pPr>
        <w:tabs>
          <w:tab w:val="left" w:pos="255"/>
        </w:tabs>
        <w:spacing w:line="360" w:lineRule="auto"/>
        <w:ind w:firstLine="480" w:firstLineChars="200"/>
        <w:jc w:val="left"/>
        <w:rPr>
          <w:rFonts w:ascii="黑体" w:hAnsi="宋体" w:eastAsia="黑体"/>
          <w:bCs/>
          <w:color w:val="auto"/>
          <w:sz w:val="24"/>
          <w:szCs w:val="24"/>
          <w:highlight w:val="none"/>
        </w:rPr>
      </w:pPr>
    </w:p>
    <w:p w14:paraId="5C6CE706">
      <w:pPr>
        <w:tabs>
          <w:tab w:val="left" w:pos="255"/>
        </w:tabs>
        <w:spacing w:line="360" w:lineRule="auto"/>
        <w:ind w:firstLine="480" w:firstLineChars="200"/>
        <w:jc w:val="left"/>
        <w:rPr>
          <w:rFonts w:ascii="黑体" w:hAnsi="宋体" w:eastAsia="黑体"/>
          <w:bCs/>
          <w:color w:val="auto"/>
          <w:sz w:val="24"/>
          <w:szCs w:val="24"/>
          <w:highlight w:val="none"/>
        </w:rPr>
      </w:pPr>
    </w:p>
    <w:p w14:paraId="112434BB">
      <w:pPr>
        <w:tabs>
          <w:tab w:val="left" w:pos="255"/>
        </w:tabs>
        <w:spacing w:line="360" w:lineRule="auto"/>
        <w:ind w:firstLine="480" w:firstLineChars="200"/>
        <w:jc w:val="left"/>
        <w:rPr>
          <w:rFonts w:ascii="黑体" w:hAnsi="宋体" w:eastAsia="黑体"/>
          <w:bCs/>
          <w:color w:val="auto"/>
          <w:sz w:val="24"/>
          <w:szCs w:val="24"/>
          <w:highlight w:val="none"/>
        </w:rPr>
      </w:pPr>
    </w:p>
    <w:p w14:paraId="2F9BA4C5">
      <w:pPr>
        <w:tabs>
          <w:tab w:val="left" w:pos="255"/>
        </w:tabs>
        <w:spacing w:line="360" w:lineRule="auto"/>
        <w:ind w:firstLine="480" w:firstLineChars="200"/>
        <w:jc w:val="left"/>
        <w:rPr>
          <w:rFonts w:ascii="黑体" w:hAnsi="宋体" w:eastAsia="黑体"/>
          <w:bCs/>
          <w:color w:val="auto"/>
          <w:sz w:val="24"/>
          <w:szCs w:val="24"/>
          <w:highlight w:val="none"/>
        </w:rPr>
      </w:pPr>
    </w:p>
    <w:p w14:paraId="1CC18F6B">
      <w:pPr>
        <w:tabs>
          <w:tab w:val="left" w:pos="255"/>
        </w:tabs>
        <w:spacing w:line="360" w:lineRule="auto"/>
        <w:ind w:firstLine="480" w:firstLineChars="200"/>
        <w:jc w:val="left"/>
        <w:rPr>
          <w:rFonts w:ascii="黑体" w:hAnsi="宋体" w:eastAsia="黑体"/>
          <w:bCs/>
          <w:color w:val="auto"/>
          <w:sz w:val="24"/>
          <w:szCs w:val="24"/>
          <w:highlight w:val="none"/>
        </w:rPr>
      </w:pPr>
    </w:p>
    <w:p w14:paraId="4D0F2565">
      <w:pPr>
        <w:tabs>
          <w:tab w:val="left" w:pos="255"/>
        </w:tabs>
        <w:spacing w:line="360" w:lineRule="auto"/>
        <w:ind w:firstLine="480" w:firstLineChars="200"/>
        <w:jc w:val="left"/>
        <w:rPr>
          <w:rFonts w:ascii="黑体" w:hAnsi="宋体" w:eastAsia="黑体"/>
          <w:bCs/>
          <w:color w:val="auto"/>
          <w:sz w:val="24"/>
          <w:szCs w:val="24"/>
          <w:highlight w:val="none"/>
        </w:rPr>
      </w:pPr>
    </w:p>
    <w:p w14:paraId="4CAC0AD0">
      <w:pPr>
        <w:tabs>
          <w:tab w:val="left" w:pos="255"/>
        </w:tabs>
        <w:spacing w:line="360" w:lineRule="auto"/>
        <w:ind w:firstLine="480" w:firstLineChars="200"/>
        <w:jc w:val="left"/>
        <w:rPr>
          <w:rFonts w:ascii="黑体" w:hAnsi="宋体" w:eastAsia="黑体"/>
          <w:bCs/>
          <w:color w:val="auto"/>
          <w:sz w:val="24"/>
          <w:szCs w:val="24"/>
          <w:highlight w:val="none"/>
        </w:rPr>
      </w:pPr>
    </w:p>
    <w:p w14:paraId="04CDEA42">
      <w:pPr>
        <w:tabs>
          <w:tab w:val="left" w:pos="255"/>
        </w:tabs>
        <w:spacing w:line="360" w:lineRule="auto"/>
        <w:ind w:firstLine="480" w:firstLineChars="200"/>
        <w:jc w:val="left"/>
        <w:rPr>
          <w:rFonts w:ascii="黑体" w:hAnsi="宋体" w:eastAsia="黑体"/>
          <w:bCs/>
          <w:color w:val="auto"/>
          <w:sz w:val="24"/>
          <w:szCs w:val="24"/>
          <w:highlight w:val="none"/>
        </w:rPr>
      </w:pPr>
    </w:p>
    <w:p w14:paraId="60A39548">
      <w:pPr>
        <w:tabs>
          <w:tab w:val="left" w:pos="255"/>
        </w:tabs>
        <w:spacing w:line="360" w:lineRule="auto"/>
        <w:ind w:firstLine="480" w:firstLineChars="200"/>
        <w:jc w:val="left"/>
        <w:rPr>
          <w:rFonts w:ascii="黑体" w:hAnsi="宋体" w:eastAsia="黑体"/>
          <w:bCs/>
          <w:color w:val="auto"/>
          <w:sz w:val="24"/>
          <w:szCs w:val="24"/>
          <w:highlight w:val="none"/>
        </w:rPr>
      </w:pPr>
    </w:p>
    <w:p w14:paraId="67A60D48">
      <w:pPr>
        <w:tabs>
          <w:tab w:val="left" w:pos="255"/>
        </w:tabs>
        <w:spacing w:line="360" w:lineRule="auto"/>
        <w:ind w:firstLine="480" w:firstLineChars="200"/>
        <w:jc w:val="left"/>
        <w:rPr>
          <w:rFonts w:ascii="黑体" w:hAnsi="宋体" w:eastAsia="黑体"/>
          <w:bCs/>
          <w:color w:val="auto"/>
          <w:sz w:val="24"/>
          <w:szCs w:val="24"/>
          <w:highlight w:val="none"/>
        </w:rPr>
      </w:pPr>
    </w:p>
    <w:p w14:paraId="0CF915D2">
      <w:pPr>
        <w:tabs>
          <w:tab w:val="left" w:pos="255"/>
        </w:tabs>
        <w:spacing w:line="360" w:lineRule="auto"/>
        <w:ind w:firstLine="480" w:firstLineChars="200"/>
        <w:jc w:val="left"/>
        <w:rPr>
          <w:rFonts w:ascii="黑体" w:hAnsi="宋体" w:eastAsia="黑体"/>
          <w:bCs/>
          <w:color w:val="auto"/>
          <w:sz w:val="24"/>
          <w:szCs w:val="24"/>
          <w:highlight w:val="none"/>
        </w:rPr>
      </w:pPr>
    </w:p>
    <w:p w14:paraId="34860BD9">
      <w:pPr>
        <w:tabs>
          <w:tab w:val="left" w:pos="255"/>
        </w:tabs>
        <w:spacing w:line="360" w:lineRule="auto"/>
        <w:ind w:firstLine="480" w:firstLineChars="200"/>
        <w:jc w:val="left"/>
        <w:rPr>
          <w:rFonts w:ascii="黑体" w:hAnsi="宋体" w:eastAsia="黑体"/>
          <w:bCs/>
          <w:color w:val="auto"/>
          <w:sz w:val="24"/>
          <w:szCs w:val="24"/>
          <w:highlight w:val="none"/>
        </w:rPr>
      </w:pPr>
    </w:p>
    <w:p w14:paraId="58DD193E">
      <w:pPr>
        <w:tabs>
          <w:tab w:val="left" w:pos="255"/>
        </w:tabs>
        <w:spacing w:line="360" w:lineRule="auto"/>
        <w:ind w:firstLine="480" w:firstLineChars="200"/>
        <w:jc w:val="left"/>
        <w:rPr>
          <w:rFonts w:ascii="黑体" w:hAnsi="宋体" w:eastAsia="黑体"/>
          <w:bCs/>
          <w:color w:val="auto"/>
          <w:sz w:val="24"/>
          <w:szCs w:val="24"/>
          <w:highlight w:val="none"/>
        </w:rPr>
      </w:pPr>
    </w:p>
    <w:p w14:paraId="3409B975">
      <w:pPr>
        <w:tabs>
          <w:tab w:val="left" w:pos="255"/>
        </w:tabs>
        <w:spacing w:line="360" w:lineRule="auto"/>
        <w:ind w:firstLine="480" w:firstLineChars="200"/>
        <w:jc w:val="left"/>
        <w:rPr>
          <w:rFonts w:ascii="黑体" w:hAnsi="宋体" w:eastAsia="黑体"/>
          <w:bCs/>
          <w:color w:val="auto"/>
          <w:sz w:val="24"/>
          <w:szCs w:val="24"/>
          <w:highlight w:val="none"/>
        </w:rPr>
      </w:pPr>
    </w:p>
    <w:p w14:paraId="3BF2CD05">
      <w:pPr>
        <w:tabs>
          <w:tab w:val="left" w:pos="255"/>
        </w:tabs>
        <w:spacing w:line="360" w:lineRule="auto"/>
        <w:ind w:firstLine="480" w:firstLineChars="200"/>
        <w:jc w:val="left"/>
        <w:rPr>
          <w:rFonts w:ascii="黑体" w:hAnsi="宋体" w:eastAsia="黑体"/>
          <w:bCs/>
          <w:color w:val="auto"/>
          <w:sz w:val="24"/>
          <w:szCs w:val="24"/>
          <w:highlight w:val="none"/>
        </w:rPr>
      </w:pPr>
    </w:p>
    <w:p w14:paraId="30C9E6C0">
      <w:pPr>
        <w:tabs>
          <w:tab w:val="left" w:pos="255"/>
        </w:tabs>
        <w:spacing w:line="360" w:lineRule="auto"/>
        <w:ind w:firstLine="480" w:firstLineChars="200"/>
        <w:jc w:val="left"/>
        <w:rPr>
          <w:rFonts w:ascii="黑体" w:hAnsi="宋体" w:eastAsia="黑体"/>
          <w:bCs/>
          <w:color w:val="auto"/>
          <w:sz w:val="24"/>
          <w:szCs w:val="24"/>
          <w:highlight w:val="none"/>
        </w:rPr>
      </w:pPr>
    </w:p>
    <w:p w14:paraId="503C704E">
      <w:pPr>
        <w:tabs>
          <w:tab w:val="left" w:pos="255"/>
        </w:tabs>
        <w:spacing w:line="360" w:lineRule="auto"/>
        <w:ind w:firstLine="480" w:firstLineChars="200"/>
        <w:jc w:val="left"/>
        <w:rPr>
          <w:rFonts w:ascii="黑体" w:hAnsi="宋体" w:eastAsia="黑体"/>
          <w:bCs/>
          <w:color w:val="auto"/>
          <w:sz w:val="24"/>
          <w:szCs w:val="24"/>
          <w:highlight w:val="none"/>
        </w:rPr>
      </w:pPr>
    </w:p>
    <w:p w14:paraId="107CF55D">
      <w:pPr>
        <w:tabs>
          <w:tab w:val="left" w:pos="255"/>
        </w:tabs>
        <w:spacing w:line="360" w:lineRule="auto"/>
        <w:ind w:firstLine="480" w:firstLineChars="200"/>
        <w:jc w:val="left"/>
        <w:rPr>
          <w:rFonts w:ascii="黑体" w:hAnsi="宋体" w:eastAsia="黑体"/>
          <w:bCs/>
          <w:color w:val="auto"/>
          <w:sz w:val="24"/>
          <w:szCs w:val="24"/>
          <w:highlight w:val="none"/>
        </w:rPr>
      </w:pPr>
    </w:p>
    <w:p w14:paraId="6C642B25">
      <w:pPr>
        <w:tabs>
          <w:tab w:val="left" w:pos="255"/>
        </w:tabs>
        <w:spacing w:line="360" w:lineRule="auto"/>
        <w:ind w:firstLine="480" w:firstLineChars="200"/>
        <w:jc w:val="left"/>
        <w:rPr>
          <w:rFonts w:ascii="黑体" w:hAnsi="宋体" w:eastAsia="黑体"/>
          <w:bCs/>
          <w:color w:val="auto"/>
          <w:sz w:val="24"/>
          <w:szCs w:val="24"/>
          <w:highlight w:val="none"/>
        </w:rPr>
      </w:pPr>
    </w:p>
    <w:p w14:paraId="70B3A9DC">
      <w:pPr>
        <w:tabs>
          <w:tab w:val="left" w:pos="255"/>
        </w:tabs>
        <w:spacing w:line="360" w:lineRule="auto"/>
        <w:ind w:firstLine="480" w:firstLineChars="200"/>
        <w:jc w:val="left"/>
        <w:rPr>
          <w:rFonts w:ascii="黑体" w:hAnsi="宋体" w:eastAsia="黑体"/>
          <w:bCs/>
          <w:color w:val="auto"/>
          <w:sz w:val="24"/>
          <w:szCs w:val="24"/>
          <w:highlight w:val="none"/>
        </w:rPr>
      </w:pPr>
    </w:p>
    <w:p w14:paraId="3AA02D7B">
      <w:pPr>
        <w:tabs>
          <w:tab w:val="left" w:pos="255"/>
        </w:tabs>
        <w:spacing w:line="360" w:lineRule="auto"/>
        <w:ind w:firstLine="480" w:firstLineChars="200"/>
        <w:jc w:val="left"/>
        <w:rPr>
          <w:rFonts w:ascii="黑体" w:hAnsi="宋体" w:eastAsia="黑体"/>
          <w:bCs/>
          <w:color w:val="auto"/>
          <w:sz w:val="24"/>
          <w:szCs w:val="24"/>
          <w:highlight w:val="none"/>
        </w:rPr>
      </w:pPr>
    </w:p>
    <w:p w14:paraId="7E401612">
      <w:pPr>
        <w:tabs>
          <w:tab w:val="left" w:pos="255"/>
        </w:tabs>
        <w:spacing w:line="360" w:lineRule="auto"/>
        <w:ind w:firstLine="480" w:firstLineChars="200"/>
        <w:jc w:val="left"/>
        <w:rPr>
          <w:rFonts w:ascii="黑体" w:hAnsi="宋体" w:eastAsia="黑体"/>
          <w:bCs/>
          <w:color w:val="auto"/>
          <w:sz w:val="24"/>
          <w:szCs w:val="24"/>
          <w:highlight w:val="none"/>
        </w:rPr>
      </w:pPr>
    </w:p>
    <w:p w14:paraId="20D2C2AD">
      <w:pPr>
        <w:tabs>
          <w:tab w:val="left" w:pos="255"/>
        </w:tabs>
        <w:spacing w:line="360" w:lineRule="auto"/>
        <w:ind w:firstLine="480" w:firstLineChars="200"/>
        <w:jc w:val="left"/>
        <w:rPr>
          <w:rFonts w:ascii="黑体" w:hAnsi="宋体" w:eastAsia="黑体"/>
          <w:bCs/>
          <w:color w:val="auto"/>
          <w:sz w:val="24"/>
          <w:szCs w:val="24"/>
          <w:highlight w:val="none"/>
        </w:rPr>
      </w:pPr>
    </w:p>
    <w:p w14:paraId="323FC85B">
      <w:pPr>
        <w:tabs>
          <w:tab w:val="left" w:pos="255"/>
        </w:tabs>
        <w:spacing w:line="360" w:lineRule="auto"/>
        <w:ind w:firstLine="480" w:firstLineChars="200"/>
        <w:jc w:val="left"/>
        <w:rPr>
          <w:rFonts w:ascii="宋体" w:hAnsi="宋体"/>
          <w:color w:val="auto"/>
          <w:sz w:val="24"/>
          <w:szCs w:val="21"/>
          <w:highlight w:val="none"/>
          <w:lang w:val="zh-CN"/>
        </w:rPr>
      </w:pPr>
      <w:r>
        <w:rPr>
          <w:rFonts w:hint="eastAsia" w:ascii="黑体" w:hAnsi="宋体" w:eastAsia="黑体"/>
          <w:bCs/>
          <w:color w:val="auto"/>
          <w:sz w:val="24"/>
          <w:szCs w:val="24"/>
          <w:highlight w:val="none"/>
        </w:rPr>
        <w:t>（六）</w:t>
      </w:r>
      <w:bookmarkStart w:id="83" w:name="OLE_LINK16"/>
      <w:r>
        <w:rPr>
          <w:rFonts w:hint="eastAsia" w:ascii="黑体" w:hAnsi="宋体" w:eastAsia="黑体"/>
          <w:bCs/>
          <w:color w:val="auto"/>
          <w:sz w:val="24"/>
          <w:szCs w:val="24"/>
          <w:highlight w:val="none"/>
        </w:rPr>
        <w:t>技术商务部分评分导读表</w:t>
      </w:r>
      <w:bookmarkEnd w:id="83"/>
      <w:r>
        <w:rPr>
          <w:rFonts w:hint="eastAsia" w:ascii="黑体" w:hAnsi="宋体" w:eastAsia="黑体"/>
          <w:bCs/>
          <w:color w:val="auto"/>
          <w:sz w:val="24"/>
          <w:szCs w:val="24"/>
          <w:highlight w:val="none"/>
        </w:rPr>
        <w:t>（格式）：</w:t>
      </w:r>
    </w:p>
    <w:p w14:paraId="08BAEC00">
      <w:pPr>
        <w:tabs>
          <w:tab w:val="left" w:pos="255"/>
        </w:tabs>
        <w:spacing w:beforeLines="50" w:afterLines="50" w:line="360" w:lineRule="auto"/>
        <w:jc w:val="center"/>
        <w:rPr>
          <w:rFonts w:ascii="黑体" w:hAnsi="黑体" w:eastAsia="黑体"/>
          <w:color w:val="auto"/>
          <w:sz w:val="28"/>
          <w:szCs w:val="21"/>
          <w:highlight w:val="none"/>
          <w:lang w:val="zh-CN"/>
        </w:rPr>
      </w:pPr>
      <w:r>
        <w:rPr>
          <w:rFonts w:hint="eastAsia" w:ascii="黑体" w:hAnsi="黑体" w:eastAsia="黑体"/>
          <w:color w:val="auto"/>
          <w:sz w:val="28"/>
          <w:szCs w:val="21"/>
          <w:highlight w:val="none"/>
          <w:lang w:val="zh-CN"/>
        </w:rPr>
        <w:t xml:space="preserve"> 技术商务部分评分导读表</w:t>
      </w:r>
    </w:p>
    <w:p w14:paraId="05C55AB8">
      <w:pPr>
        <w:tabs>
          <w:tab w:val="left" w:pos="255"/>
        </w:tabs>
        <w:spacing w:beforeLines="50" w:afterLines="50" w:line="360" w:lineRule="auto"/>
        <w:ind w:left="420" w:leftChars="200" w:firstLine="480" w:firstLineChars="200"/>
        <w:rPr>
          <w:rFonts w:ascii="宋体" w:hAnsi="宋体"/>
          <w:color w:val="auto"/>
          <w:sz w:val="24"/>
          <w:szCs w:val="21"/>
          <w:highlight w:val="none"/>
          <w:lang w:val="zh-CN"/>
        </w:rPr>
      </w:pPr>
      <w:r>
        <w:rPr>
          <w:rFonts w:hint="eastAsia" w:ascii="宋体" w:hAnsi="宋体"/>
          <w:color w:val="auto"/>
          <w:sz w:val="24"/>
          <w:szCs w:val="21"/>
          <w:highlight w:val="none"/>
          <w:lang w:val="zh-CN"/>
        </w:rPr>
        <w:t>投标人名称（盖章）：               项目编号：YXGYJT202512012（EPC）</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260"/>
        <w:gridCol w:w="5040"/>
        <w:gridCol w:w="1404"/>
        <w:gridCol w:w="1404"/>
      </w:tblGrid>
      <w:tr w14:paraId="19250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14:paraId="36F4B1C0">
            <w:pPr>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1260" w:type="dxa"/>
            <w:tcBorders>
              <w:top w:val="single" w:color="auto" w:sz="4" w:space="0"/>
              <w:left w:val="single" w:color="auto" w:sz="4" w:space="0"/>
              <w:right w:val="single" w:color="auto" w:sz="4" w:space="0"/>
            </w:tcBorders>
            <w:vAlign w:val="center"/>
          </w:tcPr>
          <w:p w14:paraId="7E7F3537">
            <w:pPr>
              <w:jc w:val="center"/>
              <w:rPr>
                <w:rFonts w:ascii="宋体" w:hAnsi="宋体"/>
                <w:color w:val="auto"/>
                <w:sz w:val="24"/>
                <w:szCs w:val="24"/>
                <w:highlight w:val="none"/>
              </w:rPr>
            </w:pPr>
            <w:r>
              <w:rPr>
                <w:rFonts w:hint="eastAsia" w:ascii="宋体" w:hAnsi="宋体"/>
                <w:color w:val="auto"/>
                <w:sz w:val="24"/>
                <w:szCs w:val="24"/>
                <w:highlight w:val="none"/>
              </w:rPr>
              <w:t>评审项目</w:t>
            </w:r>
          </w:p>
        </w:tc>
        <w:tc>
          <w:tcPr>
            <w:tcW w:w="5040" w:type="dxa"/>
            <w:tcBorders>
              <w:top w:val="single" w:color="auto" w:sz="4" w:space="0"/>
              <w:left w:val="single" w:color="auto" w:sz="4" w:space="0"/>
              <w:bottom w:val="single" w:color="auto" w:sz="4" w:space="0"/>
              <w:right w:val="single" w:color="auto" w:sz="4" w:space="0"/>
            </w:tcBorders>
            <w:vAlign w:val="center"/>
          </w:tcPr>
          <w:p w14:paraId="38D1F16B">
            <w:pPr>
              <w:jc w:val="center"/>
              <w:rPr>
                <w:rFonts w:ascii="宋体" w:hAnsi="宋体"/>
                <w:color w:val="auto"/>
                <w:sz w:val="24"/>
                <w:szCs w:val="24"/>
                <w:highlight w:val="none"/>
              </w:rPr>
            </w:pPr>
            <w:r>
              <w:rPr>
                <w:rFonts w:hint="eastAsia" w:ascii="宋体" w:hAnsi="宋体"/>
                <w:color w:val="auto"/>
                <w:sz w:val="24"/>
                <w:szCs w:val="24"/>
                <w:highlight w:val="none"/>
              </w:rPr>
              <w:t>响应情况</w:t>
            </w:r>
          </w:p>
        </w:tc>
        <w:tc>
          <w:tcPr>
            <w:tcW w:w="1404" w:type="dxa"/>
            <w:tcBorders>
              <w:top w:val="single" w:color="auto" w:sz="4" w:space="0"/>
              <w:left w:val="single" w:color="auto" w:sz="4" w:space="0"/>
              <w:bottom w:val="single" w:color="auto" w:sz="4" w:space="0"/>
              <w:right w:val="single" w:color="auto" w:sz="4" w:space="0"/>
            </w:tcBorders>
            <w:vAlign w:val="center"/>
          </w:tcPr>
          <w:p w14:paraId="0A552910">
            <w:pPr>
              <w:jc w:val="center"/>
              <w:rPr>
                <w:rFonts w:ascii="宋体" w:hAnsi="宋体"/>
                <w:color w:val="auto"/>
                <w:sz w:val="24"/>
                <w:szCs w:val="24"/>
                <w:highlight w:val="none"/>
              </w:rPr>
            </w:pPr>
            <w:r>
              <w:rPr>
                <w:rFonts w:hint="eastAsia" w:ascii="宋体" w:hAnsi="宋体"/>
                <w:color w:val="auto"/>
                <w:sz w:val="24"/>
                <w:szCs w:val="24"/>
                <w:highlight w:val="none"/>
              </w:rPr>
              <w:t>投标文件对应页码</w:t>
            </w:r>
          </w:p>
        </w:tc>
        <w:tc>
          <w:tcPr>
            <w:tcW w:w="1404" w:type="dxa"/>
            <w:tcBorders>
              <w:top w:val="single" w:color="auto" w:sz="4" w:space="0"/>
              <w:left w:val="single" w:color="auto" w:sz="4" w:space="0"/>
              <w:bottom w:val="single" w:color="auto" w:sz="4" w:space="0"/>
              <w:right w:val="single" w:color="auto" w:sz="4" w:space="0"/>
            </w:tcBorders>
            <w:vAlign w:val="center"/>
          </w:tcPr>
          <w:p w14:paraId="7F2C3502">
            <w:pPr>
              <w:jc w:val="center"/>
              <w:rPr>
                <w:rFonts w:ascii="宋体" w:hAnsi="宋体"/>
                <w:color w:val="auto"/>
                <w:sz w:val="24"/>
                <w:szCs w:val="24"/>
                <w:highlight w:val="none"/>
              </w:rPr>
            </w:pPr>
            <w:r>
              <w:rPr>
                <w:rFonts w:hint="eastAsia" w:ascii="宋体" w:hAnsi="宋体"/>
                <w:color w:val="auto"/>
                <w:sz w:val="24"/>
                <w:szCs w:val="24"/>
                <w:highlight w:val="none"/>
              </w:rPr>
              <w:t>自评分</w:t>
            </w:r>
          </w:p>
        </w:tc>
      </w:tr>
      <w:tr w14:paraId="637EB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14:paraId="2493F07B">
            <w:pPr>
              <w:jc w:val="center"/>
              <w:rPr>
                <w:rFonts w:ascii="宋体" w:hAnsi="宋体"/>
                <w:color w:val="auto"/>
                <w:sz w:val="24"/>
                <w:szCs w:val="24"/>
                <w:highlight w:val="none"/>
              </w:rPr>
            </w:pPr>
            <w:r>
              <w:rPr>
                <w:rFonts w:hint="eastAsia" w:ascii="宋体" w:hAnsi="宋体"/>
                <w:color w:val="auto"/>
                <w:sz w:val="24"/>
                <w:szCs w:val="24"/>
                <w:highlight w:val="none"/>
              </w:rPr>
              <w:t>1</w:t>
            </w:r>
          </w:p>
        </w:tc>
        <w:tc>
          <w:tcPr>
            <w:tcW w:w="1260" w:type="dxa"/>
            <w:tcBorders>
              <w:top w:val="single" w:color="auto" w:sz="4" w:space="0"/>
              <w:left w:val="single" w:color="auto" w:sz="4" w:space="0"/>
              <w:right w:val="single" w:color="auto" w:sz="4" w:space="0"/>
            </w:tcBorders>
            <w:vAlign w:val="center"/>
          </w:tcPr>
          <w:p w14:paraId="6F300404">
            <w:pPr>
              <w:jc w:val="center"/>
              <w:rPr>
                <w:rFonts w:ascii="宋体" w:hAnsi="宋体"/>
                <w:color w:val="auto"/>
                <w:sz w:val="24"/>
                <w:szCs w:val="24"/>
                <w:highlight w:val="none"/>
              </w:rPr>
            </w:pPr>
          </w:p>
        </w:tc>
        <w:tc>
          <w:tcPr>
            <w:tcW w:w="5040" w:type="dxa"/>
            <w:tcBorders>
              <w:top w:val="single" w:color="auto" w:sz="4" w:space="0"/>
              <w:left w:val="single" w:color="auto" w:sz="4" w:space="0"/>
              <w:bottom w:val="single" w:color="auto" w:sz="4" w:space="0"/>
              <w:right w:val="single" w:color="auto" w:sz="4" w:space="0"/>
            </w:tcBorders>
            <w:vAlign w:val="center"/>
          </w:tcPr>
          <w:p w14:paraId="2158934E">
            <w:pPr>
              <w:jc w:val="center"/>
              <w:rPr>
                <w:rFonts w:ascii="宋体" w:hAnsi="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14:paraId="6036982A">
            <w:pPr>
              <w:jc w:val="center"/>
              <w:rPr>
                <w:rFonts w:ascii="宋体" w:hAnsi="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14:paraId="21A90207">
            <w:pPr>
              <w:jc w:val="center"/>
              <w:rPr>
                <w:rFonts w:ascii="宋体" w:hAnsi="宋体"/>
                <w:color w:val="auto"/>
                <w:sz w:val="24"/>
                <w:szCs w:val="24"/>
                <w:highlight w:val="none"/>
              </w:rPr>
            </w:pPr>
          </w:p>
        </w:tc>
      </w:tr>
      <w:tr w14:paraId="0A2B4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14:paraId="2596ED0D">
            <w:pPr>
              <w:jc w:val="center"/>
              <w:rPr>
                <w:rFonts w:ascii="宋体" w:hAnsi="宋体"/>
                <w:color w:val="auto"/>
                <w:sz w:val="24"/>
                <w:szCs w:val="24"/>
                <w:highlight w:val="none"/>
              </w:rPr>
            </w:pPr>
            <w:r>
              <w:rPr>
                <w:rFonts w:hint="eastAsia" w:ascii="宋体" w:hAnsi="宋体"/>
                <w:color w:val="auto"/>
                <w:sz w:val="24"/>
                <w:szCs w:val="24"/>
                <w:highlight w:val="none"/>
              </w:rPr>
              <w:t>2</w:t>
            </w:r>
          </w:p>
        </w:tc>
        <w:tc>
          <w:tcPr>
            <w:tcW w:w="1260" w:type="dxa"/>
            <w:tcBorders>
              <w:top w:val="single" w:color="auto" w:sz="4" w:space="0"/>
              <w:left w:val="single" w:color="auto" w:sz="4" w:space="0"/>
              <w:right w:val="single" w:color="auto" w:sz="4" w:space="0"/>
            </w:tcBorders>
            <w:vAlign w:val="center"/>
          </w:tcPr>
          <w:p w14:paraId="1EF5AA84">
            <w:pPr>
              <w:jc w:val="center"/>
              <w:rPr>
                <w:rFonts w:ascii="宋体" w:hAnsi="宋体"/>
                <w:color w:val="auto"/>
                <w:sz w:val="24"/>
                <w:szCs w:val="24"/>
                <w:highlight w:val="none"/>
              </w:rPr>
            </w:pPr>
          </w:p>
        </w:tc>
        <w:tc>
          <w:tcPr>
            <w:tcW w:w="5040" w:type="dxa"/>
            <w:tcBorders>
              <w:top w:val="single" w:color="auto" w:sz="4" w:space="0"/>
              <w:left w:val="single" w:color="auto" w:sz="4" w:space="0"/>
              <w:bottom w:val="single" w:color="auto" w:sz="4" w:space="0"/>
              <w:right w:val="single" w:color="auto" w:sz="4" w:space="0"/>
            </w:tcBorders>
            <w:vAlign w:val="center"/>
          </w:tcPr>
          <w:p w14:paraId="748117D8">
            <w:pPr>
              <w:jc w:val="center"/>
              <w:rPr>
                <w:rFonts w:ascii="宋体" w:hAnsi="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14:paraId="4BBB5F7C">
            <w:pPr>
              <w:jc w:val="center"/>
              <w:rPr>
                <w:rFonts w:ascii="宋体" w:hAnsi="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14:paraId="2B1DDFE0">
            <w:pPr>
              <w:jc w:val="center"/>
              <w:rPr>
                <w:rFonts w:ascii="宋体" w:hAnsi="宋体"/>
                <w:color w:val="auto"/>
                <w:sz w:val="24"/>
                <w:szCs w:val="24"/>
                <w:highlight w:val="none"/>
              </w:rPr>
            </w:pPr>
          </w:p>
        </w:tc>
      </w:tr>
      <w:tr w14:paraId="0E6CC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14:paraId="36886663">
            <w:pPr>
              <w:jc w:val="center"/>
              <w:rPr>
                <w:rFonts w:ascii="宋体" w:hAnsi="宋体"/>
                <w:color w:val="auto"/>
                <w:sz w:val="24"/>
                <w:szCs w:val="24"/>
                <w:highlight w:val="none"/>
              </w:rPr>
            </w:pPr>
            <w:r>
              <w:rPr>
                <w:rFonts w:hint="eastAsia" w:ascii="宋体" w:hAnsi="宋体"/>
                <w:color w:val="auto"/>
                <w:sz w:val="24"/>
                <w:szCs w:val="24"/>
                <w:highlight w:val="none"/>
              </w:rPr>
              <w:t>3</w:t>
            </w:r>
          </w:p>
        </w:tc>
        <w:tc>
          <w:tcPr>
            <w:tcW w:w="1260" w:type="dxa"/>
            <w:tcBorders>
              <w:top w:val="single" w:color="auto" w:sz="4" w:space="0"/>
              <w:left w:val="single" w:color="auto" w:sz="4" w:space="0"/>
              <w:right w:val="single" w:color="auto" w:sz="4" w:space="0"/>
            </w:tcBorders>
            <w:vAlign w:val="center"/>
          </w:tcPr>
          <w:p w14:paraId="311F980D">
            <w:pPr>
              <w:jc w:val="center"/>
              <w:rPr>
                <w:rFonts w:ascii="宋体" w:hAnsi="宋体"/>
                <w:color w:val="auto"/>
                <w:sz w:val="24"/>
                <w:szCs w:val="24"/>
                <w:highlight w:val="none"/>
              </w:rPr>
            </w:pPr>
          </w:p>
        </w:tc>
        <w:tc>
          <w:tcPr>
            <w:tcW w:w="5040" w:type="dxa"/>
            <w:tcBorders>
              <w:top w:val="single" w:color="auto" w:sz="4" w:space="0"/>
              <w:left w:val="single" w:color="auto" w:sz="4" w:space="0"/>
              <w:bottom w:val="single" w:color="auto" w:sz="4" w:space="0"/>
              <w:right w:val="single" w:color="auto" w:sz="4" w:space="0"/>
            </w:tcBorders>
            <w:vAlign w:val="center"/>
          </w:tcPr>
          <w:p w14:paraId="5188F30B">
            <w:pPr>
              <w:jc w:val="left"/>
              <w:rPr>
                <w:rFonts w:ascii="宋体" w:hAnsi="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14:paraId="18550780">
            <w:pPr>
              <w:jc w:val="center"/>
              <w:rPr>
                <w:rFonts w:ascii="宋体" w:hAnsi="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14:paraId="1FF771DA">
            <w:pPr>
              <w:jc w:val="center"/>
              <w:rPr>
                <w:rFonts w:ascii="宋体" w:hAnsi="宋体"/>
                <w:color w:val="auto"/>
                <w:sz w:val="24"/>
                <w:szCs w:val="24"/>
                <w:highlight w:val="none"/>
              </w:rPr>
            </w:pPr>
          </w:p>
        </w:tc>
      </w:tr>
    </w:tbl>
    <w:p w14:paraId="22086335">
      <w:pPr>
        <w:spacing w:line="580" w:lineRule="exact"/>
        <w:ind w:firstLine="480" w:firstLineChars="200"/>
        <w:rPr>
          <w:rFonts w:ascii="宋体" w:hAnsi="宋体"/>
          <w:bCs/>
          <w:color w:val="auto"/>
          <w:sz w:val="24"/>
          <w:szCs w:val="24"/>
          <w:highlight w:val="none"/>
          <w:lang w:val="zh-CN"/>
        </w:rPr>
      </w:pPr>
    </w:p>
    <w:p w14:paraId="56F53AF3">
      <w:pPr>
        <w:spacing w:line="580" w:lineRule="exact"/>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lang w:val="zh-CN"/>
        </w:rPr>
        <w:t>注：投标人应对照招标文件“第三章评标方法和标准”的相关要求，根据自身响应情况填写上表；并在“</w:t>
      </w:r>
      <w:r>
        <w:rPr>
          <w:rFonts w:hint="eastAsia" w:ascii="宋体" w:hAnsi="宋体"/>
          <w:color w:val="auto"/>
          <w:sz w:val="24"/>
          <w:szCs w:val="24"/>
          <w:highlight w:val="none"/>
        </w:rPr>
        <w:t>响应情况</w:t>
      </w:r>
      <w:r>
        <w:rPr>
          <w:rFonts w:hint="eastAsia" w:ascii="宋体" w:hAnsi="宋体"/>
          <w:bCs/>
          <w:color w:val="auto"/>
          <w:sz w:val="24"/>
          <w:szCs w:val="24"/>
          <w:highlight w:val="none"/>
          <w:lang w:val="zh-CN"/>
        </w:rPr>
        <w:t>”栏填入所提供的证明材料清单，</w:t>
      </w:r>
      <w:r>
        <w:rPr>
          <w:rFonts w:hint="eastAsia" w:ascii="宋体" w:hAnsi="宋体"/>
          <w:bCs/>
          <w:color w:val="auto"/>
          <w:sz w:val="24"/>
          <w:szCs w:val="24"/>
          <w:highlight w:val="none"/>
        </w:rPr>
        <w:t>没有证明材料的此栏填“无”</w:t>
      </w:r>
      <w:r>
        <w:rPr>
          <w:rFonts w:hint="eastAsia" w:ascii="宋体" w:hAnsi="宋体"/>
          <w:bCs/>
          <w:color w:val="auto"/>
          <w:sz w:val="24"/>
          <w:szCs w:val="24"/>
          <w:highlight w:val="none"/>
          <w:lang w:val="zh-CN"/>
        </w:rPr>
        <w:t>。</w:t>
      </w:r>
    </w:p>
    <w:p w14:paraId="115CD68D">
      <w:pPr>
        <w:tabs>
          <w:tab w:val="left" w:pos="255"/>
        </w:tabs>
        <w:spacing w:line="360" w:lineRule="auto"/>
        <w:ind w:left="420" w:leftChars="200" w:firstLine="480" w:firstLineChars="200"/>
        <w:rPr>
          <w:rFonts w:ascii="宋体" w:hAnsi="宋体"/>
          <w:color w:val="auto"/>
          <w:sz w:val="24"/>
          <w:szCs w:val="21"/>
          <w:highlight w:val="none"/>
          <w:lang w:val="zh-CN"/>
        </w:rPr>
      </w:pPr>
    </w:p>
    <w:p w14:paraId="19D7C633">
      <w:pPr>
        <w:jc w:val="center"/>
        <w:rPr>
          <w:rFonts w:ascii="黑体" w:hAnsi="宋体" w:eastAsia="黑体"/>
          <w:color w:val="auto"/>
          <w:sz w:val="32"/>
          <w:szCs w:val="32"/>
          <w:highlight w:val="none"/>
        </w:rPr>
      </w:pPr>
      <w:r>
        <w:rPr>
          <w:rFonts w:hint="eastAsia" w:ascii="宋体" w:hAnsi="宋体"/>
          <w:color w:val="auto"/>
          <w:sz w:val="24"/>
          <w:szCs w:val="21"/>
          <w:highlight w:val="none"/>
          <w:lang w:val="zh-CN"/>
        </w:rPr>
        <w:t>投标人签名：                                    日期：</w:t>
      </w:r>
    </w:p>
    <w:p w14:paraId="31F8CA84">
      <w:pPr>
        <w:tabs>
          <w:tab w:val="left" w:pos="255"/>
        </w:tabs>
        <w:spacing w:line="360" w:lineRule="auto"/>
        <w:jc w:val="left"/>
        <w:rPr>
          <w:rFonts w:ascii="黑体" w:hAnsi="宋体" w:eastAsia="黑体"/>
          <w:bCs/>
          <w:color w:val="auto"/>
          <w:sz w:val="24"/>
          <w:szCs w:val="24"/>
          <w:highlight w:val="none"/>
        </w:rPr>
      </w:pPr>
    </w:p>
    <w:p w14:paraId="5F81CB42">
      <w:pPr>
        <w:tabs>
          <w:tab w:val="left" w:pos="255"/>
        </w:tabs>
        <w:spacing w:line="360" w:lineRule="auto"/>
        <w:jc w:val="left"/>
        <w:rPr>
          <w:rFonts w:ascii="黑体" w:hAnsi="宋体" w:eastAsia="黑体"/>
          <w:bCs/>
          <w:color w:val="auto"/>
          <w:sz w:val="24"/>
          <w:szCs w:val="24"/>
          <w:highlight w:val="none"/>
        </w:rPr>
      </w:pPr>
    </w:p>
    <w:p w14:paraId="19102E6B">
      <w:pPr>
        <w:tabs>
          <w:tab w:val="left" w:pos="255"/>
        </w:tabs>
        <w:spacing w:line="360" w:lineRule="auto"/>
        <w:jc w:val="left"/>
        <w:rPr>
          <w:rFonts w:ascii="黑体" w:hAnsi="宋体" w:eastAsia="黑体"/>
          <w:bCs/>
          <w:color w:val="auto"/>
          <w:sz w:val="24"/>
          <w:szCs w:val="24"/>
          <w:highlight w:val="none"/>
        </w:rPr>
      </w:pPr>
    </w:p>
    <w:p w14:paraId="114FABB0">
      <w:pPr>
        <w:tabs>
          <w:tab w:val="left" w:pos="255"/>
        </w:tabs>
        <w:spacing w:line="360" w:lineRule="auto"/>
        <w:jc w:val="left"/>
        <w:rPr>
          <w:rFonts w:ascii="黑体" w:hAnsi="宋体" w:eastAsia="黑体"/>
          <w:bCs/>
          <w:color w:val="auto"/>
          <w:sz w:val="24"/>
          <w:szCs w:val="24"/>
          <w:highlight w:val="none"/>
        </w:rPr>
      </w:pPr>
    </w:p>
    <w:p w14:paraId="2F84C9DF">
      <w:pPr>
        <w:tabs>
          <w:tab w:val="left" w:pos="255"/>
        </w:tabs>
        <w:spacing w:line="360" w:lineRule="auto"/>
        <w:jc w:val="left"/>
        <w:rPr>
          <w:rFonts w:ascii="黑体" w:hAnsi="宋体" w:eastAsia="黑体"/>
          <w:bCs/>
          <w:color w:val="auto"/>
          <w:sz w:val="24"/>
          <w:szCs w:val="24"/>
          <w:highlight w:val="none"/>
        </w:rPr>
      </w:pPr>
    </w:p>
    <w:p w14:paraId="093541B3">
      <w:pPr>
        <w:tabs>
          <w:tab w:val="left" w:pos="255"/>
        </w:tabs>
        <w:spacing w:line="360" w:lineRule="auto"/>
        <w:jc w:val="left"/>
        <w:rPr>
          <w:rFonts w:ascii="黑体" w:hAnsi="宋体" w:eastAsia="黑体"/>
          <w:bCs/>
          <w:color w:val="auto"/>
          <w:sz w:val="24"/>
          <w:szCs w:val="24"/>
          <w:highlight w:val="none"/>
        </w:rPr>
      </w:pPr>
    </w:p>
    <w:p w14:paraId="3C5DF19E">
      <w:pPr>
        <w:tabs>
          <w:tab w:val="left" w:pos="255"/>
        </w:tabs>
        <w:spacing w:line="360" w:lineRule="auto"/>
        <w:jc w:val="left"/>
        <w:rPr>
          <w:rFonts w:ascii="黑体" w:hAnsi="宋体" w:eastAsia="黑体"/>
          <w:bCs/>
          <w:color w:val="auto"/>
          <w:sz w:val="24"/>
          <w:szCs w:val="24"/>
          <w:highlight w:val="none"/>
        </w:rPr>
      </w:pPr>
    </w:p>
    <w:p w14:paraId="06C48FC5">
      <w:pPr>
        <w:tabs>
          <w:tab w:val="left" w:pos="255"/>
        </w:tabs>
        <w:spacing w:line="360" w:lineRule="auto"/>
        <w:jc w:val="left"/>
        <w:rPr>
          <w:rFonts w:ascii="黑体" w:hAnsi="宋体" w:eastAsia="黑体"/>
          <w:bCs/>
          <w:color w:val="auto"/>
          <w:sz w:val="24"/>
          <w:szCs w:val="24"/>
          <w:highlight w:val="none"/>
        </w:rPr>
      </w:pPr>
    </w:p>
    <w:p w14:paraId="254A1F36">
      <w:pPr>
        <w:tabs>
          <w:tab w:val="left" w:pos="255"/>
        </w:tabs>
        <w:spacing w:line="360" w:lineRule="auto"/>
        <w:jc w:val="left"/>
        <w:rPr>
          <w:rFonts w:ascii="黑体" w:hAnsi="宋体" w:eastAsia="黑体"/>
          <w:bCs/>
          <w:color w:val="auto"/>
          <w:sz w:val="24"/>
          <w:szCs w:val="24"/>
          <w:highlight w:val="none"/>
        </w:rPr>
      </w:pPr>
    </w:p>
    <w:p w14:paraId="147D80E1">
      <w:pPr>
        <w:tabs>
          <w:tab w:val="left" w:pos="255"/>
        </w:tabs>
        <w:spacing w:line="360" w:lineRule="auto"/>
        <w:jc w:val="left"/>
        <w:rPr>
          <w:rFonts w:ascii="黑体" w:hAnsi="宋体" w:eastAsia="黑体"/>
          <w:bCs/>
          <w:color w:val="auto"/>
          <w:sz w:val="24"/>
          <w:szCs w:val="24"/>
          <w:highlight w:val="none"/>
        </w:rPr>
      </w:pPr>
    </w:p>
    <w:p w14:paraId="24908FE6">
      <w:pPr>
        <w:tabs>
          <w:tab w:val="left" w:pos="255"/>
        </w:tabs>
        <w:spacing w:line="360" w:lineRule="auto"/>
        <w:jc w:val="left"/>
        <w:rPr>
          <w:rFonts w:ascii="黑体" w:hAnsi="宋体" w:eastAsia="黑体"/>
          <w:bCs/>
          <w:color w:val="auto"/>
          <w:sz w:val="24"/>
          <w:szCs w:val="24"/>
          <w:highlight w:val="none"/>
        </w:rPr>
      </w:pPr>
    </w:p>
    <w:p w14:paraId="2F3D3C03">
      <w:pPr>
        <w:tabs>
          <w:tab w:val="left" w:pos="255"/>
        </w:tabs>
        <w:spacing w:line="360" w:lineRule="auto"/>
        <w:jc w:val="left"/>
        <w:rPr>
          <w:rFonts w:ascii="黑体" w:hAnsi="宋体" w:eastAsia="黑体"/>
          <w:bCs/>
          <w:color w:val="auto"/>
          <w:sz w:val="24"/>
          <w:szCs w:val="24"/>
          <w:highlight w:val="none"/>
        </w:rPr>
      </w:pPr>
    </w:p>
    <w:p w14:paraId="6A5C1C70">
      <w:pPr>
        <w:spacing w:before="78" w:line="219" w:lineRule="auto"/>
        <w:ind w:left="3294"/>
        <w:outlineLvl w:val="0"/>
        <w:rPr>
          <w:rFonts w:ascii="黑体" w:hAnsi="黑体" w:eastAsia="黑体" w:cs="黑体"/>
          <w:color w:val="auto"/>
          <w:sz w:val="24"/>
          <w:szCs w:val="24"/>
        </w:rPr>
      </w:pPr>
      <w:r>
        <w:rPr>
          <w:rFonts w:hint="eastAsia" w:ascii="黑体" w:hAnsi="宋体" w:eastAsia="黑体"/>
          <w:bCs/>
          <w:color w:val="auto"/>
          <w:sz w:val="24"/>
          <w:szCs w:val="24"/>
          <w:highlight w:val="none"/>
        </w:rPr>
        <w:t>（</w:t>
      </w:r>
      <w:r>
        <w:rPr>
          <w:rFonts w:hint="eastAsia" w:ascii="黑体" w:hAnsi="宋体" w:eastAsia="黑体"/>
          <w:bCs/>
          <w:color w:val="auto"/>
          <w:sz w:val="24"/>
          <w:szCs w:val="24"/>
          <w:highlight w:val="none"/>
          <w:lang w:val="en-US" w:eastAsia="zh-CN"/>
        </w:rPr>
        <w:t>七</w:t>
      </w:r>
      <w:r>
        <w:rPr>
          <w:rFonts w:hint="eastAsia" w:ascii="黑体" w:hAnsi="宋体" w:eastAsia="黑体"/>
          <w:bCs/>
          <w:color w:val="auto"/>
          <w:sz w:val="24"/>
          <w:szCs w:val="24"/>
          <w:highlight w:val="none"/>
        </w:rPr>
        <w:t>）</w:t>
      </w:r>
      <w:r>
        <w:rPr>
          <w:rFonts w:ascii="黑体" w:hAnsi="黑体" w:eastAsia="黑体" w:cs="黑体"/>
          <w:color w:val="auto"/>
          <w:spacing w:val="-1"/>
          <w:sz w:val="24"/>
          <w:szCs w:val="24"/>
        </w:rPr>
        <w:t>材料设备品牌承诺表</w:t>
      </w:r>
    </w:p>
    <w:p w14:paraId="5614199D">
      <w:pPr>
        <w:spacing w:before="6"/>
        <w:rPr>
          <w:color w:val="auto"/>
        </w:rPr>
      </w:pPr>
    </w:p>
    <w:tbl>
      <w:tblPr>
        <w:tblStyle w:val="93"/>
        <w:tblW w:w="87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9"/>
        <w:gridCol w:w="1244"/>
        <w:gridCol w:w="3171"/>
        <w:gridCol w:w="3061"/>
        <w:gridCol w:w="662"/>
        <w:gridCol w:w="21"/>
      </w:tblGrid>
      <w:tr w14:paraId="0FDF0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731" w:hRule="atLeast"/>
        </w:trPr>
        <w:tc>
          <w:tcPr>
            <w:tcW w:w="589" w:type="dxa"/>
            <w:vAlign w:val="top"/>
          </w:tcPr>
          <w:p w14:paraId="33A6375F">
            <w:pPr>
              <w:pStyle w:val="92"/>
              <w:spacing w:before="281" w:line="222" w:lineRule="auto"/>
              <w:jc w:val="center"/>
              <w:rPr>
                <w:color w:val="auto"/>
              </w:rPr>
            </w:pPr>
            <w:r>
              <w:rPr>
                <w:color w:val="auto"/>
                <w:spacing w:val="-2"/>
              </w:rPr>
              <w:t>序号</w:t>
            </w:r>
          </w:p>
        </w:tc>
        <w:tc>
          <w:tcPr>
            <w:tcW w:w="1244" w:type="dxa"/>
            <w:vAlign w:val="top"/>
          </w:tcPr>
          <w:p w14:paraId="14558E5D">
            <w:pPr>
              <w:pStyle w:val="92"/>
              <w:spacing w:before="281" w:line="220" w:lineRule="auto"/>
              <w:jc w:val="center"/>
              <w:rPr>
                <w:color w:val="auto"/>
              </w:rPr>
            </w:pPr>
            <w:r>
              <w:rPr>
                <w:color w:val="auto"/>
                <w:spacing w:val="-1"/>
              </w:rPr>
              <w:t>材料设备名称</w:t>
            </w:r>
          </w:p>
        </w:tc>
        <w:tc>
          <w:tcPr>
            <w:tcW w:w="3171" w:type="dxa"/>
            <w:vAlign w:val="top"/>
          </w:tcPr>
          <w:p w14:paraId="23349514">
            <w:pPr>
              <w:pStyle w:val="92"/>
              <w:spacing w:before="281" w:line="221" w:lineRule="auto"/>
              <w:jc w:val="center"/>
              <w:rPr>
                <w:color w:val="auto"/>
              </w:rPr>
            </w:pPr>
            <w:r>
              <w:rPr>
                <w:color w:val="auto"/>
                <w:spacing w:val="-1"/>
              </w:rPr>
              <w:t>参照（或相当于）品牌(型号)</w:t>
            </w:r>
          </w:p>
        </w:tc>
        <w:tc>
          <w:tcPr>
            <w:tcW w:w="3061" w:type="dxa"/>
            <w:vAlign w:val="top"/>
          </w:tcPr>
          <w:p w14:paraId="5B864CD6">
            <w:pPr>
              <w:pStyle w:val="92"/>
              <w:spacing w:before="281" w:line="221" w:lineRule="auto"/>
              <w:jc w:val="center"/>
              <w:rPr>
                <w:color w:val="auto"/>
              </w:rPr>
            </w:pPr>
            <w:r>
              <w:rPr>
                <w:color w:val="auto"/>
                <w:spacing w:val="-1"/>
              </w:rPr>
              <w:t>投标人承诺品牌(型号)</w:t>
            </w:r>
          </w:p>
        </w:tc>
        <w:tc>
          <w:tcPr>
            <w:tcW w:w="662" w:type="dxa"/>
            <w:vAlign w:val="top"/>
          </w:tcPr>
          <w:p w14:paraId="6BF02719">
            <w:pPr>
              <w:pStyle w:val="92"/>
              <w:spacing w:before="281" w:line="222" w:lineRule="auto"/>
              <w:jc w:val="center"/>
              <w:rPr>
                <w:color w:val="auto"/>
              </w:rPr>
            </w:pPr>
            <w:r>
              <w:rPr>
                <w:color w:val="auto"/>
                <w:spacing w:val="-3"/>
              </w:rPr>
              <w:t>备注</w:t>
            </w:r>
          </w:p>
        </w:tc>
      </w:tr>
      <w:tr w14:paraId="3268D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724" w:hRule="atLeast"/>
        </w:trPr>
        <w:tc>
          <w:tcPr>
            <w:tcW w:w="589" w:type="dxa"/>
            <w:vAlign w:val="top"/>
          </w:tcPr>
          <w:p w14:paraId="6141E5A0">
            <w:pPr>
              <w:pStyle w:val="92"/>
              <w:spacing w:before="244" w:line="242" w:lineRule="auto"/>
              <w:jc w:val="center"/>
              <w:rPr>
                <w:rFonts w:hint="eastAsia" w:eastAsia="宋体"/>
                <w:color w:val="auto"/>
                <w:sz w:val="22"/>
                <w:szCs w:val="22"/>
                <w:lang w:eastAsia="zh-CN"/>
              </w:rPr>
            </w:pPr>
            <w:r>
              <w:rPr>
                <w:rFonts w:hint="eastAsia"/>
                <w:color w:val="auto"/>
                <w:sz w:val="22"/>
                <w:szCs w:val="22"/>
                <w:lang w:val="en-US" w:eastAsia="zh-CN"/>
              </w:rPr>
              <w:t>1</w:t>
            </w:r>
          </w:p>
        </w:tc>
        <w:tc>
          <w:tcPr>
            <w:tcW w:w="1244" w:type="dxa"/>
            <w:vAlign w:val="top"/>
          </w:tcPr>
          <w:p w14:paraId="1BC94404">
            <w:pPr>
              <w:pStyle w:val="92"/>
              <w:spacing w:before="247" w:line="220" w:lineRule="auto"/>
              <w:jc w:val="center"/>
              <w:rPr>
                <w:color w:val="auto"/>
                <w:spacing w:val="-2"/>
                <w:sz w:val="22"/>
                <w:szCs w:val="22"/>
              </w:rPr>
            </w:pPr>
            <w:r>
              <w:rPr>
                <w:color w:val="auto"/>
                <w:spacing w:val="-2"/>
                <w:sz w:val="22"/>
                <w:szCs w:val="22"/>
              </w:rPr>
              <w:t>格栅及精准除砂系统</w:t>
            </w:r>
          </w:p>
        </w:tc>
        <w:tc>
          <w:tcPr>
            <w:tcW w:w="3171" w:type="dxa"/>
            <w:vAlign w:val="top"/>
          </w:tcPr>
          <w:p w14:paraId="04F0424D">
            <w:pPr>
              <w:pStyle w:val="92"/>
              <w:spacing w:before="247" w:line="220" w:lineRule="auto"/>
              <w:jc w:val="center"/>
              <w:rPr>
                <w:rFonts w:hint="eastAsia"/>
                <w:color w:val="auto"/>
                <w:spacing w:val="-2"/>
                <w:sz w:val="22"/>
                <w:szCs w:val="22"/>
                <w:lang w:eastAsia="zh-CN"/>
              </w:rPr>
            </w:pPr>
            <w:r>
              <w:rPr>
                <w:color w:val="auto"/>
                <w:spacing w:val="-2"/>
                <w:sz w:val="22"/>
                <w:szCs w:val="22"/>
              </w:rPr>
              <w:t>无锡中川环保、江苏阿兰贝尔、南京蓝赛环保、江苏明轩</w:t>
            </w:r>
            <w:r>
              <w:rPr>
                <w:rFonts w:hint="eastAsia"/>
                <w:color w:val="auto"/>
                <w:spacing w:val="-2"/>
                <w:sz w:val="22"/>
                <w:szCs w:val="22"/>
                <w:lang w:eastAsia="zh-CN"/>
              </w:rPr>
              <w:t>、江苏环球、鹏鹞环保、金山环保、通用环保、江苏一环</w:t>
            </w:r>
          </w:p>
        </w:tc>
        <w:tc>
          <w:tcPr>
            <w:tcW w:w="3061" w:type="dxa"/>
            <w:vAlign w:val="top"/>
          </w:tcPr>
          <w:p w14:paraId="1431A55E">
            <w:pPr>
              <w:pStyle w:val="92"/>
              <w:spacing w:before="247" w:line="220" w:lineRule="auto"/>
              <w:jc w:val="center"/>
              <w:rPr>
                <w:rFonts w:ascii="Arial"/>
                <w:color w:val="auto"/>
                <w:sz w:val="21"/>
              </w:rPr>
            </w:pPr>
          </w:p>
        </w:tc>
        <w:tc>
          <w:tcPr>
            <w:tcW w:w="662" w:type="dxa"/>
            <w:vAlign w:val="top"/>
          </w:tcPr>
          <w:p w14:paraId="5C4A5F95">
            <w:pPr>
              <w:jc w:val="center"/>
              <w:rPr>
                <w:rFonts w:ascii="Arial"/>
                <w:color w:val="auto"/>
                <w:sz w:val="21"/>
              </w:rPr>
            </w:pPr>
          </w:p>
        </w:tc>
      </w:tr>
      <w:tr w14:paraId="20384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861" w:hRule="atLeast"/>
        </w:trPr>
        <w:tc>
          <w:tcPr>
            <w:tcW w:w="589" w:type="dxa"/>
            <w:vAlign w:val="top"/>
          </w:tcPr>
          <w:p w14:paraId="4C432E1A">
            <w:pPr>
              <w:spacing w:line="243" w:lineRule="auto"/>
              <w:jc w:val="center"/>
              <w:rPr>
                <w:rFonts w:ascii="Arial"/>
                <w:color w:val="auto"/>
                <w:sz w:val="21"/>
              </w:rPr>
            </w:pPr>
          </w:p>
          <w:p w14:paraId="0AFCE237">
            <w:pPr>
              <w:pStyle w:val="92"/>
              <w:spacing w:before="72" w:line="242" w:lineRule="auto"/>
              <w:jc w:val="center"/>
              <w:rPr>
                <w:rFonts w:hint="eastAsia" w:eastAsia="宋体"/>
                <w:color w:val="auto"/>
                <w:sz w:val="22"/>
                <w:szCs w:val="22"/>
                <w:lang w:eastAsia="zh-CN"/>
              </w:rPr>
            </w:pPr>
            <w:r>
              <w:rPr>
                <w:rFonts w:hint="eastAsia"/>
                <w:color w:val="auto"/>
                <w:spacing w:val="-7"/>
                <w:sz w:val="22"/>
                <w:szCs w:val="22"/>
                <w:lang w:val="en-US" w:eastAsia="zh-CN"/>
              </w:rPr>
              <w:t>2</w:t>
            </w:r>
          </w:p>
        </w:tc>
        <w:tc>
          <w:tcPr>
            <w:tcW w:w="1244" w:type="dxa"/>
            <w:vAlign w:val="top"/>
          </w:tcPr>
          <w:p w14:paraId="37636041">
            <w:pPr>
              <w:spacing w:line="244" w:lineRule="auto"/>
              <w:jc w:val="center"/>
              <w:rPr>
                <w:rFonts w:ascii="Arial"/>
                <w:color w:val="auto"/>
                <w:sz w:val="21"/>
              </w:rPr>
            </w:pPr>
          </w:p>
          <w:p w14:paraId="59A311ED">
            <w:pPr>
              <w:pStyle w:val="92"/>
              <w:spacing w:before="71" w:line="220" w:lineRule="auto"/>
              <w:jc w:val="center"/>
              <w:rPr>
                <w:color w:val="auto"/>
                <w:sz w:val="22"/>
                <w:szCs w:val="22"/>
              </w:rPr>
            </w:pPr>
            <w:r>
              <w:rPr>
                <w:color w:val="auto"/>
                <w:spacing w:val="-4"/>
                <w:sz w:val="22"/>
                <w:szCs w:val="22"/>
              </w:rPr>
              <w:t>除臭系统</w:t>
            </w:r>
          </w:p>
        </w:tc>
        <w:tc>
          <w:tcPr>
            <w:tcW w:w="3171" w:type="dxa"/>
            <w:vAlign w:val="top"/>
          </w:tcPr>
          <w:p w14:paraId="1CB33AF2">
            <w:pPr>
              <w:pStyle w:val="92"/>
              <w:spacing w:before="33" w:line="220" w:lineRule="auto"/>
              <w:jc w:val="center"/>
              <w:rPr>
                <w:color w:val="auto"/>
                <w:sz w:val="22"/>
                <w:szCs w:val="22"/>
              </w:rPr>
            </w:pPr>
            <w:r>
              <w:rPr>
                <w:color w:val="auto"/>
                <w:spacing w:val="-1"/>
                <w:sz w:val="22"/>
                <w:szCs w:val="22"/>
              </w:rPr>
              <w:t>江苏宇动、南方环保、东大能源、</w:t>
            </w:r>
          </w:p>
          <w:p w14:paraId="4BDAAE96">
            <w:pPr>
              <w:pStyle w:val="92"/>
              <w:spacing w:before="20" w:line="221" w:lineRule="auto"/>
              <w:ind w:left="113"/>
              <w:jc w:val="center"/>
              <w:rPr>
                <w:color w:val="auto"/>
                <w:sz w:val="22"/>
                <w:szCs w:val="22"/>
              </w:rPr>
            </w:pPr>
            <w:r>
              <w:rPr>
                <w:color w:val="auto"/>
                <w:spacing w:val="-2"/>
                <w:sz w:val="22"/>
                <w:szCs w:val="22"/>
              </w:rPr>
              <w:t>鹏鹞环保、金山环保、通用环保、江</w:t>
            </w:r>
            <w:r>
              <w:rPr>
                <w:color w:val="auto"/>
                <w:spacing w:val="-1"/>
                <w:sz w:val="22"/>
                <w:szCs w:val="22"/>
              </w:rPr>
              <w:t>苏一环、江苏明轩、江苏环球</w:t>
            </w:r>
          </w:p>
        </w:tc>
        <w:tc>
          <w:tcPr>
            <w:tcW w:w="3061" w:type="dxa"/>
            <w:vAlign w:val="top"/>
          </w:tcPr>
          <w:p w14:paraId="1856AF5E">
            <w:pPr>
              <w:pStyle w:val="92"/>
              <w:spacing w:before="20" w:line="221" w:lineRule="auto"/>
              <w:ind w:left="113" w:leftChars="0"/>
              <w:jc w:val="center"/>
              <w:rPr>
                <w:rFonts w:ascii="Arial"/>
                <w:color w:val="auto"/>
                <w:sz w:val="21"/>
              </w:rPr>
            </w:pPr>
          </w:p>
        </w:tc>
        <w:tc>
          <w:tcPr>
            <w:tcW w:w="662" w:type="dxa"/>
            <w:vAlign w:val="top"/>
          </w:tcPr>
          <w:p w14:paraId="3D41FF4E">
            <w:pPr>
              <w:jc w:val="center"/>
              <w:rPr>
                <w:rFonts w:ascii="Arial"/>
                <w:color w:val="auto"/>
                <w:sz w:val="21"/>
              </w:rPr>
            </w:pPr>
          </w:p>
        </w:tc>
      </w:tr>
      <w:tr w14:paraId="5D2DF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724" w:hRule="atLeast"/>
        </w:trPr>
        <w:tc>
          <w:tcPr>
            <w:tcW w:w="589" w:type="dxa"/>
            <w:vAlign w:val="top"/>
          </w:tcPr>
          <w:p w14:paraId="23A0B3C4">
            <w:pPr>
              <w:pStyle w:val="92"/>
              <w:spacing w:before="249" w:line="242" w:lineRule="auto"/>
              <w:jc w:val="center"/>
              <w:rPr>
                <w:rFonts w:hint="eastAsia" w:eastAsia="宋体"/>
                <w:color w:val="auto"/>
                <w:sz w:val="22"/>
                <w:szCs w:val="22"/>
                <w:lang w:eastAsia="zh-CN"/>
              </w:rPr>
            </w:pPr>
            <w:r>
              <w:rPr>
                <w:rFonts w:hint="eastAsia"/>
                <w:color w:val="auto"/>
                <w:spacing w:val="-7"/>
                <w:sz w:val="22"/>
                <w:szCs w:val="22"/>
                <w:lang w:val="en-US" w:eastAsia="zh-CN"/>
              </w:rPr>
              <w:t>3</w:t>
            </w:r>
          </w:p>
        </w:tc>
        <w:tc>
          <w:tcPr>
            <w:tcW w:w="1244" w:type="dxa"/>
            <w:vAlign w:val="top"/>
          </w:tcPr>
          <w:p w14:paraId="03218915">
            <w:pPr>
              <w:pStyle w:val="92"/>
              <w:spacing w:before="250" w:line="220" w:lineRule="auto"/>
              <w:jc w:val="center"/>
              <w:rPr>
                <w:color w:val="auto"/>
                <w:sz w:val="22"/>
                <w:szCs w:val="22"/>
              </w:rPr>
            </w:pPr>
            <w:r>
              <w:rPr>
                <w:color w:val="auto"/>
                <w:spacing w:val="-2"/>
                <w:sz w:val="22"/>
                <w:szCs w:val="22"/>
              </w:rPr>
              <w:t>计量泵</w:t>
            </w:r>
          </w:p>
        </w:tc>
        <w:tc>
          <w:tcPr>
            <w:tcW w:w="3171" w:type="dxa"/>
            <w:vAlign w:val="top"/>
          </w:tcPr>
          <w:p w14:paraId="1B11DCC4">
            <w:pPr>
              <w:pStyle w:val="92"/>
              <w:spacing w:before="250" w:line="220" w:lineRule="auto"/>
              <w:jc w:val="center"/>
              <w:rPr>
                <w:color w:val="auto"/>
                <w:sz w:val="22"/>
                <w:szCs w:val="22"/>
              </w:rPr>
            </w:pPr>
            <w:r>
              <w:rPr>
                <w:color w:val="auto"/>
                <w:spacing w:val="-1"/>
                <w:sz w:val="22"/>
                <w:szCs w:val="22"/>
              </w:rPr>
              <w:t>普罗名特、米顿罗、格兰富</w:t>
            </w:r>
          </w:p>
        </w:tc>
        <w:tc>
          <w:tcPr>
            <w:tcW w:w="3061" w:type="dxa"/>
            <w:vAlign w:val="top"/>
          </w:tcPr>
          <w:p w14:paraId="3217B7CE">
            <w:pPr>
              <w:pStyle w:val="92"/>
              <w:spacing w:before="250" w:line="220" w:lineRule="auto"/>
              <w:jc w:val="center"/>
              <w:rPr>
                <w:rFonts w:ascii="Arial"/>
                <w:color w:val="auto"/>
                <w:sz w:val="21"/>
              </w:rPr>
            </w:pPr>
          </w:p>
        </w:tc>
        <w:tc>
          <w:tcPr>
            <w:tcW w:w="662" w:type="dxa"/>
            <w:vAlign w:val="top"/>
          </w:tcPr>
          <w:p w14:paraId="0E72F65E">
            <w:pPr>
              <w:jc w:val="center"/>
              <w:rPr>
                <w:rFonts w:ascii="Arial"/>
                <w:color w:val="auto"/>
                <w:sz w:val="21"/>
              </w:rPr>
            </w:pPr>
          </w:p>
        </w:tc>
      </w:tr>
      <w:tr w14:paraId="51791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 w:type="dxa"/>
          <w:trHeight w:val="731" w:hRule="atLeast"/>
        </w:trPr>
        <w:tc>
          <w:tcPr>
            <w:tcW w:w="589" w:type="dxa"/>
            <w:vAlign w:val="top"/>
          </w:tcPr>
          <w:p w14:paraId="4D5222F9">
            <w:pPr>
              <w:pStyle w:val="92"/>
              <w:spacing w:before="251" w:line="242" w:lineRule="auto"/>
              <w:jc w:val="center"/>
              <w:rPr>
                <w:rFonts w:hint="eastAsia" w:eastAsia="宋体"/>
                <w:color w:val="auto"/>
                <w:sz w:val="22"/>
                <w:szCs w:val="22"/>
                <w:lang w:eastAsia="zh-CN"/>
              </w:rPr>
            </w:pPr>
            <w:r>
              <w:rPr>
                <w:rFonts w:hint="eastAsia"/>
                <w:color w:val="auto"/>
                <w:sz w:val="22"/>
                <w:szCs w:val="22"/>
                <w:lang w:val="en-US" w:eastAsia="zh-CN"/>
              </w:rPr>
              <w:t>4</w:t>
            </w:r>
          </w:p>
        </w:tc>
        <w:tc>
          <w:tcPr>
            <w:tcW w:w="1244" w:type="dxa"/>
            <w:vAlign w:val="top"/>
          </w:tcPr>
          <w:p w14:paraId="360DDBE4">
            <w:pPr>
              <w:pStyle w:val="92"/>
              <w:spacing w:before="251" w:line="220" w:lineRule="auto"/>
              <w:jc w:val="center"/>
              <w:rPr>
                <w:color w:val="auto"/>
                <w:sz w:val="22"/>
                <w:szCs w:val="22"/>
              </w:rPr>
            </w:pPr>
            <w:r>
              <w:rPr>
                <w:color w:val="auto"/>
                <w:spacing w:val="-6"/>
                <w:sz w:val="22"/>
                <w:szCs w:val="22"/>
              </w:rPr>
              <w:t>电器元件</w:t>
            </w:r>
          </w:p>
        </w:tc>
        <w:tc>
          <w:tcPr>
            <w:tcW w:w="3171" w:type="dxa"/>
            <w:vAlign w:val="top"/>
          </w:tcPr>
          <w:p w14:paraId="223C44DF">
            <w:pPr>
              <w:pStyle w:val="92"/>
              <w:spacing w:before="251" w:line="221" w:lineRule="auto"/>
              <w:jc w:val="center"/>
              <w:rPr>
                <w:color w:val="auto"/>
                <w:sz w:val="22"/>
                <w:szCs w:val="22"/>
              </w:rPr>
            </w:pPr>
            <w:r>
              <w:rPr>
                <w:color w:val="auto"/>
                <w:spacing w:val="-2"/>
                <w:sz w:val="22"/>
                <w:szCs w:val="22"/>
              </w:rPr>
              <w:t>施耐德、ABB、西门子</w:t>
            </w:r>
          </w:p>
        </w:tc>
        <w:tc>
          <w:tcPr>
            <w:tcW w:w="3061" w:type="dxa"/>
            <w:vAlign w:val="top"/>
          </w:tcPr>
          <w:p w14:paraId="4E39465B">
            <w:pPr>
              <w:pStyle w:val="92"/>
              <w:spacing w:before="251" w:line="221" w:lineRule="auto"/>
              <w:jc w:val="center"/>
              <w:rPr>
                <w:rFonts w:ascii="Arial"/>
                <w:color w:val="auto"/>
                <w:sz w:val="21"/>
              </w:rPr>
            </w:pPr>
          </w:p>
        </w:tc>
        <w:tc>
          <w:tcPr>
            <w:tcW w:w="662" w:type="dxa"/>
            <w:vAlign w:val="top"/>
          </w:tcPr>
          <w:p w14:paraId="5A590276">
            <w:pPr>
              <w:jc w:val="center"/>
              <w:rPr>
                <w:rFonts w:ascii="Arial"/>
                <w:color w:val="auto"/>
                <w:sz w:val="21"/>
              </w:rPr>
            </w:pPr>
          </w:p>
        </w:tc>
      </w:tr>
      <w:tr w14:paraId="3B6B0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589" w:type="dxa"/>
            <w:vAlign w:val="top"/>
          </w:tcPr>
          <w:p w14:paraId="10D3720D">
            <w:pPr>
              <w:pStyle w:val="92"/>
              <w:spacing w:before="251" w:line="242" w:lineRule="auto"/>
              <w:jc w:val="center"/>
              <w:rPr>
                <w:rFonts w:hint="eastAsia" w:eastAsia="宋体"/>
                <w:color w:val="auto"/>
                <w:sz w:val="22"/>
                <w:szCs w:val="22"/>
                <w:lang w:eastAsia="zh-CN"/>
              </w:rPr>
            </w:pPr>
            <w:r>
              <w:rPr>
                <w:rFonts w:hint="eastAsia"/>
                <w:color w:val="auto"/>
                <w:sz w:val="22"/>
                <w:szCs w:val="22"/>
                <w:lang w:val="en-US" w:eastAsia="zh-CN"/>
              </w:rPr>
              <w:t>5</w:t>
            </w:r>
          </w:p>
        </w:tc>
        <w:tc>
          <w:tcPr>
            <w:tcW w:w="1244" w:type="dxa"/>
            <w:vAlign w:val="top"/>
          </w:tcPr>
          <w:p w14:paraId="0EA52FA2">
            <w:pPr>
              <w:pStyle w:val="92"/>
              <w:spacing w:before="252" w:line="220" w:lineRule="auto"/>
              <w:jc w:val="center"/>
              <w:rPr>
                <w:color w:val="auto"/>
                <w:sz w:val="22"/>
                <w:szCs w:val="22"/>
              </w:rPr>
            </w:pPr>
            <w:r>
              <w:rPr>
                <w:color w:val="auto"/>
                <w:spacing w:val="-6"/>
                <w:sz w:val="22"/>
                <w:szCs w:val="22"/>
              </w:rPr>
              <w:t>电线电缆</w:t>
            </w:r>
          </w:p>
        </w:tc>
        <w:tc>
          <w:tcPr>
            <w:tcW w:w="3171" w:type="dxa"/>
            <w:vAlign w:val="top"/>
          </w:tcPr>
          <w:p w14:paraId="023CDEC6">
            <w:pPr>
              <w:pStyle w:val="92"/>
              <w:spacing w:before="252" w:line="220" w:lineRule="auto"/>
              <w:jc w:val="center"/>
              <w:rPr>
                <w:color w:val="auto"/>
                <w:sz w:val="22"/>
                <w:szCs w:val="22"/>
              </w:rPr>
            </w:pPr>
            <w:r>
              <w:rPr>
                <w:color w:val="auto"/>
                <w:spacing w:val="-1"/>
                <w:sz w:val="22"/>
                <w:szCs w:val="22"/>
              </w:rPr>
              <w:t>远东、上上、江南、中超、新远程</w:t>
            </w:r>
          </w:p>
        </w:tc>
        <w:tc>
          <w:tcPr>
            <w:tcW w:w="3061" w:type="dxa"/>
            <w:vAlign w:val="top"/>
          </w:tcPr>
          <w:p w14:paraId="775C6FE0">
            <w:pPr>
              <w:pStyle w:val="92"/>
              <w:spacing w:before="252" w:line="220" w:lineRule="auto"/>
              <w:jc w:val="center"/>
              <w:rPr>
                <w:rFonts w:ascii="Arial"/>
                <w:color w:val="auto"/>
                <w:sz w:val="21"/>
              </w:rPr>
            </w:pPr>
          </w:p>
        </w:tc>
        <w:tc>
          <w:tcPr>
            <w:tcW w:w="683" w:type="dxa"/>
            <w:gridSpan w:val="2"/>
            <w:vAlign w:val="top"/>
          </w:tcPr>
          <w:p w14:paraId="557EC7D1">
            <w:pPr>
              <w:jc w:val="center"/>
              <w:rPr>
                <w:rFonts w:ascii="Arial"/>
                <w:color w:val="auto"/>
                <w:sz w:val="21"/>
              </w:rPr>
            </w:pPr>
          </w:p>
        </w:tc>
      </w:tr>
      <w:tr w14:paraId="1F1D7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589" w:type="dxa"/>
            <w:vAlign w:val="top"/>
          </w:tcPr>
          <w:p w14:paraId="27F6A8FA">
            <w:pPr>
              <w:pStyle w:val="92"/>
              <w:spacing w:before="247"/>
              <w:jc w:val="center"/>
              <w:rPr>
                <w:rFonts w:hint="default" w:eastAsia="宋体"/>
                <w:color w:val="auto"/>
                <w:sz w:val="22"/>
                <w:szCs w:val="22"/>
                <w:lang w:val="en-US" w:eastAsia="zh-CN"/>
              </w:rPr>
            </w:pPr>
            <w:r>
              <w:rPr>
                <w:rFonts w:hint="eastAsia"/>
                <w:color w:val="auto"/>
                <w:sz w:val="22"/>
                <w:szCs w:val="22"/>
                <w:lang w:val="en-US" w:eastAsia="zh-CN"/>
              </w:rPr>
              <w:t>6</w:t>
            </w:r>
          </w:p>
        </w:tc>
        <w:tc>
          <w:tcPr>
            <w:tcW w:w="1244" w:type="dxa"/>
            <w:vAlign w:val="top"/>
          </w:tcPr>
          <w:p w14:paraId="43521DCC">
            <w:pPr>
              <w:pStyle w:val="92"/>
              <w:spacing w:before="246" w:line="220" w:lineRule="auto"/>
              <w:jc w:val="center"/>
              <w:rPr>
                <w:color w:val="auto"/>
                <w:sz w:val="22"/>
                <w:szCs w:val="22"/>
              </w:rPr>
            </w:pPr>
            <w:r>
              <w:rPr>
                <w:color w:val="auto"/>
                <w:spacing w:val="-2"/>
                <w:sz w:val="22"/>
                <w:szCs w:val="22"/>
              </w:rPr>
              <w:t>PLC模块</w:t>
            </w:r>
          </w:p>
        </w:tc>
        <w:tc>
          <w:tcPr>
            <w:tcW w:w="3171" w:type="dxa"/>
            <w:vAlign w:val="top"/>
          </w:tcPr>
          <w:p w14:paraId="49D9F668">
            <w:pPr>
              <w:pStyle w:val="92"/>
              <w:spacing w:before="246" w:line="221" w:lineRule="auto"/>
              <w:jc w:val="center"/>
              <w:rPr>
                <w:color w:val="auto"/>
                <w:sz w:val="22"/>
                <w:szCs w:val="22"/>
              </w:rPr>
            </w:pPr>
            <w:r>
              <w:rPr>
                <w:color w:val="auto"/>
                <w:spacing w:val="-1"/>
                <w:sz w:val="22"/>
                <w:szCs w:val="22"/>
              </w:rPr>
              <w:t>AB、施耐德、西门子</w:t>
            </w:r>
          </w:p>
        </w:tc>
        <w:tc>
          <w:tcPr>
            <w:tcW w:w="3061" w:type="dxa"/>
            <w:vAlign w:val="top"/>
          </w:tcPr>
          <w:p w14:paraId="4F9BED4A">
            <w:pPr>
              <w:pStyle w:val="92"/>
              <w:spacing w:before="246" w:line="221" w:lineRule="auto"/>
              <w:jc w:val="center"/>
              <w:rPr>
                <w:rFonts w:ascii="Arial"/>
                <w:color w:val="auto"/>
                <w:sz w:val="21"/>
              </w:rPr>
            </w:pPr>
          </w:p>
        </w:tc>
        <w:tc>
          <w:tcPr>
            <w:tcW w:w="683" w:type="dxa"/>
            <w:gridSpan w:val="2"/>
            <w:vAlign w:val="top"/>
          </w:tcPr>
          <w:p w14:paraId="1FF7F402">
            <w:pPr>
              <w:jc w:val="center"/>
              <w:rPr>
                <w:rFonts w:ascii="Arial"/>
                <w:color w:val="auto"/>
                <w:sz w:val="21"/>
              </w:rPr>
            </w:pPr>
          </w:p>
        </w:tc>
      </w:tr>
      <w:tr w14:paraId="1B9AB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589" w:type="dxa"/>
            <w:vAlign w:val="top"/>
          </w:tcPr>
          <w:p w14:paraId="4C56A14C">
            <w:pPr>
              <w:pStyle w:val="92"/>
              <w:spacing w:before="245"/>
              <w:jc w:val="center"/>
              <w:rPr>
                <w:rFonts w:hint="eastAsia" w:eastAsia="宋体"/>
                <w:color w:val="auto"/>
                <w:sz w:val="22"/>
                <w:szCs w:val="22"/>
                <w:lang w:eastAsia="zh-CN"/>
              </w:rPr>
            </w:pPr>
            <w:r>
              <w:rPr>
                <w:rFonts w:hint="eastAsia"/>
                <w:color w:val="auto"/>
                <w:sz w:val="22"/>
                <w:szCs w:val="22"/>
                <w:lang w:val="en-US" w:eastAsia="zh-CN"/>
              </w:rPr>
              <w:t>7</w:t>
            </w:r>
          </w:p>
        </w:tc>
        <w:tc>
          <w:tcPr>
            <w:tcW w:w="1244" w:type="dxa"/>
            <w:vAlign w:val="top"/>
          </w:tcPr>
          <w:p w14:paraId="49B5C1CA">
            <w:pPr>
              <w:pStyle w:val="92"/>
              <w:spacing w:before="245" w:line="222" w:lineRule="auto"/>
              <w:jc w:val="center"/>
              <w:rPr>
                <w:color w:val="auto"/>
                <w:sz w:val="22"/>
                <w:szCs w:val="22"/>
              </w:rPr>
            </w:pPr>
            <w:r>
              <w:rPr>
                <w:color w:val="auto"/>
                <w:spacing w:val="-2"/>
                <w:sz w:val="22"/>
                <w:szCs w:val="22"/>
              </w:rPr>
              <w:t>流量计</w:t>
            </w:r>
          </w:p>
        </w:tc>
        <w:tc>
          <w:tcPr>
            <w:tcW w:w="3171" w:type="dxa"/>
            <w:vAlign w:val="top"/>
          </w:tcPr>
          <w:p w14:paraId="7E638DAE">
            <w:pPr>
              <w:pStyle w:val="92"/>
              <w:spacing w:before="246" w:line="219" w:lineRule="auto"/>
              <w:jc w:val="center"/>
              <w:rPr>
                <w:color w:val="auto"/>
                <w:sz w:val="22"/>
                <w:szCs w:val="22"/>
              </w:rPr>
            </w:pPr>
            <w:r>
              <w:rPr>
                <w:color w:val="auto"/>
                <w:spacing w:val="-1"/>
                <w:sz w:val="22"/>
                <w:szCs w:val="22"/>
              </w:rPr>
              <w:t>E+H、西门子、科隆、ABB</w:t>
            </w:r>
          </w:p>
        </w:tc>
        <w:tc>
          <w:tcPr>
            <w:tcW w:w="3061" w:type="dxa"/>
            <w:vAlign w:val="top"/>
          </w:tcPr>
          <w:p w14:paraId="0F6BB386">
            <w:pPr>
              <w:pStyle w:val="92"/>
              <w:spacing w:before="246" w:line="219" w:lineRule="auto"/>
              <w:jc w:val="center"/>
              <w:rPr>
                <w:rFonts w:ascii="Arial"/>
                <w:color w:val="auto"/>
                <w:sz w:val="21"/>
              </w:rPr>
            </w:pPr>
          </w:p>
        </w:tc>
        <w:tc>
          <w:tcPr>
            <w:tcW w:w="683" w:type="dxa"/>
            <w:gridSpan w:val="2"/>
            <w:vAlign w:val="top"/>
          </w:tcPr>
          <w:p w14:paraId="2C8BDE2F">
            <w:pPr>
              <w:jc w:val="center"/>
              <w:rPr>
                <w:rFonts w:ascii="Arial"/>
                <w:color w:val="auto"/>
                <w:sz w:val="21"/>
              </w:rPr>
            </w:pPr>
          </w:p>
        </w:tc>
      </w:tr>
      <w:tr w14:paraId="3BD5D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589" w:type="dxa"/>
            <w:vAlign w:val="top"/>
          </w:tcPr>
          <w:p w14:paraId="3EF3EFF0">
            <w:pPr>
              <w:pStyle w:val="92"/>
              <w:spacing w:before="248"/>
              <w:jc w:val="center"/>
              <w:rPr>
                <w:rFonts w:hint="eastAsia" w:eastAsia="宋体"/>
                <w:color w:val="auto"/>
                <w:sz w:val="22"/>
                <w:szCs w:val="22"/>
                <w:lang w:eastAsia="zh-CN"/>
              </w:rPr>
            </w:pPr>
            <w:r>
              <w:rPr>
                <w:rFonts w:hint="eastAsia"/>
                <w:color w:val="auto"/>
                <w:sz w:val="22"/>
                <w:szCs w:val="22"/>
                <w:lang w:val="en-US" w:eastAsia="zh-CN"/>
              </w:rPr>
              <w:t>8</w:t>
            </w:r>
          </w:p>
        </w:tc>
        <w:tc>
          <w:tcPr>
            <w:tcW w:w="1244" w:type="dxa"/>
            <w:vAlign w:val="top"/>
          </w:tcPr>
          <w:p w14:paraId="427703F7">
            <w:pPr>
              <w:pStyle w:val="92"/>
              <w:spacing w:before="248" w:line="221" w:lineRule="auto"/>
              <w:jc w:val="center"/>
              <w:rPr>
                <w:color w:val="auto"/>
                <w:sz w:val="22"/>
                <w:szCs w:val="22"/>
              </w:rPr>
            </w:pPr>
            <w:r>
              <w:rPr>
                <w:color w:val="auto"/>
                <w:spacing w:val="-2"/>
                <w:sz w:val="22"/>
                <w:szCs w:val="22"/>
              </w:rPr>
              <w:t>液位计</w:t>
            </w:r>
          </w:p>
        </w:tc>
        <w:tc>
          <w:tcPr>
            <w:tcW w:w="3171" w:type="dxa"/>
            <w:vAlign w:val="top"/>
          </w:tcPr>
          <w:p w14:paraId="4468DA3D">
            <w:pPr>
              <w:pStyle w:val="92"/>
              <w:spacing w:before="248" w:line="219" w:lineRule="auto"/>
              <w:jc w:val="center"/>
              <w:rPr>
                <w:color w:val="auto"/>
                <w:sz w:val="22"/>
                <w:szCs w:val="22"/>
              </w:rPr>
            </w:pPr>
            <w:r>
              <w:rPr>
                <w:color w:val="auto"/>
                <w:spacing w:val="-1"/>
                <w:sz w:val="22"/>
                <w:szCs w:val="22"/>
              </w:rPr>
              <w:t>E+H、西门子、科隆、ABB</w:t>
            </w:r>
          </w:p>
        </w:tc>
        <w:tc>
          <w:tcPr>
            <w:tcW w:w="3061" w:type="dxa"/>
            <w:vAlign w:val="top"/>
          </w:tcPr>
          <w:p w14:paraId="09BC6CA2">
            <w:pPr>
              <w:pStyle w:val="92"/>
              <w:spacing w:before="248" w:line="219" w:lineRule="auto"/>
              <w:jc w:val="center"/>
              <w:rPr>
                <w:rFonts w:ascii="Arial"/>
                <w:color w:val="auto"/>
                <w:sz w:val="21"/>
              </w:rPr>
            </w:pPr>
          </w:p>
        </w:tc>
        <w:tc>
          <w:tcPr>
            <w:tcW w:w="683" w:type="dxa"/>
            <w:gridSpan w:val="2"/>
            <w:vAlign w:val="top"/>
          </w:tcPr>
          <w:p w14:paraId="030F8F8F">
            <w:pPr>
              <w:jc w:val="center"/>
              <w:rPr>
                <w:rFonts w:ascii="Arial"/>
                <w:color w:val="auto"/>
                <w:sz w:val="21"/>
              </w:rPr>
            </w:pPr>
          </w:p>
        </w:tc>
      </w:tr>
      <w:tr w14:paraId="4CA3E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589" w:type="dxa"/>
            <w:vAlign w:val="top"/>
          </w:tcPr>
          <w:p w14:paraId="635DAD2C">
            <w:pPr>
              <w:pStyle w:val="92"/>
              <w:spacing w:before="248"/>
              <w:jc w:val="center"/>
              <w:rPr>
                <w:rFonts w:hint="default"/>
                <w:color w:val="auto"/>
                <w:sz w:val="22"/>
                <w:szCs w:val="22"/>
                <w:lang w:val="en-US" w:eastAsia="zh-CN"/>
              </w:rPr>
            </w:pPr>
            <w:r>
              <w:rPr>
                <w:rFonts w:hint="eastAsia"/>
                <w:color w:val="auto"/>
                <w:sz w:val="22"/>
                <w:szCs w:val="22"/>
                <w:lang w:val="en-US" w:eastAsia="zh-CN"/>
              </w:rPr>
              <w:t>9</w:t>
            </w:r>
          </w:p>
        </w:tc>
        <w:tc>
          <w:tcPr>
            <w:tcW w:w="1244" w:type="dxa"/>
            <w:vAlign w:val="top"/>
          </w:tcPr>
          <w:p w14:paraId="2A66B00D">
            <w:pPr>
              <w:pStyle w:val="92"/>
              <w:spacing w:before="248" w:line="221" w:lineRule="auto"/>
              <w:jc w:val="center"/>
              <w:rPr>
                <w:rFonts w:hint="eastAsia" w:eastAsia="宋体"/>
                <w:color w:val="auto"/>
                <w:spacing w:val="-2"/>
                <w:sz w:val="22"/>
                <w:szCs w:val="22"/>
                <w:lang w:val="en-US" w:eastAsia="zh-CN"/>
              </w:rPr>
            </w:pPr>
            <w:r>
              <w:rPr>
                <w:rFonts w:hint="eastAsia"/>
                <w:color w:val="auto"/>
                <w:spacing w:val="-2"/>
                <w:sz w:val="22"/>
                <w:szCs w:val="22"/>
                <w:lang w:val="en-US" w:eastAsia="zh-CN"/>
              </w:rPr>
              <w:t>潜污泵</w:t>
            </w:r>
          </w:p>
        </w:tc>
        <w:tc>
          <w:tcPr>
            <w:tcW w:w="3171" w:type="dxa"/>
            <w:vAlign w:val="top"/>
          </w:tcPr>
          <w:p w14:paraId="398A3534">
            <w:pPr>
              <w:pStyle w:val="92"/>
              <w:spacing w:before="246" w:line="219" w:lineRule="auto"/>
              <w:jc w:val="center"/>
              <w:rPr>
                <w:color w:val="auto"/>
                <w:spacing w:val="-1"/>
                <w:sz w:val="22"/>
                <w:szCs w:val="22"/>
              </w:rPr>
            </w:pPr>
            <w:r>
              <w:rPr>
                <w:color w:val="auto"/>
                <w:spacing w:val="-1"/>
                <w:sz w:val="22"/>
                <w:szCs w:val="22"/>
              </w:rPr>
              <w:t>上海凯泉、浙江丰球克瑞泵业、南方泵业、上海熊猫</w:t>
            </w:r>
          </w:p>
        </w:tc>
        <w:tc>
          <w:tcPr>
            <w:tcW w:w="3061" w:type="dxa"/>
            <w:vAlign w:val="top"/>
          </w:tcPr>
          <w:p w14:paraId="3C57A592">
            <w:pPr>
              <w:pStyle w:val="92"/>
              <w:spacing w:before="248" w:line="219" w:lineRule="auto"/>
              <w:jc w:val="center"/>
              <w:rPr>
                <w:rFonts w:ascii="Arial"/>
                <w:color w:val="auto"/>
                <w:sz w:val="21"/>
              </w:rPr>
            </w:pPr>
          </w:p>
        </w:tc>
        <w:tc>
          <w:tcPr>
            <w:tcW w:w="683" w:type="dxa"/>
            <w:gridSpan w:val="2"/>
            <w:vAlign w:val="top"/>
          </w:tcPr>
          <w:p w14:paraId="2C1C0497">
            <w:pPr>
              <w:jc w:val="center"/>
              <w:rPr>
                <w:rFonts w:ascii="Arial"/>
                <w:color w:val="auto"/>
                <w:sz w:val="21"/>
              </w:rPr>
            </w:pPr>
          </w:p>
        </w:tc>
      </w:tr>
      <w:tr w14:paraId="687D5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589" w:type="dxa"/>
            <w:vAlign w:val="top"/>
          </w:tcPr>
          <w:p w14:paraId="3A2978DD">
            <w:pPr>
              <w:pStyle w:val="92"/>
              <w:spacing w:before="248"/>
              <w:jc w:val="center"/>
              <w:rPr>
                <w:rFonts w:hint="default"/>
                <w:color w:val="auto"/>
                <w:sz w:val="22"/>
                <w:szCs w:val="22"/>
                <w:lang w:val="en-US" w:eastAsia="zh-CN"/>
              </w:rPr>
            </w:pPr>
            <w:r>
              <w:rPr>
                <w:rFonts w:hint="eastAsia"/>
                <w:color w:val="auto"/>
                <w:sz w:val="22"/>
                <w:szCs w:val="22"/>
                <w:lang w:val="en-US" w:eastAsia="zh-CN"/>
              </w:rPr>
              <w:t>10</w:t>
            </w:r>
          </w:p>
        </w:tc>
        <w:tc>
          <w:tcPr>
            <w:tcW w:w="1244" w:type="dxa"/>
            <w:vAlign w:val="top"/>
          </w:tcPr>
          <w:p w14:paraId="7EF98FF4">
            <w:pPr>
              <w:pStyle w:val="92"/>
              <w:spacing w:before="248" w:line="221" w:lineRule="auto"/>
              <w:jc w:val="center"/>
              <w:rPr>
                <w:rFonts w:hint="default"/>
                <w:color w:val="auto"/>
                <w:spacing w:val="-2"/>
                <w:sz w:val="22"/>
                <w:szCs w:val="22"/>
                <w:lang w:val="en-US" w:eastAsia="zh-CN"/>
              </w:rPr>
            </w:pPr>
            <w:r>
              <w:rPr>
                <w:rFonts w:hint="eastAsia"/>
                <w:color w:val="auto"/>
                <w:spacing w:val="-2"/>
                <w:sz w:val="22"/>
                <w:szCs w:val="22"/>
                <w:lang w:val="en-US" w:eastAsia="zh-CN"/>
              </w:rPr>
              <w:t>触摸屏</w:t>
            </w:r>
          </w:p>
        </w:tc>
        <w:tc>
          <w:tcPr>
            <w:tcW w:w="3171" w:type="dxa"/>
            <w:vAlign w:val="top"/>
          </w:tcPr>
          <w:p w14:paraId="7DE587C8">
            <w:pPr>
              <w:pStyle w:val="92"/>
              <w:spacing w:before="246" w:line="219" w:lineRule="auto"/>
              <w:jc w:val="center"/>
              <w:rPr>
                <w:color w:val="auto"/>
                <w:spacing w:val="-1"/>
                <w:sz w:val="22"/>
                <w:szCs w:val="22"/>
              </w:rPr>
            </w:pPr>
            <w:r>
              <w:rPr>
                <w:rFonts w:ascii="Times New Roman" w:hAnsi="Times New Roman" w:eastAsia="宋体"/>
                <w:color w:val="auto"/>
                <w:kern w:val="0"/>
                <w:sz w:val="24"/>
                <w:highlight w:val="none"/>
              </w:rPr>
              <w:t>西门子</w:t>
            </w:r>
            <w:r>
              <w:rPr>
                <w:rFonts w:hint="eastAsia" w:ascii="Times New Roman" w:hAnsi="Times New Roman" w:eastAsia="宋体"/>
                <w:color w:val="auto"/>
                <w:kern w:val="0"/>
                <w:sz w:val="24"/>
                <w:highlight w:val="none"/>
                <w:lang w:eastAsia="zh-CN"/>
              </w:rPr>
              <w:t>、</w:t>
            </w:r>
            <w:r>
              <w:rPr>
                <w:rFonts w:hint="eastAsia" w:ascii="Times New Roman" w:hAnsi="Times New Roman" w:eastAsia="宋体"/>
                <w:color w:val="auto"/>
                <w:kern w:val="0"/>
                <w:sz w:val="24"/>
                <w:highlight w:val="none"/>
                <w:lang w:val="en-US" w:eastAsia="zh-CN"/>
              </w:rPr>
              <w:t>施耐德、AB、昆仑通态、威纶通</w:t>
            </w:r>
          </w:p>
        </w:tc>
        <w:tc>
          <w:tcPr>
            <w:tcW w:w="3061" w:type="dxa"/>
            <w:vAlign w:val="top"/>
          </w:tcPr>
          <w:p w14:paraId="01FBF9AB">
            <w:pPr>
              <w:pStyle w:val="92"/>
              <w:spacing w:before="248" w:line="219" w:lineRule="auto"/>
              <w:jc w:val="center"/>
              <w:rPr>
                <w:rFonts w:ascii="Arial"/>
                <w:color w:val="auto"/>
                <w:sz w:val="21"/>
              </w:rPr>
            </w:pPr>
          </w:p>
        </w:tc>
        <w:tc>
          <w:tcPr>
            <w:tcW w:w="683" w:type="dxa"/>
            <w:gridSpan w:val="2"/>
            <w:vAlign w:val="top"/>
          </w:tcPr>
          <w:p w14:paraId="5D0C9C9F">
            <w:pPr>
              <w:jc w:val="center"/>
              <w:rPr>
                <w:rFonts w:ascii="Arial"/>
                <w:color w:val="auto"/>
                <w:sz w:val="21"/>
              </w:rPr>
            </w:pPr>
          </w:p>
        </w:tc>
      </w:tr>
    </w:tbl>
    <w:p w14:paraId="372E279B">
      <w:pPr>
        <w:spacing w:before="27"/>
        <w:jc w:val="both"/>
        <w:rPr>
          <w:rFonts w:ascii="宋体" w:hAnsi="宋体" w:eastAsia="宋体" w:cs="宋体"/>
          <w:color w:val="auto"/>
          <w:spacing w:val="-1"/>
          <w:sz w:val="21"/>
          <w:szCs w:val="21"/>
        </w:rPr>
      </w:pPr>
      <w:r>
        <w:rPr>
          <w:rFonts w:ascii="宋体" w:hAnsi="宋体" w:eastAsia="宋体" w:cs="宋体"/>
          <w:color w:val="auto"/>
          <w:spacing w:val="-1"/>
          <w:sz w:val="21"/>
          <w:szCs w:val="21"/>
        </w:rPr>
        <w:t>注：投标人应在以上招标人推荐的三个或三个以上同档次品牌产品中选择其中一个，并在</w:t>
      </w:r>
      <w:r>
        <w:rPr>
          <w:rFonts w:ascii="宋体" w:hAnsi="宋体" w:eastAsia="宋体" w:cs="宋体"/>
          <w:color w:val="auto"/>
          <w:spacing w:val="1"/>
          <w:sz w:val="21"/>
          <w:szCs w:val="21"/>
        </w:rPr>
        <w:t>以上承诺表中予以承诺。招标人在推荐品牌后列明型号系列的，承诺</w:t>
      </w:r>
      <w:r>
        <w:rPr>
          <w:rFonts w:ascii="宋体" w:hAnsi="宋体" w:eastAsia="宋体" w:cs="宋体"/>
          <w:color w:val="auto"/>
          <w:sz w:val="21"/>
          <w:szCs w:val="21"/>
        </w:rPr>
        <w:t>时也必须明确到型号系列。</w:t>
      </w:r>
      <w:r>
        <w:rPr>
          <w:rFonts w:ascii="宋体" w:hAnsi="宋体" w:eastAsia="宋体" w:cs="宋体"/>
          <w:color w:val="auto"/>
          <w:spacing w:val="-1"/>
          <w:sz w:val="21"/>
          <w:szCs w:val="21"/>
        </w:rPr>
        <w:t>投标人必须按上述要求在以上承诺表中进行承诺，否则视为未响应招标文件的实质性要求。</w:t>
      </w:r>
    </w:p>
    <w:p w14:paraId="54F8BF7A">
      <w:pPr>
        <w:tabs>
          <w:tab w:val="left" w:pos="0"/>
        </w:tabs>
        <w:spacing w:line="360" w:lineRule="auto"/>
        <w:rPr>
          <w:rFonts w:hint="eastAsia" w:ascii="宋体" w:hAnsi="宋体"/>
          <w:b/>
          <w:bCs/>
          <w:color w:val="auto"/>
          <w:sz w:val="24"/>
          <w:szCs w:val="24"/>
          <w:highlight w:val="none"/>
        </w:rPr>
      </w:pPr>
    </w:p>
    <w:p w14:paraId="0119DADB">
      <w:pPr>
        <w:tabs>
          <w:tab w:val="left" w:pos="0"/>
        </w:tabs>
        <w:spacing w:line="360" w:lineRule="auto"/>
        <w:rPr>
          <w:rFonts w:hint="eastAsia" w:ascii="宋体" w:hAnsi="宋体"/>
          <w:b/>
          <w:bCs/>
          <w:color w:val="auto"/>
          <w:sz w:val="24"/>
          <w:szCs w:val="24"/>
          <w:highlight w:val="none"/>
        </w:rPr>
      </w:pPr>
    </w:p>
    <w:p w14:paraId="66B6C5DE">
      <w:pPr>
        <w:pStyle w:val="2"/>
        <w:rPr>
          <w:rFonts w:hint="eastAsia" w:ascii="宋体" w:hAnsi="宋体"/>
          <w:b/>
          <w:bCs/>
          <w:color w:val="auto"/>
          <w:sz w:val="24"/>
          <w:szCs w:val="24"/>
          <w:highlight w:val="none"/>
        </w:rPr>
      </w:pPr>
    </w:p>
    <w:p w14:paraId="03FE1879">
      <w:pPr>
        <w:pStyle w:val="23"/>
        <w:rPr>
          <w:rFonts w:hint="eastAsia" w:ascii="宋体" w:hAnsi="宋体"/>
          <w:b/>
          <w:bCs/>
          <w:color w:val="auto"/>
          <w:sz w:val="24"/>
          <w:szCs w:val="24"/>
          <w:highlight w:val="none"/>
        </w:rPr>
      </w:pPr>
    </w:p>
    <w:p w14:paraId="5888FBE4">
      <w:pPr>
        <w:rPr>
          <w:rFonts w:hint="eastAsia" w:ascii="宋体" w:hAnsi="宋体"/>
          <w:b/>
          <w:bCs/>
          <w:color w:val="auto"/>
          <w:sz w:val="24"/>
          <w:szCs w:val="24"/>
          <w:highlight w:val="none"/>
        </w:rPr>
      </w:pPr>
    </w:p>
    <w:p w14:paraId="377B2EDF">
      <w:pPr>
        <w:pStyle w:val="2"/>
        <w:rPr>
          <w:rFonts w:hint="eastAsia" w:ascii="宋体" w:hAnsi="宋体"/>
          <w:b/>
          <w:bCs/>
          <w:color w:val="auto"/>
          <w:sz w:val="24"/>
          <w:szCs w:val="24"/>
          <w:highlight w:val="none"/>
        </w:rPr>
      </w:pPr>
    </w:p>
    <w:p w14:paraId="61702650">
      <w:pPr>
        <w:pStyle w:val="23"/>
        <w:rPr>
          <w:rFonts w:hint="eastAsia" w:ascii="宋体" w:hAnsi="宋体"/>
          <w:b/>
          <w:bCs/>
          <w:color w:val="auto"/>
          <w:sz w:val="24"/>
          <w:szCs w:val="24"/>
          <w:highlight w:val="none"/>
        </w:rPr>
      </w:pPr>
    </w:p>
    <w:p w14:paraId="577EE697">
      <w:pPr>
        <w:rPr>
          <w:rFonts w:hint="eastAsia" w:ascii="宋体" w:hAnsi="宋体"/>
          <w:b/>
          <w:bCs/>
          <w:color w:val="auto"/>
          <w:sz w:val="24"/>
          <w:szCs w:val="24"/>
          <w:highlight w:val="none"/>
        </w:rPr>
      </w:pPr>
    </w:p>
    <w:p w14:paraId="3ECCB59E">
      <w:pPr>
        <w:pStyle w:val="2"/>
        <w:rPr>
          <w:rFonts w:hint="eastAsia" w:ascii="宋体" w:hAnsi="宋体"/>
          <w:b/>
          <w:bCs/>
          <w:color w:val="auto"/>
          <w:sz w:val="24"/>
          <w:szCs w:val="24"/>
          <w:highlight w:val="none"/>
        </w:rPr>
      </w:pPr>
    </w:p>
    <w:p w14:paraId="5AD7266F">
      <w:pPr>
        <w:tabs>
          <w:tab w:val="left" w:pos="0"/>
        </w:tabs>
        <w:spacing w:line="360" w:lineRule="auto"/>
        <w:rPr>
          <w:rFonts w:ascii="宋体" w:hAnsi="宋体"/>
          <w:b/>
          <w:bCs/>
          <w:color w:val="auto"/>
          <w:sz w:val="24"/>
          <w:szCs w:val="24"/>
          <w:highlight w:val="none"/>
          <w:lang w:val="zh-CN"/>
        </w:rPr>
      </w:pPr>
      <w:r>
        <w:rPr>
          <w:rFonts w:hint="eastAsia" w:ascii="宋体" w:hAnsi="宋体"/>
          <w:b/>
          <w:bCs/>
          <w:color w:val="auto"/>
          <w:sz w:val="24"/>
          <w:szCs w:val="24"/>
          <w:highlight w:val="none"/>
        </w:rPr>
        <w:t>（八）要求采购人提供的配合（如有自拟并自行添加）</w:t>
      </w:r>
    </w:p>
    <w:p w14:paraId="6E484908">
      <w:pPr>
        <w:tabs>
          <w:tab w:val="left" w:pos="0"/>
          <w:tab w:val="left" w:pos="255"/>
        </w:tabs>
        <w:spacing w:line="360" w:lineRule="auto"/>
        <w:rPr>
          <w:rFonts w:ascii="宋体" w:hAnsi="宋体"/>
          <w:b/>
          <w:bCs/>
          <w:color w:val="auto"/>
          <w:sz w:val="24"/>
          <w:szCs w:val="24"/>
          <w:highlight w:val="none"/>
          <w:lang w:val="zh-CN"/>
        </w:rPr>
      </w:pPr>
    </w:p>
    <w:p w14:paraId="10F2F512">
      <w:pPr>
        <w:tabs>
          <w:tab w:val="left" w:pos="0"/>
          <w:tab w:val="left" w:pos="255"/>
        </w:tabs>
        <w:spacing w:line="360" w:lineRule="auto"/>
        <w:rPr>
          <w:rFonts w:ascii="宋体" w:hAnsi="宋体"/>
          <w:b/>
          <w:bCs/>
          <w:color w:val="auto"/>
          <w:sz w:val="24"/>
          <w:szCs w:val="24"/>
          <w:highlight w:val="none"/>
          <w:lang w:val="zh-CN"/>
        </w:rPr>
      </w:pPr>
    </w:p>
    <w:p w14:paraId="3E3259A7">
      <w:pPr>
        <w:tabs>
          <w:tab w:val="left" w:pos="0"/>
          <w:tab w:val="left" w:pos="255"/>
        </w:tabs>
        <w:spacing w:line="360" w:lineRule="auto"/>
        <w:rPr>
          <w:rFonts w:ascii="宋体" w:hAnsi="宋体"/>
          <w:b/>
          <w:bCs/>
          <w:color w:val="auto"/>
          <w:sz w:val="24"/>
          <w:szCs w:val="24"/>
          <w:highlight w:val="none"/>
          <w:lang w:val="zh-CN"/>
        </w:rPr>
      </w:pPr>
    </w:p>
    <w:p w14:paraId="57482993">
      <w:pPr>
        <w:tabs>
          <w:tab w:val="left" w:pos="0"/>
          <w:tab w:val="left" w:pos="255"/>
        </w:tabs>
        <w:spacing w:line="360" w:lineRule="auto"/>
        <w:rPr>
          <w:rFonts w:ascii="宋体" w:hAnsi="宋体"/>
          <w:b/>
          <w:bCs/>
          <w:color w:val="auto"/>
          <w:sz w:val="24"/>
          <w:szCs w:val="24"/>
          <w:highlight w:val="none"/>
          <w:lang w:val="zh-CN"/>
        </w:rPr>
      </w:pPr>
    </w:p>
    <w:p w14:paraId="6B654C70">
      <w:pPr>
        <w:tabs>
          <w:tab w:val="left" w:pos="0"/>
          <w:tab w:val="left" w:pos="255"/>
        </w:tabs>
        <w:spacing w:line="360" w:lineRule="auto"/>
        <w:rPr>
          <w:rFonts w:ascii="宋体" w:hAnsi="宋体"/>
          <w:b/>
          <w:bCs/>
          <w:color w:val="auto"/>
          <w:sz w:val="24"/>
          <w:szCs w:val="24"/>
          <w:highlight w:val="none"/>
          <w:lang w:val="zh-CN"/>
        </w:rPr>
      </w:pPr>
    </w:p>
    <w:p w14:paraId="20CFC7EE">
      <w:pPr>
        <w:tabs>
          <w:tab w:val="left" w:pos="0"/>
          <w:tab w:val="left" w:pos="255"/>
        </w:tabs>
        <w:spacing w:line="360" w:lineRule="auto"/>
        <w:rPr>
          <w:rFonts w:ascii="宋体" w:hAnsi="宋体"/>
          <w:b/>
          <w:bCs/>
          <w:color w:val="auto"/>
          <w:sz w:val="24"/>
          <w:szCs w:val="24"/>
          <w:highlight w:val="none"/>
          <w:lang w:val="zh-CN"/>
        </w:rPr>
      </w:pPr>
    </w:p>
    <w:p w14:paraId="239D45C6">
      <w:pPr>
        <w:tabs>
          <w:tab w:val="left" w:pos="0"/>
          <w:tab w:val="left" w:pos="255"/>
        </w:tabs>
        <w:spacing w:line="360" w:lineRule="auto"/>
        <w:rPr>
          <w:rFonts w:ascii="宋体" w:hAnsi="宋体"/>
          <w:b/>
          <w:bCs/>
          <w:color w:val="auto"/>
          <w:sz w:val="24"/>
          <w:szCs w:val="24"/>
          <w:highlight w:val="none"/>
          <w:lang w:val="zh-CN"/>
        </w:rPr>
      </w:pPr>
    </w:p>
    <w:p w14:paraId="5557A423">
      <w:pPr>
        <w:tabs>
          <w:tab w:val="left" w:pos="0"/>
          <w:tab w:val="left" w:pos="255"/>
        </w:tabs>
        <w:spacing w:line="360" w:lineRule="auto"/>
        <w:rPr>
          <w:rFonts w:ascii="宋体" w:hAnsi="宋体"/>
          <w:b/>
          <w:bCs/>
          <w:color w:val="auto"/>
          <w:sz w:val="24"/>
          <w:szCs w:val="24"/>
          <w:highlight w:val="none"/>
          <w:lang w:val="zh-CN"/>
        </w:rPr>
      </w:pPr>
    </w:p>
    <w:p w14:paraId="7CCDE129">
      <w:pPr>
        <w:tabs>
          <w:tab w:val="left" w:pos="0"/>
          <w:tab w:val="left" w:pos="255"/>
        </w:tabs>
        <w:spacing w:line="360" w:lineRule="auto"/>
        <w:rPr>
          <w:rFonts w:ascii="宋体" w:hAnsi="宋体"/>
          <w:b/>
          <w:bCs/>
          <w:color w:val="auto"/>
          <w:sz w:val="24"/>
          <w:szCs w:val="24"/>
          <w:highlight w:val="none"/>
          <w:lang w:val="zh-CN"/>
        </w:rPr>
      </w:pPr>
    </w:p>
    <w:p w14:paraId="2A861531">
      <w:pPr>
        <w:tabs>
          <w:tab w:val="left" w:pos="0"/>
          <w:tab w:val="left" w:pos="255"/>
        </w:tabs>
        <w:spacing w:line="360" w:lineRule="auto"/>
        <w:rPr>
          <w:rFonts w:ascii="宋体" w:hAnsi="宋体"/>
          <w:b/>
          <w:bCs/>
          <w:color w:val="auto"/>
          <w:sz w:val="24"/>
          <w:szCs w:val="24"/>
          <w:highlight w:val="none"/>
          <w:lang w:val="zh-CN"/>
        </w:rPr>
      </w:pPr>
    </w:p>
    <w:p w14:paraId="55BFAA15">
      <w:pPr>
        <w:tabs>
          <w:tab w:val="left" w:pos="0"/>
          <w:tab w:val="left" w:pos="255"/>
        </w:tabs>
        <w:spacing w:line="360" w:lineRule="auto"/>
        <w:rPr>
          <w:rFonts w:ascii="宋体" w:hAnsi="宋体"/>
          <w:b/>
          <w:bCs/>
          <w:color w:val="auto"/>
          <w:sz w:val="24"/>
          <w:szCs w:val="24"/>
          <w:highlight w:val="none"/>
          <w:lang w:val="zh-CN"/>
        </w:rPr>
      </w:pPr>
    </w:p>
    <w:p w14:paraId="38B28EBD">
      <w:pPr>
        <w:tabs>
          <w:tab w:val="left" w:pos="0"/>
          <w:tab w:val="left" w:pos="255"/>
        </w:tabs>
        <w:spacing w:line="360" w:lineRule="auto"/>
        <w:rPr>
          <w:rFonts w:ascii="宋体" w:hAnsi="宋体"/>
          <w:b/>
          <w:bCs/>
          <w:color w:val="auto"/>
          <w:sz w:val="24"/>
          <w:szCs w:val="24"/>
          <w:highlight w:val="none"/>
          <w:lang w:val="zh-CN"/>
        </w:rPr>
      </w:pPr>
    </w:p>
    <w:p w14:paraId="37324433">
      <w:pPr>
        <w:tabs>
          <w:tab w:val="left" w:pos="0"/>
          <w:tab w:val="left" w:pos="255"/>
        </w:tabs>
        <w:spacing w:line="360" w:lineRule="auto"/>
        <w:rPr>
          <w:rFonts w:ascii="宋体" w:hAnsi="宋体"/>
          <w:b/>
          <w:bCs/>
          <w:color w:val="auto"/>
          <w:sz w:val="24"/>
          <w:szCs w:val="24"/>
          <w:highlight w:val="none"/>
          <w:lang w:val="zh-CN"/>
        </w:rPr>
      </w:pPr>
    </w:p>
    <w:p w14:paraId="489A995D">
      <w:pPr>
        <w:tabs>
          <w:tab w:val="left" w:pos="0"/>
          <w:tab w:val="left" w:pos="255"/>
        </w:tabs>
        <w:spacing w:line="360" w:lineRule="auto"/>
        <w:rPr>
          <w:rFonts w:ascii="宋体" w:hAnsi="宋体"/>
          <w:b/>
          <w:bCs/>
          <w:color w:val="auto"/>
          <w:sz w:val="24"/>
          <w:szCs w:val="24"/>
          <w:highlight w:val="none"/>
          <w:lang w:val="zh-CN"/>
        </w:rPr>
      </w:pPr>
    </w:p>
    <w:p w14:paraId="350BD58F">
      <w:pPr>
        <w:tabs>
          <w:tab w:val="left" w:pos="0"/>
          <w:tab w:val="left" w:pos="255"/>
        </w:tabs>
        <w:spacing w:line="360" w:lineRule="auto"/>
        <w:rPr>
          <w:rFonts w:ascii="宋体" w:hAnsi="宋体"/>
          <w:b/>
          <w:bCs/>
          <w:color w:val="auto"/>
          <w:sz w:val="24"/>
          <w:szCs w:val="24"/>
          <w:highlight w:val="none"/>
          <w:lang w:val="zh-CN"/>
        </w:rPr>
      </w:pPr>
    </w:p>
    <w:p w14:paraId="427F73DD">
      <w:pPr>
        <w:tabs>
          <w:tab w:val="left" w:pos="0"/>
          <w:tab w:val="left" w:pos="255"/>
        </w:tabs>
        <w:spacing w:line="360" w:lineRule="auto"/>
        <w:rPr>
          <w:rFonts w:ascii="宋体" w:hAnsi="宋体"/>
          <w:b/>
          <w:bCs/>
          <w:color w:val="auto"/>
          <w:sz w:val="24"/>
          <w:szCs w:val="24"/>
          <w:highlight w:val="none"/>
          <w:lang w:val="zh-CN"/>
        </w:rPr>
      </w:pPr>
    </w:p>
    <w:p w14:paraId="145D932D">
      <w:pPr>
        <w:tabs>
          <w:tab w:val="left" w:pos="0"/>
          <w:tab w:val="left" w:pos="255"/>
        </w:tabs>
        <w:spacing w:line="360" w:lineRule="auto"/>
        <w:rPr>
          <w:rFonts w:ascii="宋体" w:hAnsi="宋体"/>
          <w:b/>
          <w:bCs/>
          <w:color w:val="auto"/>
          <w:sz w:val="24"/>
          <w:szCs w:val="24"/>
          <w:highlight w:val="none"/>
          <w:lang w:val="zh-CN"/>
        </w:rPr>
      </w:pPr>
    </w:p>
    <w:p w14:paraId="30BCAEDE">
      <w:pPr>
        <w:tabs>
          <w:tab w:val="left" w:pos="0"/>
          <w:tab w:val="left" w:pos="255"/>
        </w:tabs>
        <w:spacing w:line="360" w:lineRule="auto"/>
        <w:rPr>
          <w:rFonts w:ascii="宋体" w:hAnsi="宋体"/>
          <w:b/>
          <w:bCs/>
          <w:color w:val="auto"/>
          <w:sz w:val="24"/>
          <w:szCs w:val="24"/>
          <w:highlight w:val="none"/>
          <w:lang w:val="zh-CN"/>
        </w:rPr>
      </w:pPr>
    </w:p>
    <w:p w14:paraId="70FACDE8">
      <w:pPr>
        <w:tabs>
          <w:tab w:val="left" w:pos="0"/>
          <w:tab w:val="left" w:pos="255"/>
        </w:tabs>
        <w:spacing w:line="360" w:lineRule="auto"/>
        <w:rPr>
          <w:rFonts w:ascii="宋体" w:hAnsi="宋体"/>
          <w:b/>
          <w:bCs/>
          <w:color w:val="auto"/>
          <w:sz w:val="24"/>
          <w:szCs w:val="24"/>
          <w:highlight w:val="none"/>
          <w:lang w:val="zh-CN"/>
        </w:rPr>
      </w:pPr>
    </w:p>
    <w:p w14:paraId="12F59F22">
      <w:pPr>
        <w:tabs>
          <w:tab w:val="left" w:pos="0"/>
          <w:tab w:val="left" w:pos="255"/>
        </w:tabs>
        <w:spacing w:line="360" w:lineRule="auto"/>
        <w:rPr>
          <w:rFonts w:ascii="宋体" w:hAnsi="宋体"/>
          <w:b/>
          <w:bCs/>
          <w:color w:val="auto"/>
          <w:sz w:val="24"/>
          <w:szCs w:val="24"/>
          <w:highlight w:val="none"/>
          <w:lang w:val="zh-CN"/>
        </w:rPr>
      </w:pPr>
    </w:p>
    <w:p w14:paraId="1A941257">
      <w:pPr>
        <w:tabs>
          <w:tab w:val="left" w:pos="0"/>
          <w:tab w:val="left" w:pos="255"/>
        </w:tabs>
        <w:spacing w:line="360" w:lineRule="auto"/>
        <w:rPr>
          <w:rFonts w:ascii="宋体" w:hAnsi="宋体"/>
          <w:b/>
          <w:bCs/>
          <w:color w:val="auto"/>
          <w:sz w:val="24"/>
          <w:szCs w:val="24"/>
          <w:highlight w:val="none"/>
          <w:lang w:val="zh-CN"/>
        </w:rPr>
      </w:pPr>
    </w:p>
    <w:p w14:paraId="247837E8">
      <w:pPr>
        <w:tabs>
          <w:tab w:val="left" w:pos="0"/>
          <w:tab w:val="left" w:pos="255"/>
        </w:tabs>
        <w:spacing w:line="360" w:lineRule="auto"/>
        <w:rPr>
          <w:rFonts w:ascii="宋体" w:hAnsi="宋体"/>
          <w:b/>
          <w:bCs/>
          <w:color w:val="auto"/>
          <w:sz w:val="24"/>
          <w:szCs w:val="24"/>
          <w:highlight w:val="none"/>
          <w:lang w:val="zh-CN"/>
        </w:rPr>
      </w:pPr>
    </w:p>
    <w:p w14:paraId="6F2EE3F9">
      <w:pPr>
        <w:tabs>
          <w:tab w:val="left" w:pos="0"/>
          <w:tab w:val="left" w:pos="255"/>
        </w:tabs>
        <w:spacing w:line="360" w:lineRule="auto"/>
        <w:rPr>
          <w:rFonts w:ascii="宋体" w:hAnsi="宋体"/>
          <w:b/>
          <w:bCs/>
          <w:color w:val="auto"/>
          <w:sz w:val="24"/>
          <w:szCs w:val="24"/>
          <w:highlight w:val="none"/>
          <w:lang w:val="zh-CN"/>
        </w:rPr>
      </w:pPr>
    </w:p>
    <w:p w14:paraId="6F373181">
      <w:pPr>
        <w:tabs>
          <w:tab w:val="left" w:pos="0"/>
          <w:tab w:val="left" w:pos="255"/>
        </w:tabs>
        <w:spacing w:line="360" w:lineRule="auto"/>
        <w:rPr>
          <w:rFonts w:ascii="宋体" w:hAnsi="宋体"/>
          <w:b/>
          <w:bCs/>
          <w:color w:val="auto"/>
          <w:sz w:val="24"/>
          <w:szCs w:val="24"/>
          <w:highlight w:val="none"/>
          <w:lang w:val="zh-CN"/>
        </w:rPr>
      </w:pPr>
    </w:p>
    <w:p w14:paraId="671B965D">
      <w:pPr>
        <w:tabs>
          <w:tab w:val="left" w:pos="0"/>
          <w:tab w:val="left" w:pos="255"/>
        </w:tabs>
        <w:spacing w:line="360" w:lineRule="auto"/>
        <w:rPr>
          <w:rFonts w:ascii="宋体" w:hAnsi="宋体"/>
          <w:b/>
          <w:bCs/>
          <w:color w:val="auto"/>
          <w:sz w:val="24"/>
          <w:szCs w:val="24"/>
          <w:highlight w:val="none"/>
          <w:lang w:val="zh-CN"/>
        </w:rPr>
      </w:pPr>
    </w:p>
    <w:p w14:paraId="711D8BF8">
      <w:pPr>
        <w:pStyle w:val="2"/>
        <w:rPr>
          <w:rFonts w:ascii="宋体" w:hAnsi="宋体"/>
          <w:b/>
          <w:bCs/>
          <w:color w:val="auto"/>
          <w:sz w:val="24"/>
          <w:szCs w:val="24"/>
          <w:highlight w:val="none"/>
          <w:lang w:val="zh-CN"/>
        </w:rPr>
      </w:pPr>
    </w:p>
    <w:p w14:paraId="6BC401C3">
      <w:pPr>
        <w:pStyle w:val="2"/>
        <w:rPr>
          <w:rFonts w:ascii="宋体" w:hAnsi="宋体"/>
          <w:b/>
          <w:bCs/>
          <w:color w:val="auto"/>
          <w:sz w:val="24"/>
          <w:szCs w:val="24"/>
          <w:highlight w:val="none"/>
          <w:lang w:val="zh-CN"/>
        </w:rPr>
      </w:pPr>
    </w:p>
    <w:p w14:paraId="44068C0E">
      <w:pPr>
        <w:pStyle w:val="2"/>
        <w:rPr>
          <w:rFonts w:ascii="宋体" w:hAnsi="宋体"/>
          <w:b/>
          <w:bCs/>
          <w:color w:val="auto"/>
          <w:sz w:val="24"/>
          <w:szCs w:val="24"/>
          <w:highlight w:val="none"/>
          <w:lang w:val="zh-CN"/>
        </w:rPr>
      </w:pPr>
    </w:p>
    <w:p w14:paraId="6842EF4F">
      <w:pPr>
        <w:pStyle w:val="2"/>
        <w:rPr>
          <w:rFonts w:ascii="宋体" w:hAnsi="宋体"/>
          <w:b/>
          <w:bCs/>
          <w:color w:val="auto"/>
          <w:sz w:val="24"/>
          <w:szCs w:val="24"/>
          <w:highlight w:val="none"/>
          <w:lang w:val="zh-CN"/>
        </w:rPr>
      </w:pPr>
    </w:p>
    <w:p w14:paraId="3969F8A2">
      <w:pPr>
        <w:tabs>
          <w:tab w:val="left" w:pos="0"/>
          <w:tab w:val="left" w:pos="255"/>
        </w:tabs>
        <w:spacing w:line="360" w:lineRule="auto"/>
        <w:rPr>
          <w:rFonts w:ascii="宋体" w:hAnsi="宋体"/>
          <w:b/>
          <w:bCs/>
          <w:color w:val="auto"/>
          <w:sz w:val="24"/>
          <w:szCs w:val="24"/>
          <w:highlight w:val="none"/>
          <w:lang w:val="zh-CN"/>
        </w:rPr>
      </w:pPr>
    </w:p>
    <w:p w14:paraId="0227EFCD">
      <w:pPr>
        <w:tabs>
          <w:tab w:val="left" w:pos="0"/>
          <w:tab w:val="left" w:pos="255"/>
        </w:tabs>
        <w:spacing w:line="360" w:lineRule="auto"/>
        <w:rPr>
          <w:rFonts w:ascii="宋体" w:hAnsi="宋体"/>
          <w:b/>
          <w:bCs/>
          <w:color w:val="auto"/>
          <w:sz w:val="24"/>
          <w:szCs w:val="24"/>
          <w:highlight w:val="none"/>
          <w:lang w:val="zh-CN"/>
        </w:rPr>
      </w:pPr>
    </w:p>
    <w:p w14:paraId="43CBBF8A">
      <w:pPr>
        <w:tabs>
          <w:tab w:val="left" w:pos="0"/>
          <w:tab w:val="left" w:pos="255"/>
        </w:tabs>
        <w:spacing w:line="360" w:lineRule="auto"/>
        <w:rPr>
          <w:rFonts w:ascii="宋体" w:hAnsi="宋体"/>
          <w:b/>
          <w:bCs/>
          <w:color w:val="auto"/>
          <w:sz w:val="24"/>
          <w:szCs w:val="24"/>
          <w:highlight w:val="none"/>
          <w:lang w:val="zh-CN"/>
        </w:rPr>
      </w:pPr>
      <w:r>
        <w:rPr>
          <w:rFonts w:hint="eastAsia" w:ascii="宋体" w:hAnsi="宋体"/>
          <w:b/>
          <w:bCs/>
          <w:color w:val="auto"/>
          <w:sz w:val="24"/>
          <w:szCs w:val="24"/>
          <w:highlight w:val="none"/>
          <w:lang w:val="zh-CN"/>
        </w:rPr>
        <w:t>（</w:t>
      </w:r>
      <w:r>
        <w:rPr>
          <w:rFonts w:hint="eastAsia" w:ascii="宋体" w:hAnsi="宋体"/>
          <w:b/>
          <w:bCs/>
          <w:color w:val="auto"/>
          <w:sz w:val="24"/>
          <w:szCs w:val="24"/>
          <w:highlight w:val="none"/>
        </w:rPr>
        <w:t>九</w:t>
      </w:r>
      <w:r>
        <w:rPr>
          <w:rFonts w:hint="eastAsia" w:ascii="宋体" w:hAnsi="宋体"/>
          <w:b/>
          <w:bCs/>
          <w:color w:val="auto"/>
          <w:sz w:val="24"/>
          <w:szCs w:val="24"/>
          <w:highlight w:val="none"/>
          <w:lang w:val="zh-CN"/>
        </w:rPr>
        <w:t>）其他（投标人认为有必要提供的声明和文件，</w:t>
      </w:r>
      <w:r>
        <w:rPr>
          <w:rFonts w:hint="eastAsia" w:ascii="宋体" w:hAnsi="宋体"/>
          <w:b/>
          <w:bCs/>
          <w:color w:val="auto"/>
          <w:sz w:val="24"/>
          <w:szCs w:val="24"/>
          <w:highlight w:val="none"/>
        </w:rPr>
        <w:t>如有自拟并自行添加）</w:t>
      </w:r>
    </w:p>
    <w:p w14:paraId="2095A3EE">
      <w:pPr>
        <w:jc w:val="center"/>
        <w:rPr>
          <w:rFonts w:ascii="宋体" w:hAnsi="宋体" w:eastAsia="宋体" w:cs="Times New Roman"/>
          <w:color w:val="auto"/>
          <w:sz w:val="24"/>
          <w:szCs w:val="21"/>
          <w:highlight w:val="none"/>
          <w:lang w:val="zh-CN"/>
        </w:rPr>
      </w:pPr>
    </w:p>
    <w:sectPr>
      <w:footerReference r:id="rId8" w:type="default"/>
      <w:pgSz w:w="11907" w:h="16840"/>
      <w:pgMar w:top="1134" w:right="1134" w:bottom="1134" w:left="1134"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文鼎小标宋简">
    <w:altName w:val="微软雅黑"/>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新宋体">
    <w:panose1 w:val="02010609030101010101"/>
    <w:charset w:val="86"/>
    <w:family w:val="modern"/>
    <w:pitch w:val="default"/>
    <w:sig w:usb0="0000020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039721"/>
    </w:sdtPr>
    <w:sdtContent>
      <w:p w14:paraId="281F735C">
        <w:pPr>
          <w:pStyle w:val="19"/>
          <w:jc w:val="center"/>
        </w:pPr>
        <w:r>
          <w:fldChar w:fldCharType="begin"/>
        </w:r>
        <w:r>
          <w:instrText xml:space="preserve"> PAGE   \* MERGEFORMAT </w:instrText>
        </w:r>
        <w:r>
          <w:fldChar w:fldCharType="separate"/>
        </w:r>
        <w:r>
          <w:rPr>
            <w:lang w:val="zh-CN"/>
          </w:rPr>
          <w:t>-</w:t>
        </w:r>
        <w:r>
          <w:t xml:space="preserve"> 1 -</w:t>
        </w:r>
        <w:r>
          <w:fldChar w:fldCharType="end"/>
        </w:r>
      </w:p>
    </w:sdtContent>
  </w:sdt>
  <w:p w14:paraId="60014295">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1EB85">
    <w:pPr>
      <w:pStyle w:val="19"/>
    </w:pPr>
    <w:r>
      <w:fldChar w:fldCharType="begin"/>
    </w:r>
    <w:r>
      <w:instrText xml:space="preserve"> PAGE   \* MERGEFORMAT </w:instrText>
    </w:r>
    <w:r>
      <w:fldChar w:fldCharType="separate"/>
    </w:r>
    <w:r>
      <w:rPr>
        <w:lang w:val="zh-CN"/>
      </w:rPr>
      <w:t>-</w:t>
    </w:r>
    <w:r>
      <w:t xml:space="preserve"> 1 -</w:t>
    </w:r>
    <w:r>
      <w:fldChar w:fldCharType="end"/>
    </w:r>
  </w:p>
  <w:p w14:paraId="4860CFC8">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FD4D8">
    <w:pPr>
      <w:pStyle w:val="19"/>
      <w:jc w:val="center"/>
    </w:pPr>
    <w:r>
      <w:rPr>
        <w:rFonts w:hint="eastAsia"/>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039722"/>
    </w:sdtPr>
    <w:sdtContent>
      <w:p w14:paraId="228F2B27">
        <w:pPr>
          <w:pStyle w:val="19"/>
          <w:jc w:val="center"/>
        </w:pPr>
        <w:r>
          <w:fldChar w:fldCharType="begin"/>
        </w:r>
        <w:r>
          <w:instrText xml:space="preserve"> PAGE   \* MERGEFORMAT </w:instrText>
        </w:r>
        <w:r>
          <w:fldChar w:fldCharType="separate"/>
        </w:r>
        <w:r>
          <w:rPr>
            <w:lang w:val="zh-CN"/>
          </w:rPr>
          <w:t>3</w:t>
        </w:r>
        <w:r>
          <w:rPr>
            <w:lang w:val="zh-CN"/>
          </w:rPr>
          <w:fldChar w:fldCharType="end"/>
        </w:r>
      </w:p>
    </w:sdtContent>
  </w:sdt>
  <w:p w14:paraId="5D893059">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14D6D">
    <w:pPr>
      <w:pStyle w:val="1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0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25919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20</w:t>
                          </w:r>
                          <w:r>
                            <w:rPr>
                              <w:rFonts w:hint="eastAsia"/>
                              <w:sz w:val="18"/>
                            </w:rPr>
                            <w:fldChar w:fldCharType="end"/>
                          </w:r>
                        </w:p>
                      </w:txbxContent>
                    </wps:txbx>
                    <wps:bodyPr wrap="none" lIns="0" tIns="0" rIns="0" bIns="0" upright="1">
                      <a:spAutoFit/>
                    </wps:bodyPr>
                  </wps:wsp>
                </a:graphicData>
              </a:graphic>
            </wp:anchor>
          </w:drawing>
        </mc:Choice>
        <mc:Fallback>
          <w:pict>
            <v:shape id="文本框 307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wSKuos0BAACcAwAADgAAAAAAAAABACAAAAAeAQAAZHJzL2Uy&#10;b0RvYy54bWxQSwUGAAAAAAYABgBZAQAAXQUAAAAA&#10;">
              <v:fill on="f" focussize="0,0"/>
              <v:stroke on="f"/>
              <v:imagedata o:title=""/>
              <o:lock v:ext="edit" aspectratio="f"/>
              <v:textbox inset="0mm,0mm,0mm,0mm" style="mso-fit-shape-to-text:t;">
                <w:txbxContent>
                  <w:p w14:paraId="3425919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20</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DFCE5">
    <w:pPr>
      <w:pStyle w:val="20"/>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67C91"/>
    <w:multiLevelType w:val="multilevel"/>
    <w:tmpl w:val="81967C91"/>
    <w:lvl w:ilvl="0" w:tentative="0">
      <w:start w:val="1"/>
      <w:numFmt w:val="decimal"/>
      <w:suff w:val="nothing"/>
      <w:lvlText w:val="%1）"/>
      <w:lvlJc w:val="left"/>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Letter"/>
      <w:lvlText w:val="%3)"/>
      <w:lvlJc w:val="left"/>
      <w:pPr>
        <w:tabs>
          <w:tab w:val="left" w:pos="1260"/>
        </w:tabs>
        <w:ind w:left="1260" w:leftChars="0" w:hanging="420" w:firstLineChars="0"/>
      </w:pPr>
      <w:rPr>
        <w:rFonts w:hint="default"/>
      </w:rPr>
    </w:lvl>
    <w:lvl w:ilvl="3" w:tentative="0">
      <w:start w:val="1"/>
      <w:numFmt w:val="lowerRoman"/>
      <w:lvlText w:val="%4."/>
      <w:lvlJc w:val="left"/>
      <w:pPr>
        <w:tabs>
          <w:tab w:val="left" w:pos="1680"/>
        </w:tabs>
        <w:ind w:left="1680" w:leftChars="0" w:hanging="420" w:firstLineChars="0"/>
      </w:pPr>
      <w:rPr>
        <w:rFonts w:hint="default"/>
      </w:rPr>
    </w:lvl>
    <w:lvl w:ilvl="4" w:tentative="0">
      <w:start w:val="1"/>
      <w:numFmt w:val="lowerRoman"/>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Letter"/>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1">
    <w:nsid w:val="974E7253"/>
    <w:multiLevelType w:val="singleLevel"/>
    <w:tmpl w:val="974E7253"/>
    <w:lvl w:ilvl="0" w:tentative="0">
      <w:start w:val="5"/>
      <w:numFmt w:val="chineseCounting"/>
      <w:suff w:val="space"/>
      <w:lvlText w:val="第%1章"/>
      <w:lvlJc w:val="left"/>
      <w:rPr>
        <w:rFonts w:hint="eastAsia"/>
      </w:rPr>
    </w:lvl>
  </w:abstractNum>
  <w:abstractNum w:abstractNumId="2">
    <w:nsid w:val="ABA9B9D5"/>
    <w:multiLevelType w:val="singleLevel"/>
    <w:tmpl w:val="ABA9B9D5"/>
    <w:lvl w:ilvl="0" w:tentative="0">
      <w:start w:val="4"/>
      <w:numFmt w:val="decimal"/>
      <w:suff w:val="nothing"/>
      <w:lvlText w:val="（%1）"/>
      <w:lvlJc w:val="left"/>
    </w:lvl>
  </w:abstractNum>
  <w:abstractNum w:abstractNumId="3">
    <w:nsid w:val="C66EC87C"/>
    <w:multiLevelType w:val="singleLevel"/>
    <w:tmpl w:val="C66EC87C"/>
    <w:lvl w:ilvl="0" w:tentative="0">
      <w:start w:val="1"/>
      <w:numFmt w:val="bullet"/>
      <w:lvlText w:val=""/>
      <w:lvlJc w:val="left"/>
      <w:pPr>
        <w:tabs>
          <w:tab w:val="left" w:pos="420"/>
        </w:tabs>
        <w:ind w:left="420" w:leftChars="0" w:firstLine="0" w:firstLineChars="0"/>
      </w:pPr>
      <w:rPr>
        <w:rFonts w:hint="default" w:ascii="Wingdings" w:hAnsi="Wingdings"/>
      </w:rPr>
    </w:lvl>
  </w:abstractNum>
  <w:abstractNum w:abstractNumId="4">
    <w:nsid w:val="D54C86CC"/>
    <w:multiLevelType w:val="singleLevel"/>
    <w:tmpl w:val="D54C86CC"/>
    <w:lvl w:ilvl="0" w:tentative="0">
      <w:start w:val="1"/>
      <w:numFmt w:val="decimal"/>
      <w:suff w:val="nothing"/>
      <w:lvlText w:val="%1、"/>
      <w:lvlJc w:val="left"/>
    </w:lvl>
  </w:abstractNum>
  <w:abstractNum w:abstractNumId="5">
    <w:nsid w:val="D76B092A"/>
    <w:multiLevelType w:val="singleLevel"/>
    <w:tmpl w:val="D76B092A"/>
    <w:lvl w:ilvl="0" w:tentative="0">
      <w:start w:val="1"/>
      <w:numFmt w:val="decimal"/>
      <w:suff w:val="nothing"/>
      <w:lvlText w:val="%1、"/>
      <w:lvlJc w:val="left"/>
    </w:lvl>
  </w:abstractNum>
  <w:abstractNum w:abstractNumId="6">
    <w:nsid w:val="DF144D4E"/>
    <w:multiLevelType w:val="singleLevel"/>
    <w:tmpl w:val="DF144D4E"/>
    <w:lvl w:ilvl="0" w:tentative="0">
      <w:start w:val="1"/>
      <w:numFmt w:val="decimal"/>
      <w:suff w:val="nothing"/>
      <w:lvlText w:val="%1、"/>
      <w:lvlJc w:val="left"/>
    </w:lvl>
  </w:abstractNum>
  <w:abstractNum w:abstractNumId="7">
    <w:nsid w:val="EB9CA68E"/>
    <w:multiLevelType w:val="singleLevel"/>
    <w:tmpl w:val="EB9CA68E"/>
    <w:lvl w:ilvl="0" w:tentative="0">
      <w:start w:val="2"/>
      <w:numFmt w:val="decimal"/>
      <w:lvlText w:val="%1)"/>
      <w:lvlJc w:val="left"/>
      <w:pPr>
        <w:tabs>
          <w:tab w:val="left" w:pos="312"/>
        </w:tabs>
      </w:pPr>
      <w:rPr>
        <w:rFonts w:hint="default" w:ascii="宋体" w:hAnsi="宋体" w:eastAsia="宋体" w:cs="宋体"/>
      </w:rPr>
    </w:lvl>
  </w:abstractNum>
  <w:abstractNum w:abstractNumId="8">
    <w:nsid w:val="EFF42BA7"/>
    <w:multiLevelType w:val="singleLevel"/>
    <w:tmpl w:val="EFF42BA7"/>
    <w:lvl w:ilvl="0" w:tentative="0">
      <w:start w:val="4"/>
      <w:numFmt w:val="chineseCounting"/>
      <w:suff w:val="nothing"/>
      <w:lvlText w:val="（%1）"/>
      <w:lvlJc w:val="left"/>
      <w:rPr>
        <w:rFonts w:hint="eastAsia"/>
      </w:rPr>
    </w:lvl>
  </w:abstractNum>
  <w:abstractNum w:abstractNumId="9">
    <w:nsid w:val="FEA063A9"/>
    <w:multiLevelType w:val="singleLevel"/>
    <w:tmpl w:val="FEA063A9"/>
    <w:lvl w:ilvl="0" w:tentative="0">
      <w:start w:val="1"/>
      <w:numFmt w:val="decimal"/>
      <w:suff w:val="nothing"/>
      <w:lvlText w:val="%1、"/>
      <w:lvlJc w:val="left"/>
    </w:lvl>
  </w:abstractNum>
  <w:abstractNum w:abstractNumId="10">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11">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12">
    <w:nsid w:val="0000000A"/>
    <w:multiLevelType w:val="singleLevel"/>
    <w:tmpl w:val="0000000A"/>
    <w:lvl w:ilvl="0" w:tentative="0">
      <w:start w:val="1"/>
      <w:numFmt w:val="decimal"/>
      <w:suff w:val="nothing"/>
      <w:lvlText w:val="（%1）"/>
      <w:lvlJc w:val="left"/>
      <w:pPr>
        <w:ind w:left="0" w:firstLine="420"/>
      </w:pPr>
      <w:rPr>
        <w:rFonts w:hint="default"/>
        <w:color w:val="auto"/>
      </w:rPr>
    </w:lvl>
  </w:abstractNum>
  <w:abstractNum w:abstractNumId="13">
    <w:nsid w:val="00000015"/>
    <w:multiLevelType w:val="singleLevel"/>
    <w:tmpl w:val="00000015"/>
    <w:lvl w:ilvl="0" w:tentative="0">
      <w:start w:val="3"/>
      <w:numFmt w:val="decimal"/>
      <w:suff w:val="nothing"/>
      <w:lvlText w:val="%1、"/>
      <w:lvlJc w:val="left"/>
    </w:lvl>
  </w:abstractNum>
  <w:abstractNum w:abstractNumId="14">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15">
    <w:nsid w:val="0D54F3AF"/>
    <w:multiLevelType w:val="singleLevel"/>
    <w:tmpl w:val="0D54F3AF"/>
    <w:lvl w:ilvl="0" w:tentative="0">
      <w:start w:val="10"/>
      <w:numFmt w:val="decimal"/>
      <w:suff w:val="nothing"/>
      <w:lvlText w:val="%1）"/>
      <w:lvlJc w:val="left"/>
    </w:lvl>
  </w:abstractNum>
  <w:abstractNum w:abstractNumId="16">
    <w:nsid w:val="296D67D5"/>
    <w:multiLevelType w:val="multilevel"/>
    <w:tmpl w:val="296D67D5"/>
    <w:lvl w:ilvl="0" w:tentative="0">
      <w:start w:val="6"/>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
    <w:nsid w:val="51460FA6"/>
    <w:multiLevelType w:val="singleLevel"/>
    <w:tmpl w:val="51460FA6"/>
    <w:lvl w:ilvl="0" w:tentative="0">
      <w:start w:val="1"/>
      <w:numFmt w:val="decimal"/>
      <w:lvlText w:val="%1)"/>
      <w:lvlJc w:val="left"/>
      <w:pPr>
        <w:tabs>
          <w:tab w:val="left" w:pos="420"/>
        </w:tabs>
        <w:ind w:left="845" w:hanging="425"/>
      </w:pPr>
      <w:rPr>
        <w:rFonts w:hint="default"/>
      </w:rPr>
    </w:lvl>
  </w:abstractNum>
  <w:abstractNum w:abstractNumId="18">
    <w:nsid w:val="59B0B22D"/>
    <w:multiLevelType w:val="singleLevel"/>
    <w:tmpl w:val="59B0B22D"/>
    <w:lvl w:ilvl="0" w:tentative="0">
      <w:start w:val="1"/>
      <w:numFmt w:val="decimalEnclosedCircleChinese"/>
      <w:suff w:val="nothing"/>
      <w:lvlText w:val="%1　"/>
      <w:lvlJc w:val="left"/>
      <w:pPr>
        <w:ind w:left="0" w:firstLine="400"/>
      </w:pPr>
      <w:rPr>
        <w:rFonts w:hint="eastAsia"/>
      </w:rPr>
    </w:lvl>
  </w:abstractNum>
  <w:abstractNum w:abstractNumId="19">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20">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21">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22">
    <w:nsid w:val="59C3118D"/>
    <w:multiLevelType w:val="singleLevel"/>
    <w:tmpl w:val="59C3118D"/>
    <w:lvl w:ilvl="0" w:tentative="0">
      <w:start w:val="1"/>
      <w:numFmt w:val="decimal"/>
      <w:suff w:val="nothing"/>
      <w:lvlText w:val="（%1）"/>
      <w:lvlJc w:val="left"/>
      <w:pPr>
        <w:ind w:left="0" w:firstLine="420"/>
      </w:pPr>
      <w:rPr>
        <w:rFonts w:hint="default"/>
        <w:lang w:val="en-US"/>
      </w:rPr>
    </w:lvl>
  </w:abstractNum>
  <w:abstractNum w:abstractNumId="23">
    <w:nsid w:val="59C664FD"/>
    <w:multiLevelType w:val="singleLevel"/>
    <w:tmpl w:val="59C664FD"/>
    <w:lvl w:ilvl="0" w:tentative="0">
      <w:start w:val="1"/>
      <w:numFmt w:val="decimal"/>
      <w:suff w:val="nothing"/>
      <w:lvlText w:val="（%1）"/>
      <w:lvlJc w:val="left"/>
      <w:pPr>
        <w:tabs>
          <w:tab w:val="left" w:pos="0"/>
        </w:tabs>
        <w:ind w:left="0" w:firstLine="400"/>
      </w:pPr>
      <w:rPr>
        <w:rFonts w:hint="default" w:ascii="宋体" w:hAnsi="宋体" w:eastAsia="宋体" w:cs="宋体"/>
      </w:rPr>
    </w:lvl>
  </w:abstractNum>
  <w:abstractNum w:abstractNumId="24">
    <w:nsid w:val="5E9B36A4"/>
    <w:multiLevelType w:val="multilevel"/>
    <w:tmpl w:val="5E9B36A4"/>
    <w:lvl w:ilvl="0" w:tentative="0">
      <w:start w:val="23"/>
      <w:numFmt w:val="decimal"/>
      <w:lvlText w:val="%1、"/>
      <w:lvlJc w:val="left"/>
      <w:pPr>
        <w:ind w:left="945" w:hanging="52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5">
    <w:nsid w:val="65485122"/>
    <w:multiLevelType w:val="multilevel"/>
    <w:tmpl w:val="65485122"/>
    <w:lvl w:ilvl="0" w:tentative="0">
      <w:start w:val="1"/>
      <w:numFmt w:val="decimal"/>
      <w:lvlText w:val="%1"/>
      <w:lvlJc w:val="left"/>
      <w:pPr>
        <w:ind w:left="360" w:hanging="360"/>
      </w:pPr>
      <w:rPr>
        <w:rFonts w:hint="default"/>
      </w:rPr>
    </w:lvl>
    <w:lvl w:ilvl="1" w:tentative="0">
      <w:start w:val="5"/>
      <w:numFmt w:val="decimal"/>
      <w:lvlText w:val="%1.%2"/>
      <w:lvlJc w:val="left"/>
      <w:pPr>
        <w:ind w:left="1200" w:hanging="72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360" w:hanging="144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520" w:hanging="2160"/>
      </w:pPr>
      <w:rPr>
        <w:rFonts w:hint="default"/>
      </w:rPr>
    </w:lvl>
    <w:lvl w:ilvl="8" w:tentative="0">
      <w:start w:val="1"/>
      <w:numFmt w:val="decimal"/>
      <w:lvlText w:val="%1.%2.%3.%4.%5.%6.%7.%8.%9"/>
      <w:lvlJc w:val="left"/>
      <w:pPr>
        <w:ind w:left="6000" w:hanging="2160"/>
      </w:pPr>
      <w:rPr>
        <w:rFonts w:hint="default"/>
      </w:rPr>
    </w:lvl>
  </w:abstractNum>
  <w:abstractNum w:abstractNumId="26">
    <w:nsid w:val="679FAC77"/>
    <w:multiLevelType w:val="singleLevel"/>
    <w:tmpl w:val="679FAC77"/>
    <w:lvl w:ilvl="0" w:tentative="0">
      <w:start w:val="1"/>
      <w:numFmt w:val="decimal"/>
      <w:suff w:val="nothing"/>
      <w:lvlText w:val="%1、"/>
      <w:lvlJc w:val="left"/>
    </w:lvl>
  </w:abstractNum>
  <w:abstractNum w:abstractNumId="27">
    <w:nsid w:val="789EFFF7"/>
    <w:multiLevelType w:val="singleLevel"/>
    <w:tmpl w:val="789EFFF7"/>
    <w:lvl w:ilvl="0" w:tentative="0">
      <w:start w:val="3"/>
      <w:numFmt w:val="decimal"/>
      <w:suff w:val="nothing"/>
      <w:lvlText w:val="%1）"/>
      <w:lvlJc w:val="left"/>
    </w:lvl>
  </w:abstractNum>
  <w:num w:numId="1">
    <w:abstractNumId w:val="25"/>
  </w:num>
  <w:num w:numId="2">
    <w:abstractNumId w:val="23"/>
  </w:num>
  <w:num w:numId="3">
    <w:abstractNumId w:val="18"/>
  </w:num>
  <w:num w:numId="4">
    <w:abstractNumId w:val="12"/>
  </w:num>
  <w:num w:numId="5">
    <w:abstractNumId w:val="21"/>
  </w:num>
  <w:num w:numId="6">
    <w:abstractNumId w:val="19"/>
  </w:num>
  <w:num w:numId="7">
    <w:abstractNumId w:val="20"/>
  </w:num>
  <w:num w:numId="8">
    <w:abstractNumId w:val="10"/>
  </w:num>
  <w:num w:numId="9">
    <w:abstractNumId w:val="14"/>
  </w:num>
  <w:num w:numId="10">
    <w:abstractNumId w:val="16"/>
  </w:num>
  <w:num w:numId="11">
    <w:abstractNumId w:val="24"/>
  </w:num>
  <w:num w:numId="12">
    <w:abstractNumId w:val="22"/>
  </w:num>
  <w:num w:numId="13">
    <w:abstractNumId w:val="5"/>
  </w:num>
  <w:num w:numId="14">
    <w:abstractNumId w:val="9"/>
  </w:num>
  <w:num w:numId="15">
    <w:abstractNumId w:val="26"/>
  </w:num>
  <w:num w:numId="16">
    <w:abstractNumId w:val="4"/>
  </w:num>
  <w:num w:numId="17">
    <w:abstractNumId w:val="13"/>
  </w:num>
  <w:num w:numId="18">
    <w:abstractNumId w:val="8"/>
  </w:num>
  <w:num w:numId="19">
    <w:abstractNumId w:val="6"/>
  </w:num>
  <w:num w:numId="20">
    <w:abstractNumId w:val="15"/>
  </w:num>
  <w:num w:numId="21">
    <w:abstractNumId w:val="27"/>
  </w:num>
  <w:num w:numId="22">
    <w:abstractNumId w:val="3"/>
  </w:num>
  <w:num w:numId="23">
    <w:abstractNumId w:val="17"/>
  </w:num>
  <w:num w:numId="24">
    <w:abstractNumId w:val="0"/>
  </w:num>
  <w:num w:numId="25">
    <w:abstractNumId w:val="7"/>
  </w:num>
  <w:num w:numId="26">
    <w:abstractNumId w:val="2"/>
  </w:num>
  <w:num w:numId="27">
    <w:abstractNumId w:val="1"/>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5ZTEyMWUxMWMyYTdlYTI2MjMzN2EwOTJiY2E4ODMifQ=="/>
  </w:docVars>
  <w:rsids>
    <w:rsidRoot w:val="00B03A14"/>
    <w:rsid w:val="0000230C"/>
    <w:rsid w:val="000034CF"/>
    <w:rsid w:val="0000364F"/>
    <w:rsid w:val="00003749"/>
    <w:rsid w:val="000057D9"/>
    <w:rsid w:val="000069E6"/>
    <w:rsid w:val="00007138"/>
    <w:rsid w:val="00007C88"/>
    <w:rsid w:val="000270F2"/>
    <w:rsid w:val="00030954"/>
    <w:rsid w:val="00031420"/>
    <w:rsid w:val="00031564"/>
    <w:rsid w:val="00033535"/>
    <w:rsid w:val="0003725E"/>
    <w:rsid w:val="00037AC4"/>
    <w:rsid w:val="000402EE"/>
    <w:rsid w:val="000459A8"/>
    <w:rsid w:val="00046461"/>
    <w:rsid w:val="00047239"/>
    <w:rsid w:val="00047430"/>
    <w:rsid w:val="00047743"/>
    <w:rsid w:val="0006506C"/>
    <w:rsid w:val="0006629F"/>
    <w:rsid w:val="00070EAE"/>
    <w:rsid w:val="00070F2E"/>
    <w:rsid w:val="00071268"/>
    <w:rsid w:val="00071360"/>
    <w:rsid w:val="00073CCA"/>
    <w:rsid w:val="00074D4A"/>
    <w:rsid w:val="00077B03"/>
    <w:rsid w:val="000876D5"/>
    <w:rsid w:val="00092266"/>
    <w:rsid w:val="00093A5A"/>
    <w:rsid w:val="000956E9"/>
    <w:rsid w:val="000975CD"/>
    <w:rsid w:val="000A5147"/>
    <w:rsid w:val="000A63CE"/>
    <w:rsid w:val="000B1CE7"/>
    <w:rsid w:val="000B4C70"/>
    <w:rsid w:val="000B7EB4"/>
    <w:rsid w:val="000C1832"/>
    <w:rsid w:val="000C69C5"/>
    <w:rsid w:val="000C7EBF"/>
    <w:rsid w:val="000D3523"/>
    <w:rsid w:val="000D3A8A"/>
    <w:rsid w:val="000D3B9A"/>
    <w:rsid w:val="000D41AC"/>
    <w:rsid w:val="000E0284"/>
    <w:rsid w:val="000E1F0D"/>
    <w:rsid w:val="000E65C5"/>
    <w:rsid w:val="000E771A"/>
    <w:rsid w:val="000F0A1D"/>
    <w:rsid w:val="000F2AC6"/>
    <w:rsid w:val="000F414D"/>
    <w:rsid w:val="000F4432"/>
    <w:rsid w:val="000F4DF8"/>
    <w:rsid w:val="000F56B3"/>
    <w:rsid w:val="000F5B6F"/>
    <w:rsid w:val="000F6B59"/>
    <w:rsid w:val="00100405"/>
    <w:rsid w:val="00105A01"/>
    <w:rsid w:val="00105A57"/>
    <w:rsid w:val="00106C5A"/>
    <w:rsid w:val="00112938"/>
    <w:rsid w:val="00115B8A"/>
    <w:rsid w:val="00117A3B"/>
    <w:rsid w:val="00124DAC"/>
    <w:rsid w:val="00125861"/>
    <w:rsid w:val="00125E68"/>
    <w:rsid w:val="001265C7"/>
    <w:rsid w:val="00126748"/>
    <w:rsid w:val="00130CAF"/>
    <w:rsid w:val="00132CF9"/>
    <w:rsid w:val="00133785"/>
    <w:rsid w:val="0013504C"/>
    <w:rsid w:val="001405AB"/>
    <w:rsid w:val="00142EDF"/>
    <w:rsid w:val="001475C9"/>
    <w:rsid w:val="00152544"/>
    <w:rsid w:val="00156417"/>
    <w:rsid w:val="00162517"/>
    <w:rsid w:val="001654B4"/>
    <w:rsid w:val="00165841"/>
    <w:rsid w:val="00176D71"/>
    <w:rsid w:val="00196AF9"/>
    <w:rsid w:val="00196D5A"/>
    <w:rsid w:val="001A4B36"/>
    <w:rsid w:val="001B544A"/>
    <w:rsid w:val="001B7BDC"/>
    <w:rsid w:val="001C3C4B"/>
    <w:rsid w:val="001D69DC"/>
    <w:rsid w:val="001E25DE"/>
    <w:rsid w:val="001E3858"/>
    <w:rsid w:val="001F2C62"/>
    <w:rsid w:val="001F64DA"/>
    <w:rsid w:val="0020521F"/>
    <w:rsid w:val="00206C0A"/>
    <w:rsid w:val="0020700C"/>
    <w:rsid w:val="002102B0"/>
    <w:rsid w:val="00211B02"/>
    <w:rsid w:val="00212725"/>
    <w:rsid w:val="00213A7A"/>
    <w:rsid w:val="00216BF7"/>
    <w:rsid w:val="0022382C"/>
    <w:rsid w:val="00227B7A"/>
    <w:rsid w:val="002310AA"/>
    <w:rsid w:val="002413AE"/>
    <w:rsid w:val="00246A98"/>
    <w:rsid w:val="0025094B"/>
    <w:rsid w:val="0025160F"/>
    <w:rsid w:val="00255A6A"/>
    <w:rsid w:val="00261C14"/>
    <w:rsid w:val="002647D5"/>
    <w:rsid w:val="00265C6E"/>
    <w:rsid w:val="0026697F"/>
    <w:rsid w:val="00270C0F"/>
    <w:rsid w:val="002718AB"/>
    <w:rsid w:val="00271C1A"/>
    <w:rsid w:val="00272FD6"/>
    <w:rsid w:val="0028001E"/>
    <w:rsid w:val="00281308"/>
    <w:rsid w:val="00283A8F"/>
    <w:rsid w:val="00287669"/>
    <w:rsid w:val="00292BAB"/>
    <w:rsid w:val="00294869"/>
    <w:rsid w:val="00295299"/>
    <w:rsid w:val="002A353F"/>
    <w:rsid w:val="002B0AE3"/>
    <w:rsid w:val="002B4DF5"/>
    <w:rsid w:val="002B67CA"/>
    <w:rsid w:val="002C12A0"/>
    <w:rsid w:val="002C2391"/>
    <w:rsid w:val="002C6A33"/>
    <w:rsid w:val="002D4811"/>
    <w:rsid w:val="002D6F43"/>
    <w:rsid w:val="002E2B80"/>
    <w:rsid w:val="002F0D7D"/>
    <w:rsid w:val="002F19FF"/>
    <w:rsid w:val="002F3E4D"/>
    <w:rsid w:val="002F48D9"/>
    <w:rsid w:val="00300543"/>
    <w:rsid w:val="00304EC9"/>
    <w:rsid w:val="003120EA"/>
    <w:rsid w:val="00313190"/>
    <w:rsid w:val="00315064"/>
    <w:rsid w:val="003217A2"/>
    <w:rsid w:val="00323289"/>
    <w:rsid w:val="003315C5"/>
    <w:rsid w:val="00334ED1"/>
    <w:rsid w:val="00341635"/>
    <w:rsid w:val="00346143"/>
    <w:rsid w:val="00347A54"/>
    <w:rsid w:val="00351435"/>
    <w:rsid w:val="00352364"/>
    <w:rsid w:val="00361462"/>
    <w:rsid w:val="00362841"/>
    <w:rsid w:val="00362C89"/>
    <w:rsid w:val="0036530C"/>
    <w:rsid w:val="00365B36"/>
    <w:rsid w:val="00386F40"/>
    <w:rsid w:val="003920B4"/>
    <w:rsid w:val="003A0CEC"/>
    <w:rsid w:val="003B672E"/>
    <w:rsid w:val="003D0FCF"/>
    <w:rsid w:val="003D19E1"/>
    <w:rsid w:val="003D1D67"/>
    <w:rsid w:val="003D2307"/>
    <w:rsid w:val="003E1FDE"/>
    <w:rsid w:val="003E46F4"/>
    <w:rsid w:val="003F0E48"/>
    <w:rsid w:val="0040236B"/>
    <w:rsid w:val="0040406C"/>
    <w:rsid w:val="00404D5C"/>
    <w:rsid w:val="004116F0"/>
    <w:rsid w:val="004134F2"/>
    <w:rsid w:val="00415CC9"/>
    <w:rsid w:val="00423880"/>
    <w:rsid w:val="00424BF7"/>
    <w:rsid w:val="00433D8F"/>
    <w:rsid w:val="004343BE"/>
    <w:rsid w:val="00440627"/>
    <w:rsid w:val="00443AF0"/>
    <w:rsid w:val="00454676"/>
    <w:rsid w:val="00460B80"/>
    <w:rsid w:val="00464E75"/>
    <w:rsid w:val="004663A5"/>
    <w:rsid w:val="0047078F"/>
    <w:rsid w:val="00470847"/>
    <w:rsid w:val="00471D91"/>
    <w:rsid w:val="0047319B"/>
    <w:rsid w:val="00473971"/>
    <w:rsid w:val="00474450"/>
    <w:rsid w:val="004762B4"/>
    <w:rsid w:val="00490BB0"/>
    <w:rsid w:val="00491859"/>
    <w:rsid w:val="00492AEC"/>
    <w:rsid w:val="00492AED"/>
    <w:rsid w:val="004948D5"/>
    <w:rsid w:val="004B057D"/>
    <w:rsid w:val="004B11AA"/>
    <w:rsid w:val="004B231B"/>
    <w:rsid w:val="004B68EA"/>
    <w:rsid w:val="004B76F4"/>
    <w:rsid w:val="004B7DA1"/>
    <w:rsid w:val="004C337E"/>
    <w:rsid w:val="004C5850"/>
    <w:rsid w:val="004C67D0"/>
    <w:rsid w:val="004C6D22"/>
    <w:rsid w:val="004C7A0A"/>
    <w:rsid w:val="004D257A"/>
    <w:rsid w:val="004D3277"/>
    <w:rsid w:val="004E026D"/>
    <w:rsid w:val="004E251A"/>
    <w:rsid w:val="004E50E3"/>
    <w:rsid w:val="004E6F5A"/>
    <w:rsid w:val="004F2D43"/>
    <w:rsid w:val="004F4131"/>
    <w:rsid w:val="005171C8"/>
    <w:rsid w:val="005234C8"/>
    <w:rsid w:val="005239D0"/>
    <w:rsid w:val="00526C03"/>
    <w:rsid w:val="00530A20"/>
    <w:rsid w:val="005426D0"/>
    <w:rsid w:val="00546AF5"/>
    <w:rsid w:val="0055017A"/>
    <w:rsid w:val="005510B1"/>
    <w:rsid w:val="00551FFF"/>
    <w:rsid w:val="0055258A"/>
    <w:rsid w:val="0055432D"/>
    <w:rsid w:val="00555974"/>
    <w:rsid w:val="00563492"/>
    <w:rsid w:val="005638FD"/>
    <w:rsid w:val="005642FC"/>
    <w:rsid w:val="00566BFF"/>
    <w:rsid w:val="00575AA1"/>
    <w:rsid w:val="005806AC"/>
    <w:rsid w:val="00580CF4"/>
    <w:rsid w:val="0058112F"/>
    <w:rsid w:val="005818B1"/>
    <w:rsid w:val="00582E87"/>
    <w:rsid w:val="005836B9"/>
    <w:rsid w:val="0058722C"/>
    <w:rsid w:val="005879CA"/>
    <w:rsid w:val="005936AE"/>
    <w:rsid w:val="00594F63"/>
    <w:rsid w:val="005A6A09"/>
    <w:rsid w:val="005B0E50"/>
    <w:rsid w:val="005C19EE"/>
    <w:rsid w:val="005D1373"/>
    <w:rsid w:val="005D74B5"/>
    <w:rsid w:val="005E06D0"/>
    <w:rsid w:val="005E7A4F"/>
    <w:rsid w:val="005F12F2"/>
    <w:rsid w:val="005F29E7"/>
    <w:rsid w:val="005F780B"/>
    <w:rsid w:val="00602B50"/>
    <w:rsid w:val="006149C1"/>
    <w:rsid w:val="0061763B"/>
    <w:rsid w:val="00630225"/>
    <w:rsid w:val="00635C77"/>
    <w:rsid w:val="00637475"/>
    <w:rsid w:val="0066262B"/>
    <w:rsid w:val="006646EC"/>
    <w:rsid w:val="006665AF"/>
    <w:rsid w:val="00667B7A"/>
    <w:rsid w:val="00672BD8"/>
    <w:rsid w:val="00673495"/>
    <w:rsid w:val="0067355B"/>
    <w:rsid w:val="00675F40"/>
    <w:rsid w:val="00683E61"/>
    <w:rsid w:val="006845F5"/>
    <w:rsid w:val="00684CEE"/>
    <w:rsid w:val="00686DB1"/>
    <w:rsid w:val="00691851"/>
    <w:rsid w:val="00692B5B"/>
    <w:rsid w:val="006951FD"/>
    <w:rsid w:val="006955D6"/>
    <w:rsid w:val="0069744B"/>
    <w:rsid w:val="006A26CA"/>
    <w:rsid w:val="006A48FC"/>
    <w:rsid w:val="006A6F6E"/>
    <w:rsid w:val="006B34B8"/>
    <w:rsid w:val="006B533C"/>
    <w:rsid w:val="006B70F5"/>
    <w:rsid w:val="006C37BC"/>
    <w:rsid w:val="006C3A2A"/>
    <w:rsid w:val="006D0733"/>
    <w:rsid w:val="006D4078"/>
    <w:rsid w:val="006D7392"/>
    <w:rsid w:val="006E0E25"/>
    <w:rsid w:val="006E116E"/>
    <w:rsid w:val="006E5487"/>
    <w:rsid w:val="006E593C"/>
    <w:rsid w:val="006E5E74"/>
    <w:rsid w:val="006E64D5"/>
    <w:rsid w:val="006E6C80"/>
    <w:rsid w:val="006E7A81"/>
    <w:rsid w:val="006F05F2"/>
    <w:rsid w:val="006F5676"/>
    <w:rsid w:val="006F588B"/>
    <w:rsid w:val="00700883"/>
    <w:rsid w:val="00702A19"/>
    <w:rsid w:val="0070710F"/>
    <w:rsid w:val="00715326"/>
    <w:rsid w:val="00716746"/>
    <w:rsid w:val="007210D0"/>
    <w:rsid w:val="007225CF"/>
    <w:rsid w:val="00734A61"/>
    <w:rsid w:val="007363D8"/>
    <w:rsid w:val="00742BA9"/>
    <w:rsid w:val="00746763"/>
    <w:rsid w:val="007479A4"/>
    <w:rsid w:val="0075475E"/>
    <w:rsid w:val="007557AD"/>
    <w:rsid w:val="007560A2"/>
    <w:rsid w:val="00761E24"/>
    <w:rsid w:val="00762B9E"/>
    <w:rsid w:val="00763018"/>
    <w:rsid w:val="00764329"/>
    <w:rsid w:val="0077304E"/>
    <w:rsid w:val="007759DC"/>
    <w:rsid w:val="00777516"/>
    <w:rsid w:val="0078053C"/>
    <w:rsid w:val="00783242"/>
    <w:rsid w:val="00790AE2"/>
    <w:rsid w:val="00791390"/>
    <w:rsid w:val="00792379"/>
    <w:rsid w:val="00797EAB"/>
    <w:rsid w:val="007A11CD"/>
    <w:rsid w:val="007A4AED"/>
    <w:rsid w:val="007A6639"/>
    <w:rsid w:val="007B1BA6"/>
    <w:rsid w:val="007C35D5"/>
    <w:rsid w:val="007D0642"/>
    <w:rsid w:val="007D57F0"/>
    <w:rsid w:val="007D7320"/>
    <w:rsid w:val="007E29BA"/>
    <w:rsid w:val="007F40B6"/>
    <w:rsid w:val="007F53DB"/>
    <w:rsid w:val="007F67F0"/>
    <w:rsid w:val="00810ED9"/>
    <w:rsid w:val="00812098"/>
    <w:rsid w:val="00815FF3"/>
    <w:rsid w:val="00821B74"/>
    <w:rsid w:val="0082418E"/>
    <w:rsid w:val="00824C6D"/>
    <w:rsid w:val="00826F97"/>
    <w:rsid w:val="0085107D"/>
    <w:rsid w:val="00864286"/>
    <w:rsid w:val="00865D99"/>
    <w:rsid w:val="00877B9D"/>
    <w:rsid w:val="00884EF7"/>
    <w:rsid w:val="00885FA6"/>
    <w:rsid w:val="0089015A"/>
    <w:rsid w:val="00897165"/>
    <w:rsid w:val="00897423"/>
    <w:rsid w:val="008B036A"/>
    <w:rsid w:val="008B1FFB"/>
    <w:rsid w:val="008B460F"/>
    <w:rsid w:val="008B6AA3"/>
    <w:rsid w:val="008B7BA4"/>
    <w:rsid w:val="008C3A69"/>
    <w:rsid w:val="008D2731"/>
    <w:rsid w:val="008D2A3D"/>
    <w:rsid w:val="008E00D0"/>
    <w:rsid w:val="008E14B8"/>
    <w:rsid w:val="008E4133"/>
    <w:rsid w:val="008F3CC7"/>
    <w:rsid w:val="009029BB"/>
    <w:rsid w:val="00903D2E"/>
    <w:rsid w:val="00910843"/>
    <w:rsid w:val="00914D50"/>
    <w:rsid w:val="00922009"/>
    <w:rsid w:val="00925A45"/>
    <w:rsid w:val="00925DF8"/>
    <w:rsid w:val="009262A9"/>
    <w:rsid w:val="00926A89"/>
    <w:rsid w:val="00936C14"/>
    <w:rsid w:val="00936D5F"/>
    <w:rsid w:val="009405BF"/>
    <w:rsid w:val="00946EEA"/>
    <w:rsid w:val="009501BA"/>
    <w:rsid w:val="009534C4"/>
    <w:rsid w:val="0096109B"/>
    <w:rsid w:val="00974B5B"/>
    <w:rsid w:val="00983DBF"/>
    <w:rsid w:val="00996BCD"/>
    <w:rsid w:val="009A000F"/>
    <w:rsid w:val="009A3BBD"/>
    <w:rsid w:val="009B383A"/>
    <w:rsid w:val="009C4468"/>
    <w:rsid w:val="009D42DF"/>
    <w:rsid w:val="009D72D8"/>
    <w:rsid w:val="009E53D8"/>
    <w:rsid w:val="00A06AA5"/>
    <w:rsid w:val="00A07936"/>
    <w:rsid w:val="00A125E1"/>
    <w:rsid w:val="00A13269"/>
    <w:rsid w:val="00A15F59"/>
    <w:rsid w:val="00A20EC2"/>
    <w:rsid w:val="00A25BC6"/>
    <w:rsid w:val="00A34F8E"/>
    <w:rsid w:val="00A4365E"/>
    <w:rsid w:val="00A53094"/>
    <w:rsid w:val="00A556E4"/>
    <w:rsid w:val="00A61DC7"/>
    <w:rsid w:val="00A6623A"/>
    <w:rsid w:val="00A668FC"/>
    <w:rsid w:val="00A70CC7"/>
    <w:rsid w:val="00A71CF5"/>
    <w:rsid w:val="00A72279"/>
    <w:rsid w:val="00A738A3"/>
    <w:rsid w:val="00A824CC"/>
    <w:rsid w:val="00A84C20"/>
    <w:rsid w:val="00A85B4A"/>
    <w:rsid w:val="00A906D4"/>
    <w:rsid w:val="00A93D45"/>
    <w:rsid w:val="00AA466C"/>
    <w:rsid w:val="00AA544E"/>
    <w:rsid w:val="00AB09E6"/>
    <w:rsid w:val="00AB36F2"/>
    <w:rsid w:val="00AB409D"/>
    <w:rsid w:val="00AB5626"/>
    <w:rsid w:val="00AC1AA8"/>
    <w:rsid w:val="00AC5FEB"/>
    <w:rsid w:val="00AD0958"/>
    <w:rsid w:val="00AD34B8"/>
    <w:rsid w:val="00AE3308"/>
    <w:rsid w:val="00AE5663"/>
    <w:rsid w:val="00AE602B"/>
    <w:rsid w:val="00B03A14"/>
    <w:rsid w:val="00B06DD7"/>
    <w:rsid w:val="00B15642"/>
    <w:rsid w:val="00B177AC"/>
    <w:rsid w:val="00B251AA"/>
    <w:rsid w:val="00B25918"/>
    <w:rsid w:val="00B27C6A"/>
    <w:rsid w:val="00B302BF"/>
    <w:rsid w:val="00B32F83"/>
    <w:rsid w:val="00B343B8"/>
    <w:rsid w:val="00B374E8"/>
    <w:rsid w:val="00B45533"/>
    <w:rsid w:val="00B52C3C"/>
    <w:rsid w:val="00B52E55"/>
    <w:rsid w:val="00B53255"/>
    <w:rsid w:val="00B578E9"/>
    <w:rsid w:val="00B712E2"/>
    <w:rsid w:val="00B80937"/>
    <w:rsid w:val="00B82643"/>
    <w:rsid w:val="00B857A8"/>
    <w:rsid w:val="00B91D64"/>
    <w:rsid w:val="00B93D3B"/>
    <w:rsid w:val="00BA5BE1"/>
    <w:rsid w:val="00BA65F3"/>
    <w:rsid w:val="00BB067C"/>
    <w:rsid w:val="00BB4DDD"/>
    <w:rsid w:val="00BB569E"/>
    <w:rsid w:val="00BB6CCC"/>
    <w:rsid w:val="00BB767C"/>
    <w:rsid w:val="00BB79F0"/>
    <w:rsid w:val="00BC1F62"/>
    <w:rsid w:val="00BC2CAB"/>
    <w:rsid w:val="00BD230E"/>
    <w:rsid w:val="00BD32F5"/>
    <w:rsid w:val="00BD3343"/>
    <w:rsid w:val="00BD52EC"/>
    <w:rsid w:val="00BE44A9"/>
    <w:rsid w:val="00BF6949"/>
    <w:rsid w:val="00C0088D"/>
    <w:rsid w:val="00C032C7"/>
    <w:rsid w:val="00C0629A"/>
    <w:rsid w:val="00C1289E"/>
    <w:rsid w:val="00C13F5B"/>
    <w:rsid w:val="00C15565"/>
    <w:rsid w:val="00C17FAB"/>
    <w:rsid w:val="00C318C4"/>
    <w:rsid w:val="00C33C1B"/>
    <w:rsid w:val="00C37EC9"/>
    <w:rsid w:val="00C57A05"/>
    <w:rsid w:val="00C664AF"/>
    <w:rsid w:val="00C750F5"/>
    <w:rsid w:val="00C82F32"/>
    <w:rsid w:val="00C844AD"/>
    <w:rsid w:val="00C9321E"/>
    <w:rsid w:val="00C94C26"/>
    <w:rsid w:val="00C96AE8"/>
    <w:rsid w:val="00CA431F"/>
    <w:rsid w:val="00CB3ADF"/>
    <w:rsid w:val="00CB64D6"/>
    <w:rsid w:val="00CC309F"/>
    <w:rsid w:val="00CD3F4F"/>
    <w:rsid w:val="00CD6E81"/>
    <w:rsid w:val="00CE502C"/>
    <w:rsid w:val="00CF2B3B"/>
    <w:rsid w:val="00CF4E80"/>
    <w:rsid w:val="00D01904"/>
    <w:rsid w:val="00D038EF"/>
    <w:rsid w:val="00D05139"/>
    <w:rsid w:val="00D11C8B"/>
    <w:rsid w:val="00D12BD5"/>
    <w:rsid w:val="00D12E6F"/>
    <w:rsid w:val="00D156FE"/>
    <w:rsid w:val="00D17B31"/>
    <w:rsid w:val="00D2148C"/>
    <w:rsid w:val="00D22D31"/>
    <w:rsid w:val="00D26F17"/>
    <w:rsid w:val="00D3024B"/>
    <w:rsid w:val="00D30B30"/>
    <w:rsid w:val="00D36ADC"/>
    <w:rsid w:val="00D40529"/>
    <w:rsid w:val="00D443B3"/>
    <w:rsid w:val="00D528C3"/>
    <w:rsid w:val="00D54294"/>
    <w:rsid w:val="00D54B12"/>
    <w:rsid w:val="00D550A9"/>
    <w:rsid w:val="00D55973"/>
    <w:rsid w:val="00D61DAC"/>
    <w:rsid w:val="00D67E95"/>
    <w:rsid w:val="00D76161"/>
    <w:rsid w:val="00D80282"/>
    <w:rsid w:val="00D8126A"/>
    <w:rsid w:val="00D81F95"/>
    <w:rsid w:val="00D852FC"/>
    <w:rsid w:val="00D8759B"/>
    <w:rsid w:val="00D87EFC"/>
    <w:rsid w:val="00D97D37"/>
    <w:rsid w:val="00DB4396"/>
    <w:rsid w:val="00DC0EC3"/>
    <w:rsid w:val="00DC69F8"/>
    <w:rsid w:val="00DD4CEB"/>
    <w:rsid w:val="00DD5E34"/>
    <w:rsid w:val="00DD79E3"/>
    <w:rsid w:val="00DE103A"/>
    <w:rsid w:val="00DE211E"/>
    <w:rsid w:val="00DE2317"/>
    <w:rsid w:val="00DF02C9"/>
    <w:rsid w:val="00DF30F7"/>
    <w:rsid w:val="00DF5361"/>
    <w:rsid w:val="00DF646C"/>
    <w:rsid w:val="00E014A7"/>
    <w:rsid w:val="00E05B33"/>
    <w:rsid w:val="00E06773"/>
    <w:rsid w:val="00E072ED"/>
    <w:rsid w:val="00E11B3E"/>
    <w:rsid w:val="00E1251B"/>
    <w:rsid w:val="00E13AF3"/>
    <w:rsid w:val="00E13DA8"/>
    <w:rsid w:val="00E14EC1"/>
    <w:rsid w:val="00E15CDD"/>
    <w:rsid w:val="00E25C71"/>
    <w:rsid w:val="00E30041"/>
    <w:rsid w:val="00E37945"/>
    <w:rsid w:val="00E54E2B"/>
    <w:rsid w:val="00E57253"/>
    <w:rsid w:val="00E60525"/>
    <w:rsid w:val="00E64281"/>
    <w:rsid w:val="00E6637D"/>
    <w:rsid w:val="00E750BF"/>
    <w:rsid w:val="00E76A8B"/>
    <w:rsid w:val="00E86A2B"/>
    <w:rsid w:val="00E8716D"/>
    <w:rsid w:val="00E8752B"/>
    <w:rsid w:val="00E9106C"/>
    <w:rsid w:val="00E91352"/>
    <w:rsid w:val="00E91A23"/>
    <w:rsid w:val="00E93B2F"/>
    <w:rsid w:val="00E94CEB"/>
    <w:rsid w:val="00E95984"/>
    <w:rsid w:val="00E96118"/>
    <w:rsid w:val="00E96F7F"/>
    <w:rsid w:val="00EA01AD"/>
    <w:rsid w:val="00EA1956"/>
    <w:rsid w:val="00EA3A79"/>
    <w:rsid w:val="00EB28E1"/>
    <w:rsid w:val="00EB335D"/>
    <w:rsid w:val="00EB6B1C"/>
    <w:rsid w:val="00EC3E13"/>
    <w:rsid w:val="00ED2ADA"/>
    <w:rsid w:val="00ED2B49"/>
    <w:rsid w:val="00EE15E3"/>
    <w:rsid w:val="00EE611C"/>
    <w:rsid w:val="00EE78A5"/>
    <w:rsid w:val="00EE7DA0"/>
    <w:rsid w:val="00EF0F10"/>
    <w:rsid w:val="00EF3A6F"/>
    <w:rsid w:val="00EF3D63"/>
    <w:rsid w:val="00F10257"/>
    <w:rsid w:val="00F1115D"/>
    <w:rsid w:val="00F142A0"/>
    <w:rsid w:val="00F16996"/>
    <w:rsid w:val="00F17B30"/>
    <w:rsid w:val="00F31EA1"/>
    <w:rsid w:val="00F32F60"/>
    <w:rsid w:val="00F36A5F"/>
    <w:rsid w:val="00F46250"/>
    <w:rsid w:val="00F53208"/>
    <w:rsid w:val="00F53253"/>
    <w:rsid w:val="00F542C6"/>
    <w:rsid w:val="00F5518A"/>
    <w:rsid w:val="00F572E3"/>
    <w:rsid w:val="00F574B0"/>
    <w:rsid w:val="00F6324E"/>
    <w:rsid w:val="00F6398F"/>
    <w:rsid w:val="00F6443B"/>
    <w:rsid w:val="00F65169"/>
    <w:rsid w:val="00F70A45"/>
    <w:rsid w:val="00F73111"/>
    <w:rsid w:val="00F7455E"/>
    <w:rsid w:val="00F75B5B"/>
    <w:rsid w:val="00F75BB7"/>
    <w:rsid w:val="00F824A8"/>
    <w:rsid w:val="00F8627A"/>
    <w:rsid w:val="00F93B93"/>
    <w:rsid w:val="00F95170"/>
    <w:rsid w:val="00F96A2F"/>
    <w:rsid w:val="00FA0394"/>
    <w:rsid w:val="00FB0BB2"/>
    <w:rsid w:val="00FC01F1"/>
    <w:rsid w:val="00FC1963"/>
    <w:rsid w:val="00FC2760"/>
    <w:rsid w:val="00FC3A47"/>
    <w:rsid w:val="00FC650B"/>
    <w:rsid w:val="00FC7666"/>
    <w:rsid w:val="00FD5993"/>
    <w:rsid w:val="00FD61AD"/>
    <w:rsid w:val="00FE6A64"/>
    <w:rsid w:val="00FF130F"/>
    <w:rsid w:val="00FF1ACD"/>
    <w:rsid w:val="00FF1FD5"/>
    <w:rsid w:val="00FF5F36"/>
    <w:rsid w:val="0160034F"/>
    <w:rsid w:val="01AD1E8B"/>
    <w:rsid w:val="01BF5A50"/>
    <w:rsid w:val="01D136A9"/>
    <w:rsid w:val="01D303E3"/>
    <w:rsid w:val="01E46AB5"/>
    <w:rsid w:val="01EE19B6"/>
    <w:rsid w:val="01FE3C22"/>
    <w:rsid w:val="021639D3"/>
    <w:rsid w:val="02182ED7"/>
    <w:rsid w:val="02254CDF"/>
    <w:rsid w:val="02360C54"/>
    <w:rsid w:val="0250313B"/>
    <w:rsid w:val="025657AD"/>
    <w:rsid w:val="026003DA"/>
    <w:rsid w:val="02954528"/>
    <w:rsid w:val="02A145AD"/>
    <w:rsid w:val="030376EE"/>
    <w:rsid w:val="03070335"/>
    <w:rsid w:val="032A2EC2"/>
    <w:rsid w:val="034D6BB0"/>
    <w:rsid w:val="035118B1"/>
    <w:rsid w:val="036066C3"/>
    <w:rsid w:val="03BC5736"/>
    <w:rsid w:val="03C74493"/>
    <w:rsid w:val="03D746CC"/>
    <w:rsid w:val="041476CE"/>
    <w:rsid w:val="042C4895"/>
    <w:rsid w:val="046C12B8"/>
    <w:rsid w:val="04DE11CA"/>
    <w:rsid w:val="04EE7F1F"/>
    <w:rsid w:val="050647B6"/>
    <w:rsid w:val="056A6ABC"/>
    <w:rsid w:val="05B112DB"/>
    <w:rsid w:val="05C67ADA"/>
    <w:rsid w:val="05CD5D86"/>
    <w:rsid w:val="060914B4"/>
    <w:rsid w:val="06372749"/>
    <w:rsid w:val="063858F6"/>
    <w:rsid w:val="064A387B"/>
    <w:rsid w:val="065546FA"/>
    <w:rsid w:val="066F3664"/>
    <w:rsid w:val="06791E9A"/>
    <w:rsid w:val="068C3E93"/>
    <w:rsid w:val="068F128E"/>
    <w:rsid w:val="06A27213"/>
    <w:rsid w:val="06A5360A"/>
    <w:rsid w:val="06AD696B"/>
    <w:rsid w:val="06E17D3B"/>
    <w:rsid w:val="06F93C85"/>
    <w:rsid w:val="077767F3"/>
    <w:rsid w:val="07866B35"/>
    <w:rsid w:val="07A1396F"/>
    <w:rsid w:val="07CB520C"/>
    <w:rsid w:val="07E61381"/>
    <w:rsid w:val="07E84ACF"/>
    <w:rsid w:val="082D0D5E"/>
    <w:rsid w:val="08477A2E"/>
    <w:rsid w:val="08FC5C1D"/>
    <w:rsid w:val="09023F99"/>
    <w:rsid w:val="09410B96"/>
    <w:rsid w:val="094D16B8"/>
    <w:rsid w:val="09750A22"/>
    <w:rsid w:val="09B90AFC"/>
    <w:rsid w:val="0A17760E"/>
    <w:rsid w:val="0A217728"/>
    <w:rsid w:val="0A2C5771"/>
    <w:rsid w:val="0A375EC4"/>
    <w:rsid w:val="0A963EA9"/>
    <w:rsid w:val="0A99164E"/>
    <w:rsid w:val="0B012934"/>
    <w:rsid w:val="0B187AA4"/>
    <w:rsid w:val="0B282A04"/>
    <w:rsid w:val="0B297687"/>
    <w:rsid w:val="0B6C00AF"/>
    <w:rsid w:val="0BAE0408"/>
    <w:rsid w:val="0BBD3E6D"/>
    <w:rsid w:val="0BC701B3"/>
    <w:rsid w:val="0BCB1E8D"/>
    <w:rsid w:val="0BCB21E8"/>
    <w:rsid w:val="0BDC471D"/>
    <w:rsid w:val="0C160487"/>
    <w:rsid w:val="0C2C7CAB"/>
    <w:rsid w:val="0C2F32F7"/>
    <w:rsid w:val="0C6E4FD1"/>
    <w:rsid w:val="0C9873D3"/>
    <w:rsid w:val="0CC97D86"/>
    <w:rsid w:val="0CF85DDF"/>
    <w:rsid w:val="0D162AE4"/>
    <w:rsid w:val="0D6B4803"/>
    <w:rsid w:val="0D9E21A0"/>
    <w:rsid w:val="0DAB2E51"/>
    <w:rsid w:val="0DBF7672"/>
    <w:rsid w:val="0DDD0978"/>
    <w:rsid w:val="0DE14AC5"/>
    <w:rsid w:val="0DF93BBD"/>
    <w:rsid w:val="0E07608B"/>
    <w:rsid w:val="0E864B30"/>
    <w:rsid w:val="0EA0067C"/>
    <w:rsid w:val="0EC57F43"/>
    <w:rsid w:val="0EE43A7A"/>
    <w:rsid w:val="0EE71826"/>
    <w:rsid w:val="0F5D461F"/>
    <w:rsid w:val="0F7200CA"/>
    <w:rsid w:val="0FBB4FEC"/>
    <w:rsid w:val="0FD23122"/>
    <w:rsid w:val="0FF46D31"/>
    <w:rsid w:val="0FF74A34"/>
    <w:rsid w:val="0FFA3C1C"/>
    <w:rsid w:val="100F76D9"/>
    <w:rsid w:val="1018571C"/>
    <w:rsid w:val="101E3D8B"/>
    <w:rsid w:val="10613C9B"/>
    <w:rsid w:val="107240FA"/>
    <w:rsid w:val="10793E6A"/>
    <w:rsid w:val="109B71AD"/>
    <w:rsid w:val="10B3789B"/>
    <w:rsid w:val="10DC1574"/>
    <w:rsid w:val="11203B56"/>
    <w:rsid w:val="11507CD0"/>
    <w:rsid w:val="11630C0A"/>
    <w:rsid w:val="11B7030E"/>
    <w:rsid w:val="11C60F64"/>
    <w:rsid w:val="11D72467"/>
    <w:rsid w:val="11E84D8F"/>
    <w:rsid w:val="11E94254"/>
    <w:rsid w:val="11F8789F"/>
    <w:rsid w:val="120A1046"/>
    <w:rsid w:val="12197DDA"/>
    <w:rsid w:val="121D3BF2"/>
    <w:rsid w:val="12305BF2"/>
    <w:rsid w:val="1246139A"/>
    <w:rsid w:val="12780AB4"/>
    <w:rsid w:val="128F77A0"/>
    <w:rsid w:val="12C80A15"/>
    <w:rsid w:val="12CB7A50"/>
    <w:rsid w:val="12E024D3"/>
    <w:rsid w:val="12E106B0"/>
    <w:rsid w:val="130A23C8"/>
    <w:rsid w:val="1328362C"/>
    <w:rsid w:val="135C2D1E"/>
    <w:rsid w:val="13AF4D1D"/>
    <w:rsid w:val="13EC296F"/>
    <w:rsid w:val="14011CC8"/>
    <w:rsid w:val="140B289C"/>
    <w:rsid w:val="144A4A8F"/>
    <w:rsid w:val="145C30F7"/>
    <w:rsid w:val="14956609"/>
    <w:rsid w:val="14A53E9C"/>
    <w:rsid w:val="14B2010E"/>
    <w:rsid w:val="15075A95"/>
    <w:rsid w:val="152F51D9"/>
    <w:rsid w:val="15571BF4"/>
    <w:rsid w:val="15703208"/>
    <w:rsid w:val="15794927"/>
    <w:rsid w:val="157D3325"/>
    <w:rsid w:val="15DB004C"/>
    <w:rsid w:val="160D64CA"/>
    <w:rsid w:val="16A42B33"/>
    <w:rsid w:val="16AB2114"/>
    <w:rsid w:val="16DB62BD"/>
    <w:rsid w:val="16F23DE7"/>
    <w:rsid w:val="170519A2"/>
    <w:rsid w:val="170F26A3"/>
    <w:rsid w:val="17306175"/>
    <w:rsid w:val="173B3498"/>
    <w:rsid w:val="174A303A"/>
    <w:rsid w:val="17852DA9"/>
    <w:rsid w:val="17AF1790"/>
    <w:rsid w:val="17B22D7B"/>
    <w:rsid w:val="18090EA0"/>
    <w:rsid w:val="184F5FF1"/>
    <w:rsid w:val="18933380"/>
    <w:rsid w:val="18A60DE5"/>
    <w:rsid w:val="19017DC9"/>
    <w:rsid w:val="191510AD"/>
    <w:rsid w:val="199450E1"/>
    <w:rsid w:val="19AF1F1B"/>
    <w:rsid w:val="19BA6FA4"/>
    <w:rsid w:val="19C23C12"/>
    <w:rsid w:val="19CB76F3"/>
    <w:rsid w:val="19EC0A79"/>
    <w:rsid w:val="1A066407"/>
    <w:rsid w:val="1A0E6C42"/>
    <w:rsid w:val="1A310A59"/>
    <w:rsid w:val="1A98650B"/>
    <w:rsid w:val="1A9A04D5"/>
    <w:rsid w:val="1A9F40C1"/>
    <w:rsid w:val="1AD21A47"/>
    <w:rsid w:val="1B2F50C2"/>
    <w:rsid w:val="1B5B33D9"/>
    <w:rsid w:val="1B651D72"/>
    <w:rsid w:val="1BA03749"/>
    <w:rsid w:val="1BF754B3"/>
    <w:rsid w:val="1C055E22"/>
    <w:rsid w:val="1C063143"/>
    <w:rsid w:val="1C212711"/>
    <w:rsid w:val="1C827473"/>
    <w:rsid w:val="1CAE2016"/>
    <w:rsid w:val="1CCB0E1A"/>
    <w:rsid w:val="1CF85BE7"/>
    <w:rsid w:val="1D01483C"/>
    <w:rsid w:val="1D234E8D"/>
    <w:rsid w:val="1D336FC0"/>
    <w:rsid w:val="1D37200B"/>
    <w:rsid w:val="1D484219"/>
    <w:rsid w:val="1D6848BB"/>
    <w:rsid w:val="1D90796E"/>
    <w:rsid w:val="1DAB37BF"/>
    <w:rsid w:val="1DD37B1C"/>
    <w:rsid w:val="1DE81558"/>
    <w:rsid w:val="1DEA3522"/>
    <w:rsid w:val="1DF95513"/>
    <w:rsid w:val="1E0565AE"/>
    <w:rsid w:val="1E1A1B46"/>
    <w:rsid w:val="1E2A0473"/>
    <w:rsid w:val="1E343B94"/>
    <w:rsid w:val="1E650DFA"/>
    <w:rsid w:val="1E8E56B0"/>
    <w:rsid w:val="1EDF41B4"/>
    <w:rsid w:val="1EE241F9"/>
    <w:rsid w:val="1EF34658"/>
    <w:rsid w:val="1F413615"/>
    <w:rsid w:val="1F8452B0"/>
    <w:rsid w:val="1FC3227C"/>
    <w:rsid w:val="1FC65412"/>
    <w:rsid w:val="1FE24F5B"/>
    <w:rsid w:val="1FEE4CB6"/>
    <w:rsid w:val="203C1865"/>
    <w:rsid w:val="204809D3"/>
    <w:rsid w:val="20486A71"/>
    <w:rsid w:val="204F58BE"/>
    <w:rsid w:val="205B2837"/>
    <w:rsid w:val="208E0809"/>
    <w:rsid w:val="20CC33B3"/>
    <w:rsid w:val="2127683B"/>
    <w:rsid w:val="212D20A3"/>
    <w:rsid w:val="215A276C"/>
    <w:rsid w:val="219C543E"/>
    <w:rsid w:val="219E0449"/>
    <w:rsid w:val="21E40288"/>
    <w:rsid w:val="21E67457"/>
    <w:rsid w:val="22037385"/>
    <w:rsid w:val="224B23D2"/>
    <w:rsid w:val="22520DC7"/>
    <w:rsid w:val="225260A7"/>
    <w:rsid w:val="22561186"/>
    <w:rsid w:val="22960428"/>
    <w:rsid w:val="22995A95"/>
    <w:rsid w:val="22B13EF7"/>
    <w:rsid w:val="22C72083"/>
    <w:rsid w:val="22C95DFC"/>
    <w:rsid w:val="22DF73CD"/>
    <w:rsid w:val="22F877C4"/>
    <w:rsid w:val="23333912"/>
    <w:rsid w:val="23802FCC"/>
    <w:rsid w:val="239161EE"/>
    <w:rsid w:val="24150BCD"/>
    <w:rsid w:val="24431BDE"/>
    <w:rsid w:val="24575689"/>
    <w:rsid w:val="245C200C"/>
    <w:rsid w:val="247B4ED4"/>
    <w:rsid w:val="2494265D"/>
    <w:rsid w:val="24A97118"/>
    <w:rsid w:val="24AC1531"/>
    <w:rsid w:val="24CC2282"/>
    <w:rsid w:val="24D64800"/>
    <w:rsid w:val="24E707BB"/>
    <w:rsid w:val="251277F1"/>
    <w:rsid w:val="25136D15"/>
    <w:rsid w:val="25154E54"/>
    <w:rsid w:val="25401C79"/>
    <w:rsid w:val="254932B9"/>
    <w:rsid w:val="25C70FCD"/>
    <w:rsid w:val="25F53506"/>
    <w:rsid w:val="26123616"/>
    <w:rsid w:val="2658432A"/>
    <w:rsid w:val="265A4FBD"/>
    <w:rsid w:val="2677791D"/>
    <w:rsid w:val="268362C1"/>
    <w:rsid w:val="269E759F"/>
    <w:rsid w:val="26AF5308"/>
    <w:rsid w:val="26C16DEA"/>
    <w:rsid w:val="271C3CC2"/>
    <w:rsid w:val="273943FB"/>
    <w:rsid w:val="273C17A5"/>
    <w:rsid w:val="275F6D2E"/>
    <w:rsid w:val="27665239"/>
    <w:rsid w:val="278E4F1E"/>
    <w:rsid w:val="279D2FA9"/>
    <w:rsid w:val="27A86B58"/>
    <w:rsid w:val="27E45486"/>
    <w:rsid w:val="280276BA"/>
    <w:rsid w:val="285717B4"/>
    <w:rsid w:val="28CB3F50"/>
    <w:rsid w:val="28D952F2"/>
    <w:rsid w:val="290F7E49"/>
    <w:rsid w:val="29363ABF"/>
    <w:rsid w:val="29653C22"/>
    <w:rsid w:val="29FC1747"/>
    <w:rsid w:val="29FF6A30"/>
    <w:rsid w:val="2A22296A"/>
    <w:rsid w:val="2A265E07"/>
    <w:rsid w:val="2A2F3ABC"/>
    <w:rsid w:val="2A7C5EA5"/>
    <w:rsid w:val="2A7F1496"/>
    <w:rsid w:val="2A930A9D"/>
    <w:rsid w:val="2ABA24CE"/>
    <w:rsid w:val="2AF717E1"/>
    <w:rsid w:val="2B261911"/>
    <w:rsid w:val="2B440B60"/>
    <w:rsid w:val="2B6E57B1"/>
    <w:rsid w:val="2B7A69DC"/>
    <w:rsid w:val="2B830B12"/>
    <w:rsid w:val="2B9B22FF"/>
    <w:rsid w:val="2BF0264B"/>
    <w:rsid w:val="2C280C3B"/>
    <w:rsid w:val="2C303ACA"/>
    <w:rsid w:val="2C3B319A"/>
    <w:rsid w:val="2C5D75B5"/>
    <w:rsid w:val="2C8D005C"/>
    <w:rsid w:val="2D426ED6"/>
    <w:rsid w:val="2D4F33A1"/>
    <w:rsid w:val="2D627891"/>
    <w:rsid w:val="2D7A0017"/>
    <w:rsid w:val="2D8A380B"/>
    <w:rsid w:val="2DAC4350"/>
    <w:rsid w:val="2DAE4661"/>
    <w:rsid w:val="2DB15942"/>
    <w:rsid w:val="2DC01BA9"/>
    <w:rsid w:val="2DE82D56"/>
    <w:rsid w:val="2DFB7085"/>
    <w:rsid w:val="2E081658"/>
    <w:rsid w:val="2E7540FB"/>
    <w:rsid w:val="2E797950"/>
    <w:rsid w:val="2EB23BE8"/>
    <w:rsid w:val="2EC9187A"/>
    <w:rsid w:val="2EF7419D"/>
    <w:rsid w:val="2F1F5CE7"/>
    <w:rsid w:val="2F212B1B"/>
    <w:rsid w:val="2F3E61AE"/>
    <w:rsid w:val="2F701624"/>
    <w:rsid w:val="2FF21525"/>
    <w:rsid w:val="301710C7"/>
    <w:rsid w:val="305D4027"/>
    <w:rsid w:val="306058C5"/>
    <w:rsid w:val="306727B0"/>
    <w:rsid w:val="306D38DE"/>
    <w:rsid w:val="30804741"/>
    <w:rsid w:val="308C1FFE"/>
    <w:rsid w:val="309C4B4F"/>
    <w:rsid w:val="30A17469"/>
    <w:rsid w:val="30AA495D"/>
    <w:rsid w:val="30C3748F"/>
    <w:rsid w:val="30C50D88"/>
    <w:rsid w:val="30D35B87"/>
    <w:rsid w:val="30F46F58"/>
    <w:rsid w:val="31660CB9"/>
    <w:rsid w:val="3178368F"/>
    <w:rsid w:val="3186310A"/>
    <w:rsid w:val="31973569"/>
    <w:rsid w:val="319D671E"/>
    <w:rsid w:val="31A31F0E"/>
    <w:rsid w:val="31DD5420"/>
    <w:rsid w:val="31E83DC4"/>
    <w:rsid w:val="323963CE"/>
    <w:rsid w:val="3240150B"/>
    <w:rsid w:val="324803BF"/>
    <w:rsid w:val="32667C21"/>
    <w:rsid w:val="33437504"/>
    <w:rsid w:val="335334BF"/>
    <w:rsid w:val="337551E4"/>
    <w:rsid w:val="338B0713"/>
    <w:rsid w:val="33A11C48"/>
    <w:rsid w:val="33B119B1"/>
    <w:rsid w:val="33E918F7"/>
    <w:rsid w:val="33FA0B1E"/>
    <w:rsid w:val="34227B67"/>
    <w:rsid w:val="342C1119"/>
    <w:rsid w:val="3430517E"/>
    <w:rsid w:val="345777FA"/>
    <w:rsid w:val="346E05B1"/>
    <w:rsid w:val="348F6959"/>
    <w:rsid w:val="349D0E96"/>
    <w:rsid w:val="34C82ED9"/>
    <w:rsid w:val="34E1639F"/>
    <w:rsid w:val="34E57BDD"/>
    <w:rsid w:val="351A18B0"/>
    <w:rsid w:val="35365B33"/>
    <w:rsid w:val="35CF0519"/>
    <w:rsid w:val="361D72A7"/>
    <w:rsid w:val="36321AB2"/>
    <w:rsid w:val="36545B4F"/>
    <w:rsid w:val="368045CB"/>
    <w:rsid w:val="36AC3612"/>
    <w:rsid w:val="36DD37CC"/>
    <w:rsid w:val="36F8344F"/>
    <w:rsid w:val="375D6DCD"/>
    <w:rsid w:val="37DC7428"/>
    <w:rsid w:val="382310BE"/>
    <w:rsid w:val="38507FCD"/>
    <w:rsid w:val="38561A88"/>
    <w:rsid w:val="3926068E"/>
    <w:rsid w:val="3927511C"/>
    <w:rsid w:val="392E47B3"/>
    <w:rsid w:val="393D67A4"/>
    <w:rsid w:val="394E5BCB"/>
    <w:rsid w:val="394F7B57"/>
    <w:rsid w:val="39934616"/>
    <w:rsid w:val="39A24859"/>
    <w:rsid w:val="39A405D1"/>
    <w:rsid w:val="39A82FD8"/>
    <w:rsid w:val="39A95BE7"/>
    <w:rsid w:val="39CD2029"/>
    <w:rsid w:val="39CD7B28"/>
    <w:rsid w:val="39DE1F09"/>
    <w:rsid w:val="3A2C6493"/>
    <w:rsid w:val="3A304F3B"/>
    <w:rsid w:val="3A445238"/>
    <w:rsid w:val="3A707163"/>
    <w:rsid w:val="3A77613D"/>
    <w:rsid w:val="3A776764"/>
    <w:rsid w:val="3A7C32FC"/>
    <w:rsid w:val="3A862723"/>
    <w:rsid w:val="3AED2182"/>
    <w:rsid w:val="3B312AAE"/>
    <w:rsid w:val="3B693880"/>
    <w:rsid w:val="3B800EA0"/>
    <w:rsid w:val="3B86590E"/>
    <w:rsid w:val="3B9A7EDD"/>
    <w:rsid w:val="3C0E5DF8"/>
    <w:rsid w:val="3C1F6635"/>
    <w:rsid w:val="3C3025F0"/>
    <w:rsid w:val="3C335C3C"/>
    <w:rsid w:val="3C452863"/>
    <w:rsid w:val="3C9500E8"/>
    <w:rsid w:val="3C9E1C4F"/>
    <w:rsid w:val="3C9E57AB"/>
    <w:rsid w:val="3D202664"/>
    <w:rsid w:val="3D3B749E"/>
    <w:rsid w:val="3D6D0279"/>
    <w:rsid w:val="3D7C378A"/>
    <w:rsid w:val="3D9A72B8"/>
    <w:rsid w:val="3DB335B8"/>
    <w:rsid w:val="3DF17B5D"/>
    <w:rsid w:val="3E3A1504"/>
    <w:rsid w:val="3E614CE2"/>
    <w:rsid w:val="3E9B36AB"/>
    <w:rsid w:val="3E9C21BE"/>
    <w:rsid w:val="3EB750BD"/>
    <w:rsid w:val="3ECC2AA4"/>
    <w:rsid w:val="3EE002FD"/>
    <w:rsid w:val="3F0F2990"/>
    <w:rsid w:val="3F3348D1"/>
    <w:rsid w:val="3F4343E8"/>
    <w:rsid w:val="3F4C14EF"/>
    <w:rsid w:val="3F6D1E4A"/>
    <w:rsid w:val="3F945626"/>
    <w:rsid w:val="3FA05CDE"/>
    <w:rsid w:val="3FAC755C"/>
    <w:rsid w:val="3FB34C03"/>
    <w:rsid w:val="3FBD419A"/>
    <w:rsid w:val="3FF266C0"/>
    <w:rsid w:val="401D2E8B"/>
    <w:rsid w:val="406D032D"/>
    <w:rsid w:val="407469B6"/>
    <w:rsid w:val="408514D1"/>
    <w:rsid w:val="40855E87"/>
    <w:rsid w:val="40955117"/>
    <w:rsid w:val="41264BEF"/>
    <w:rsid w:val="414C139B"/>
    <w:rsid w:val="414D77A0"/>
    <w:rsid w:val="415154E2"/>
    <w:rsid w:val="41665FC1"/>
    <w:rsid w:val="4168282C"/>
    <w:rsid w:val="416975CD"/>
    <w:rsid w:val="4177481D"/>
    <w:rsid w:val="418036D2"/>
    <w:rsid w:val="41952503"/>
    <w:rsid w:val="419D4283"/>
    <w:rsid w:val="419F0CB2"/>
    <w:rsid w:val="41D8350E"/>
    <w:rsid w:val="422732F2"/>
    <w:rsid w:val="422C3859"/>
    <w:rsid w:val="4250579A"/>
    <w:rsid w:val="42594B93"/>
    <w:rsid w:val="429531AD"/>
    <w:rsid w:val="42D737C5"/>
    <w:rsid w:val="42DB6C41"/>
    <w:rsid w:val="42DC0DDB"/>
    <w:rsid w:val="430E28CE"/>
    <w:rsid w:val="43317C7B"/>
    <w:rsid w:val="433320BA"/>
    <w:rsid w:val="433606B6"/>
    <w:rsid w:val="434E194B"/>
    <w:rsid w:val="43574906"/>
    <w:rsid w:val="43803E5D"/>
    <w:rsid w:val="438356FB"/>
    <w:rsid w:val="438F07BD"/>
    <w:rsid w:val="43CE1F27"/>
    <w:rsid w:val="43CF26EE"/>
    <w:rsid w:val="441B3B85"/>
    <w:rsid w:val="446C2633"/>
    <w:rsid w:val="448D4A83"/>
    <w:rsid w:val="44D51845"/>
    <w:rsid w:val="44FD725C"/>
    <w:rsid w:val="451E1923"/>
    <w:rsid w:val="452D591E"/>
    <w:rsid w:val="453018B3"/>
    <w:rsid w:val="454B049A"/>
    <w:rsid w:val="45722501"/>
    <w:rsid w:val="45A16FB6"/>
    <w:rsid w:val="45B20519"/>
    <w:rsid w:val="45F43919"/>
    <w:rsid w:val="45F4493C"/>
    <w:rsid w:val="46454EEA"/>
    <w:rsid w:val="4654337F"/>
    <w:rsid w:val="46651908"/>
    <w:rsid w:val="466E0ECC"/>
    <w:rsid w:val="46737CA9"/>
    <w:rsid w:val="468E13BF"/>
    <w:rsid w:val="468F4EA6"/>
    <w:rsid w:val="468F56AB"/>
    <w:rsid w:val="469813B7"/>
    <w:rsid w:val="46A75A52"/>
    <w:rsid w:val="46B510B5"/>
    <w:rsid w:val="46B662D7"/>
    <w:rsid w:val="472F782B"/>
    <w:rsid w:val="4737441D"/>
    <w:rsid w:val="47707BFB"/>
    <w:rsid w:val="47972C38"/>
    <w:rsid w:val="47975C19"/>
    <w:rsid w:val="47A07772"/>
    <w:rsid w:val="47C22C96"/>
    <w:rsid w:val="4831683C"/>
    <w:rsid w:val="484833D1"/>
    <w:rsid w:val="484C47CD"/>
    <w:rsid w:val="485B2DA0"/>
    <w:rsid w:val="48712F45"/>
    <w:rsid w:val="48C26CC5"/>
    <w:rsid w:val="4928157F"/>
    <w:rsid w:val="49993098"/>
    <w:rsid w:val="49CD76D0"/>
    <w:rsid w:val="49E60F60"/>
    <w:rsid w:val="49ED32D5"/>
    <w:rsid w:val="4A0E7992"/>
    <w:rsid w:val="4A161077"/>
    <w:rsid w:val="4A1672C9"/>
    <w:rsid w:val="4A2D016F"/>
    <w:rsid w:val="4A8A3813"/>
    <w:rsid w:val="4A9F0A04"/>
    <w:rsid w:val="4AC05487"/>
    <w:rsid w:val="4B105AC6"/>
    <w:rsid w:val="4B157580"/>
    <w:rsid w:val="4B2D6A25"/>
    <w:rsid w:val="4B3B04AE"/>
    <w:rsid w:val="4B985ABC"/>
    <w:rsid w:val="4BA12BC2"/>
    <w:rsid w:val="4BA6642B"/>
    <w:rsid w:val="4BB97515"/>
    <w:rsid w:val="4BD60504"/>
    <w:rsid w:val="4BEA0A2F"/>
    <w:rsid w:val="4BFF7542"/>
    <w:rsid w:val="4C15710C"/>
    <w:rsid w:val="4C6F0F12"/>
    <w:rsid w:val="4C95336A"/>
    <w:rsid w:val="4CEB4DF7"/>
    <w:rsid w:val="4D1D44CA"/>
    <w:rsid w:val="4D221AE1"/>
    <w:rsid w:val="4D357A66"/>
    <w:rsid w:val="4D4001B9"/>
    <w:rsid w:val="4D661B5A"/>
    <w:rsid w:val="4D867202"/>
    <w:rsid w:val="4DAE4BF7"/>
    <w:rsid w:val="4DFC0584"/>
    <w:rsid w:val="4E255D2C"/>
    <w:rsid w:val="4E4748F4"/>
    <w:rsid w:val="4E555EE6"/>
    <w:rsid w:val="4E962786"/>
    <w:rsid w:val="4EAD5D22"/>
    <w:rsid w:val="4EAE67D6"/>
    <w:rsid w:val="4ED211ED"/>
    <w:rsid w:val="4ED24FA6"/>
    <w:rsid w:val="4EFE032C"/>
    <w:rsid w:val="4F380302"/>
    <w:rsid w:val="4F4A531F"/>
    <w:rsid w:val="4F587A3C"/>
    <w:rsid w:val="4F7156E6"/>
    <w:rsid w:val="4F78055B"/>
    <w:rsid w:val="4F820F5D"/>
    <w:rsid w:val="4FB14184"/>
    <w:rsid w:val="4FD57A42"/>
    <w:rsid w:val="4FE36307"/>
    <w:rsid w:val="50131027"/>
    <w:rsid w:val="509E5922"/>
    <w:rsid w:val="50B66869"/>
    <w:rsid w:val="50C736F1"/>
    <w:rsid w:val="50CC248F"/>
    <w:rsid w:val="50DE0A30"/>
    <w:rsid w:val="51481DCD"/>
    <w:rsid w:val="514F30A5"/>
    <w:rsid w:val="51C21AE4"/>
    <w:rsid w:val="51E342BC"/>
    <w:rsid w:val="51F05581"/>
    <w:rsid w:val="52302EF2"/>
    <w:rsid w:val="526A53C9"/>
    <w:rsid w:val="52876B3A"/>
    <w:rsid w:val="52B00366"/>
    <w:rsid w:val="52DE3C62"/>
    <w:rsid w:val="52EB5448"/>
    <w:rsid w:val="532262B3"/>
    <w:rsid w:val="534C78B7"/>
    <w:rsid w:val="53647F54"/>
    <w:rsid w:val="536C5862"/>
    <w:rsid w:val="5373753A"/>
    <w:rsid w:val="5376755F"/>
    <w:rsid w:val="537B019D"/>
    <w:rsid w:val="53882EF5"/>
    <w:rsid w:val="53937294"/>
    <w:rsid w:val="53937C78"/>
    <w:rsid w:val="53A96AB8"/>
    <w:rsid w:val="53B27AA2"/>
    <w:rsid w:val="53F56FDD"/>
    <w:rsid w:val="540A3D6B"/>
    <w:rsid w:val="54105885"/>
    <w:rsid w:val="5459613F"/>
    <w:rsid w:val="545C32C3"/>
    <w:rsid w:val="54774E08"/>
    <w:rsid w:val="547F5A6B"/>
    <w:rsid w:val="54E16725"/>
    <w:rsid w:val="554967A4"/>
    <w:rsid w:val="555A336D"/>
    <w:rsid w:val="555C7B5A"/>
    <w:rsid w:val="556A04C9"/>
    <w:rsid w:val="55A41C2D"/>
    <w:rsid w:val="55BD0103"/>
    <w:rsid w:val="55DA38A0"/>
    <w:rsid w:val="55F1262A"/>
    <w:rsid w:val="561F3061"/>
    <w:rsid w:val="56310FE7"/>
    <w:rsid w:val="5632283D"/>
    <w:rsid w:val="56867584"/>
    <w:rsid w:val="56B55774"/>
    <w:rsid w:val="56BC6B02"/>
    <w:rsid w:val="56CE6835"/>
    <w:rsid w:val="56F3741E"/>
    <w:rsid w:val="56FC7846"/>
    <w:rsid w:val="570010E5"/>
    <w:rsid w:val="57743881"/>
    <w:rsid w:val="577E46FF"/>
    <w:rsid w:val="577E64AD"/>
    <w:rsid w:val="57831D16"/>
    <w:rsid w:val="578A30A4"/>
    <w:rsid w:val="57923F19"/>
    <w:rsid w:val="57A37CC2"/>
    <w:rsid w:val="5831536C"/>
    <w:rsid w:val="58417C07"/>
    <w:rsid w:val="584D32AD"/>
    <w:rsid w:val="58507E4A"/>
    <w:rsid w:val="5858090E"/>
    <w:rsid w:val="597C18C5"/>
    <w:rsid w:val="59900212"/>
    <w:rsid w:val="59905953"/>
    <w:rsid w:val="59C30CC7"/>
    <w:rsid w:val="59CB0C4C"/>
    <w:rsid w:val="59E7033A"/>
    <w:rsid w:val="59E91789"/>
    <w:rsid w:val="59EC6821"/>
    <w:rsid w:val="5A00764E"/>
    <w:rsid w:val="5A096502"/>
    <w:rsid w:val="5A0F163F"/>
    <w:rsid w:val="5A136B79"/>
    <w:rsid w:val="5A483280"/>
    <w:rsid w:val="5A5F4374"/>
    <w:rsid w:val="5A6F2623"/>
    <w:rsid w:val="5A7140A7"/>
    <w:rsid w:val="5A7D0C9E"/>
    <w:rsid w:val="5A8D235A"/>
    <w:rsid w:val="5AA05C4C"/>
    <w:rsid w:val="5ABE7EC5"/>
    <w:rsid w:val="5AC74DF8"/>
    <w:rsid w:val="5ADC3C17"/>
    <w:rsid w:val="5AE9124A"/>
    <w:rsid w:val="5B022F52"/>
    <w:rsid w:val="5B2B4256"/>
    <w:rsid w:val="5B4812AC"/>
    <w:rsid w:val="5B693DA5"/>
    <w:rsid w:val="5B714FF3"/>
    <w:rsid w:val="5B920B84"/>
    <w:rsid w:val="5BB16E51"/>
    <w:rsid w:val="5BE46BF3"/>
    <w:rsid w:val="5C7D31D8"/>
    <w:rsid w:val="5C813644"/>
    <w:rsid w:val="5C8E0F41"/>
    <w:rsid w:val="5C9D2F32"/>
    <w:rsid w:val="5CC9164A"/>
    <w:rsid w:val="5CD67D5B"/>
    <w:rsid w:val="5CE30A0E"/>
    <w:rsid w:val="5CFD7E74"/>
    <w:rsid w:val="5D123920"/>
    <w:rsid w:val="5D290C69"/>
    <w:rsid w:val="5D3805C2"/>
    <w:rsid w:val="5D415FB3"/>
    <w:rsid w:val="5D4B0E00"/>
    <w:rsid w:val="5D8F563D"/>
    <w:rsid w:val="5DC13151"/>
    <w:rsid w:val="5DCC7F73"/>
    <w:rsid w:val="5E3B430B"/>
    <w:rsid w:val="5EB020A9"/>
    <w:rsid w:val="5EB15722"/>
    <w:rsid w:val="5EDB5F93"/>
    <w:rsid w:val="5F785423"/>
    <w:rsid w:val="5F9F5213"/>
    <w:rsid w:val="5FD53742"/>
    <w:rsid w:val="60207DAE"/>
    <w:rsid w:val="603B13E0"/>
    <w:rsid w:val="603E705D"/>
    <w:rsid w:val="6098238E"/>
    <w:rsid w:val="6122656D"/>
    <w:rsid w:val="612C2AD6"/>
    <w:rsid w:val="6134036B"/>
    <w:rsid w:val="61AB7E9F"/>
    <w:rsid w:val="62015D11"/>
    <w:rsid w:val="621A3249"/>
    <w:rsid w:val="625F7FE4"/>
    <w:rsid w:val="62670B6C"/>
    <w:rsid w:val="6280132C"/>
    <w:rsid w:val="628E2F58"/>
    <w:rsid w:val="629D1EDE"/>
    <w:rsid w:val="62B2513E"/>
    <w:rsid w:val="62C9714A"/>
    <w:rsid w:val="62D91574"/>
    <w:rsid w:val="62E2045A"/>
    <w:rsid w:val="62E428C6"/>
    <w:rsid w:val="62E53885"/>
    <w:rsid w:val="631329B2"/>
    <w:rsid w:val="633B165F"/>
    <w:rsid w:val="634342D2"/>
    <w:rsid w:val="63514062"/>
    <w:rsid w:val="635428C5"/>
    <w:rsid w:val="636E440A"/>
    <w:rsid w:val="63AB687C"/>
    <w:rsid w:val="63AD0D84"/>
    <w:rsid w:val="63AE1EC8"/>
    <w:rsid w:val="63B14C75"/>
    <w:rsid w:val="63BB47D2"/>
    <w:rsid w:val="63CB65D6"/>
    <w:rsid w:val="64044497"/>
    <w:rsid w:val="64281C7B"/>
    <w:rsid w:val="64572560"/>
    <w:rsid w:val="647153D0"/>
    <w:rsid w:val="648C045C"/>
    <w:rsid w:val="64FE4BAE"/>
    <w:rsid w:val="650224CC"/>
    <w:rsid w:val="65042353"/>
    <w:rsid w:val="653D0E45"/>
    <w:rsid w:val="654E0916"/>
    <w:rsid w:val="658669F4"/>
    <w:rsid w:val="659550EE"/>
    <w:rsid w:val="65970F25"/>
    <w:rsid w:val="65A417CF"/>
    <w:rsid w:val="65CE37BB"/>
    <w:rsid w:val="65D33BEF"/>
    <w:rsid w:val="66066A46"/>
    <w:rsid w:val="660E413B"/>
    <w:rsid w:val="66171FA7"/>
    <w:rsid w:val="661A3845"/>
    <w:rsid w:val="661C136B"/>
    <w:rsid w:val="661F2C0A"/>
    <w:rsid w:val="66217E8B"/>
    <w:rsid w:val="6655163E"/>
    <w:rsid w:val="667B50FD"/>
    <w:rsid w:val="668928D1"/>
    <w:rsid w:val="66AB26EF"/>
    <w:rsid w:val="66C00C96"/>
    <w:rsid w:val="66D641C2"/>
    <w:rsid w:val="66DF271A"/>
    <w:rsid w:val="66EA1469"/>
    <w:rsid w:val="676A25AA"/>
    <w:rsid w:val="677D408C"/>
    <w:rsid w:val="67885037"/>
    <w:rsid w:val="67AC4971"/>
    <w:rsid w:val="67B664BE"/>
    <w:rsid w:val="67B850C4"/>
    <w:rsid w:val="67E75CF4"/>
    <w:rsid w:val="68555008"/>
    <w:rsid w:val="685C6397"/>
    <w:rsid w:val="68633281"/>
    <w:rsid w:val="687E455F"/>
    <w:rsid w:val="688D0519"/>
    <w:rsid w:val="68CD2DF1"/>
    <w:rsid w:val="68D221B5"/>
    <w:rsid w:val="68D30FAC"/>
    <w:rsid w:val="68D67A43"/>
    <w:rsid w:val="69046561"/>
    <w:rsid w:val="69091CE9"/>
    <w:rsid w:val="69254015"/>
    <w:rsid w:val="69601EB7"/>
    <w:rsid w:val="6967051E"/>
    <w:rsid w:val="69690D6B"/>
    <w:rsid w:val="697B284D"/>
    <w:rsid w:val="69D51B95"/>
    <w:rsid w:val="69DD52B6"/>
    <w:rsid w:val="69F50851"/>
    <w:rsid w:val="6A086CD6"/>
    <w:rsid w:val="6A202A38"/>
    <w:rsid w:val="6A331379"/>
    <w:rsid w:val="6A6D03E7"/>
    <w:rsid w:val="6A8201FA"/>
    <w:rsid w:val="6AD25C1C"/>
    <w:rsid w:val="6AFE54E3"/>
    <w:rsid w:val="6B0928CD"/>
    <w:rsid w:val="6B8A2ECC"/>
    <w:rsid w:val="6BA804EE"/>
    <w:rsid w:val="6BA860F4"/>
    <w:rsid w:val="6BB9765C"/>
    <w:rsid w:val="6BE14931"/>
    <w:rsid w:val="6BE91CF0"/>
    <w:rsid w:val="6BEA5A68"/>
    <w:rsid w:val="6BFE6453"/>
    <w:rsid w:val="6C14241E"/>
    <w:rsid w:val="6C455545"/>
    <w:rsid w:val="6C5E2F20"/>
    <w:rsid w:val="6CC16B88"/>
    <w:rsid w:val="6CE002BF"/>
    <w:rsid w:val="6D230A80"/>
    <w:rsid w:val="6D265699"/>
    <w:rsid w:val="6D605FE2"/>
    <w:rsid w:val="6D6A6E60"/>
    <w:rsid w:val="6DE85FD7"/>
    <w:rsid w:val="6E47372B"/>
    <w:rsid w:val="6E506D49"/>
    <w:rsid w:val="6E5D6D8A"/>
    <w:rsid w:val="6E9E7C3E"/>
    <w:rsid w:val="6EAD62A3"/>
    <w:rsid w:val="6ED64A06"/>
    <w:rsid w:val="6ED902B3"/>
    <w:rsid w:val="6F493653"/>
    <w:rsid w:val="6F887A72"/>
    <w:rsid w:val="6F9B5E2B"/>
    <w:rsid w:val="6FDE58E3"/>
    <w:rsid w:val="701F03D6"/>
    <w:rsid w:val="706C1141"/>
    <w:rsid w:val="709F5292"/>
    <w:rsid w:val="70BB1B3E"/>
    <w:rsid w:val="71414959"/>
    <w:rsid w:val="71472673"/>
    <w:rsid w:val="71640818"/>
    <w:rsid w:val="717209D9"/>
    <w:rsid w:val="71887C3A"/>
    <w:rsid w:val="71A30B93"/>
    <w:rsid w:val="71B903B6"/>
    <w:rsid w:val="71BE5D07"/>
    <w:rsid w:val="71C9278B"/>
    <w:rsid w:val="71D376CA"/>
    <w:rsid w:val="71DE1BCB"/>
    <w:rsid w:val="720F447A"/>
    <w:rsid w:val="72545C55"/>
    <w:rsid w:val="72684C3E"/>
    <w:rsid w:val="728051FF"/>
    <w:rsid w:val="72DC5216"/>
    <w:rsid w:val="73012015"/>
    <w:rsid w:val="7309711B"/>
    <w:rsid w:val="73191209"/>
    <w:rsid w:val="731B002B"/>
    <w:rsid w:val="73434607"/>
    <w:rsid w:val="73932BC2"/>
    <w:rsid w:val="73964909"/>
    <w:rsid w:val="73B01345"/>
    <w:rsid w:val="73C93600"/>
    <w:rsid w:val="73D921C4"/>
    <w:rsid w:val="742C30C1"/>
    <w:rsid w:val="74503106"/>
    <w:rsid w:val="745C7D6C"/>
    <w:rsid w:val="74683C8F"/>
    <w:rsid w:val="74795BDB"/>
    <w:rsid w:val="749112CA"/>
    <w:rsid w:val="74A54E21"/>
    <w:rsid w:val="74C73F4D"/>
    <w:rsid w:val="75444DB8"/>
    <w:rsid w:val="755F74C6"/>
    <w:rsid w:val="75705230"/>
    <w:rsid w:val="757403BC"/>
    <w:rsid w:val="761402B1"/>
    <w:rsid w:val="76277FE4"/>
    <w:rsid w:val="76326989"/>
    <w:rsid w:val="76645F0C"/>
    <w:rsid w:val="76672620"/>
    <w:rsid w:val="766B05BB"/>
    <w:rsid w:val="769E55DA"/>
    <w:rsid w:val="76BA03D5"/>
    <w:rsid w:val="76C9109B"/>
    <w:rsid w:val="76E01F41"/>
    <w:rsid w:val="76E47C83"/>
    <w:rsid w:val="76EC6B38"/>
    <w:rsid w:val="76F4407F"/>
    <w:rsid w:val="774E379A"/>
    <w:rsid w:val="777F5BFE"/>
    <w:rsid w:val="77BA605B"/>
    <w:rsid w:val="78302AF9"/>
    <w:rsid w:val="78485FF0"/>
    <w:rsid w:val="785250C1"/>
    <w:rsid w:val="78977375"/>
    <w:rsid w:val="78CE23CE"/>
    <w:rsid w:val="78EF0001"/>
    <w:rsid w:val="797F1EE5"/>
    <w:rsid w:val="79C96EB1"/>
    <w:rsid w:val="79F71A7C"/>
    <w:rsid w:val="79FC3536"/>
    <w:rsid w:val="7A122D59"/>
    <w:rsid w:val="7A3251AA"/>
    <w:rsid w:val="7A3D1136"/>
    <w:rsid w:val="7AAB2866"/>
    <w:rsid w:val="7ACB4CB6"/>
    <w:rsid w:val="7AE83ABA"/>
    <w:rsid w:val="7B2C7682"/>
    <w:rsid w:val="7B7A2964"/>
    <w:rsid w:val="7B902188"/>
    <w:rsid w:val="7BBA5457"/>
    <w:rsid w:val="7BBC2F7D"/>
    <w:rsid w:val="7BD15B74"/>
    <w:rsid w:val="7BE94620"/>
    <w:rsid w:val="7C174C87"/>
    <w:rsid w:val="7C290372"/>
    <w:rsid w:val="7C4D1E27"/>
    <w:rsid w:val="7C5C650E"/>
    <w:rsid w:val="7C605FFE"/>
    <w:rsid w:val="7CAC1243"/>
    <w:rsid w:val="7CC320E9"/>
    <w:rsid w:val="7CCA16C9"/>
    <w:rsid w:val="7CE3278B"/>
    <w:rsid w:val="7D342FE7"/>
    <w:rsid w:val="7D4274B2"/>
    <w:rsid w:val="7D450D50"/>
    <w:rsid w:val="7D8B0B6B"/>
    <w:rsid w:val="7D9F4904"/>
    <w:rsid w:val="7DC8084B"/>
    <w:rsid w:val="7DD82F61"/>
    <w:rsid w:val="7DDD542C"/>
    <w:rsid w:val="7DE858A5"/>
    <w:rsid w:val="7E0E55E6"/>
    <w:rsid w:val="7E2453C6"/>
    <w:rsid w:val="7E896090"/>
    <w:rsid w:val="7EAA0BE4"/>
    <w:rsid w:val="7EAD1A12"/>
    <w:rsid w:val="7ED00AED"/>
    <w:rsid w:val="7EDA5815"/>
    <w:rsid w:val="7F0B7D77"/>
    <w:rsid w:val="7F833DB1"/>
    <w:rsid w:val="7FBB354B"/>
    <w:rsid w:val="7FD716D2"/>
    <w:rsid w:val="7FF052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8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6"/>
    <w:autoRedefine/>
    <w:qFormat/>
    <w:uiPriority w:val="0"/>
    <w:pPr>
      <w:keepNext/>
      <w:keepLines/>
      <w:spacing w:before="340" w:after="330" w:line="576" w:lineRule="auto"/>
      <w:outlineLvl w:val="0"/>
    </w:pPr>
    <w:rPr>
      <w:rFonts w:ascii="Times New Roman" w:hAnsi="Times New Roman" w:eastAsia="宋体" w:cs="Times New Roman"/>
      <w:b/>
      <w:kern w:val="44"/>
      <w:sz w:val="44"/>
      <w:szCs w:val="20"/>
    </w:rPr>
  </w:style>
  <w:style w:type="paragraph" w:styleId="4">
    <w:name w:val="heading 2"/>
    <w:basedOn w:val="1"/>
    <w:next w:val="1"/>
    <w:link w:val="37"/>
    <w:qFormat/>
    <w:uiPriority w:val="0"/>
    <w:pPr>
      <w:keepNext/>
      <w:keepLines/>
      <w:spacing w:before="260" w:after="260" w:line="413" w:lineRule="auto"/>
      <w:outlineLvl w:val="1"/>
    </w:pPr>
    <w:rPr>
      <w:rFonts w:ascii="Arial" w:hAnsi="Arial" w:eastAsia="黑体" w:cs="Times New Roman"/>
      <w:b/>
      <w:sz w:val="32"/>
      <w:szCs w:val="20"/>
    </w:rPr>
  </w:style>
  <w:style w:type="paragraph" w:styleId="5">
    <w:name w:val="heading 3"/>
    <w:basedOn w:val="1"/>
    <w:next w:val="1"/>
    <w:link w:val="38"/>
    <w:qFormat/>
    <w:uiPriority w:val="0"/>
    <w:pPr>
      <w:keepNext/>
      <w:keepLines/>
      <w:spacing w:before="260" w:after="260" w:line="413" w:lineRule="auto"/>
      <w:outlineLvl w:val="2"/>
    </w:pPr>
    <w:rPr>
      <w:rFonts w:ascii="Times New Roman" w:hAnsi="Times New Roman" w:eastAsia="宋体" w:cs="Times New Roman"/>
      <w:b/>
      <w:sz w:val="32"/>
      <w:szCs w:val="20"/>
    </w:rPr>
  </w:style>
  <w:style w:type="paragraph" w:styleId="6">
    <w:name w:val="heading 4"/>
    <w:basedOn w:val="1"/>
    <w:next w:val="1"/>
    <w:link w:val="39"/>
    <w:qFormat/>
    <w:uiPriority w:val="0"/>
    <w:pPr>
      <w:keepNext/>
      <w:keepLines/>
      <w:spacing w:before="280" w:after="290" w:line="372" w:lineRule="auto"/>
      <w:outlineLvl w:val="3"/>
    </w:pPr>
    <w:rPr>
      <w:rFonts w:ascii="Arial" w:hAnsi="Arial" w:eastAsia="黑体" w:cs="Times New Roman"/>
      <w:b/>
      <w:sz w:val="28"/>
      <w:szCs w:val="20"/>
    </w:rPr>
  </w:style>
  <w:style w:type="paragraph" w:styleId="7">
    <w:name w:val="heading 5"/>
    <w:basedOn w:val="1"/>
    <w:next w:val="1"/>
    <w:link w:val="40"/>
    <w:qFormat/>
    <w:uiPriority w:val="0"/>
    <w:pPr>
      <w:keepNext/>
      <w:keepLines/>
      <w:spacing w:before="280" w:after="290" w:line="372" w:lineRule="auto"/>
      <w:outlineLvl w:val="4"/>
    </w:pPr>
    <w:rPr>
      <w:rFonts w:ascii="Times New Roman" w:hAnsi="Times New Roman" w:eastAsia="宋体" w:cs="Times New Roman"/>
      <w:b/>
      <w:sz w:val="28"/>
      <w:szCs w:val="20"/>
    </w:rPr>
  </w:style>
  <w:style w:type="paragraph" w:styleId="8">
    <w:name w:val="heading 6"/>
    <w:basedOn w:val="1"/>
    <w:next w:val="1"/>
    <w:link w:val="41"/>
    <w:qFormat/>
    <w:uiPriority w:val="0"/>
    <w:pPr>
      <w:keepNext/>
      <w:keepLines/>
      <w:spacing w:before="240" w:after="64" w:line="317" w:lineRule="auto"/>
      <w:outlineLvl w:val="5"/>
    </w:pPr>
    <w:rPr>
      <w:rFonts w:ascii="Arial" w:hAnsi="Arial" w:eastAsia="黑体" w:cs="Times New Roman"/>
      <w:b/>
      <w:sz w:val="24"/>
      <w:szCs w:val="20"/>
    </w:rPr>
  </w:style>
  <w:style w:type="paragraph" w:styleId="9">
    <w:name w:val="heading 7"/>
    <w:basedOn w:val="1"/>
    <w:next w:val="1"/>
    <w:link w:val="42"/>
    <w:qFormat/>
    <w:uiPriority w:val="0"/>
    <w:pPr>
      <w:keepNext/>
      <w:keepLines/>
      <w:spacing w:before="240" w:after="64" w:line="317" w:lineRule="auto"/>
      <w:outlineLvl w:val="6"/>
    </w:pPr>
    <w:rPr>
      <w:rFonts w:ascii="Times New Roman" w:hAnsi="Times New Roman" w:eastAsia="宋体" w:cs="Times New Roman"/>
      <w:b/>
      <w:sz w:val="24"/>
      <w:szCs w:val="20"/>
    </w:rPr>
  </w:style>
  <w:style w:type="paragraph" w:styleId="10">
    <w:name w:val="heading 8"/>
    <w:basedOn w:val="1"/>
    <w:next w:val="1"/>
    <w:link w:val="43"/>
    <w:qFormat/>
    <w:uiPriority w:val="0"/>
    <w:pPr>
      <w:keepNext/>
      <w:keepLines/>
      <w:spacing w:before="240" w:after="64" w:line="317" w:lineRule="auto"/>
      <w:outlineLvl w:val="7"/>
    </w:pPr>
    <w:rPr>
      <w:rFonts w:ascii="Arial" w:hAnsi="Arial" w:eastAsia="黑体" w:cs="Times New Roman"/>
      <w:sz w:val="24"/>
      <w:szCs w:val="20"/>
    </w:rPr>
  </w:style>
  <w:style w:type="paragraph" w:styleId="11">
    <w:name w:val="heading 9"/>
    <w:basedOn w:val="1"/>
    <w:next w:val="1"/>
    <w:link w:val="44"/>
    <w:qFormat/>
    <w:uiPriority w:val="0"/>
    <w:pPr>
      <w:keepNext/>
      <w:keepLines/>
      <w:spacing w:before="240" w:after="64" w:line="317" w:lineRule="auto"/>
      <w:outlineLvl w:val="8"/>
    </w:pPr>
    <w:rPr>
      <w:rFonts w:ascii="Arial" w:hAnsi="Arial" w:eastAsia="黑体" w:cs="Times New Roman"/>
      <w:szCs w:val="20"/>
    </w:rPr>
  </w:style>
  <w:style w:type="character" w:default="1" w:styleId="29">
    <w:name w:val="Default Paragraph Font"/>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46"/>
    <w:qFormat/>
    <w:uiPriority w:val="0"/>
    <w:rPr>
      <w:rFonts w:ascii="Times New Roman" w:hAnsi="Times New Roman" w:eastAsia="宋体" w:cs="Times New Roman"/>
      <w:sz w:val="20"/>
      <w:szCs w:val="20"/>
    </w:rPr>
  </w:style>
  <w:style w:type="paragraph" w:styleId="12">
    <w:name w:val="table of authorities"/>
    <w:basedOn w:val="1"/>
    <w:next w:val="1"/>
    <w:qFormat/>
    <w:uiPriority w:val="0"/>
    <w:pPr>
      <w:ind w:left="420" w:leftChars="200"/>
    </w:pPr>
  </w:style>
  <w:style w:type="paragraph" w:styleId="13">
    <w:name w:val="Normal Indent"/>
    <w:basedOn w:val="1"/>
    <w:unhideWhenUsed/>
    <w:qFormat/>
    <w:uiPriority w:val="0"/>
    <w:pPr>
      <w:ind w:firstLine="420" w:firstLineChars="200"/>
    </w:pPr>
  </w:style>
  <w:style w:type="paragraph" w:styleId="14">
    <w:name w:val="annotation text"/>
    <w:basedOn w:val="1"/>
    <w:link w:val="53"/>
    <w:qFormat/>
    <w:uiPriority w:val="0"/>
    <w:pPr>
      <w:jc w:val="left"/>
    </w:pPr>
    <w:rPr>
      <w:rFonts w:ascii="Times New Roman" w:hAnsi="Times New Roman" w:eastAsia="宋体" w:cs="Times New Roman"/>
      <w:szCs w:val="20"/>
    </w:rPr>
  </w:style>
  <w:style w:type="paragraph" w:styleId="15">
    <w:name w:val="Body Text Indent"/>
    <w:basedOn w:val="1"/>
    <w:link w:val="83"/>
    <w:semiHidden/>
    <w:unhideWhenUsed/>
    <w:qFormat/>
    <w:uiPriority w:val="99"/>
    <w:pPr>
      <w:spacing w:after="120"/>
      <w:ind w:left="420" w:leftChars="200"/>
    </w:pPr>
  </w:style>
  <w:style w:type="paragraph" w:styleId="16">
    <w:name w:val="index 4"/>
    <w:basedOn w:val="1"/>
    <w:next w:val="1"/>
    <w:qFormat/>
    <w:uiPriority w:val="0"/>
    <w:pPr>
      <w:ind w:left="600" w:leftChars="600"/>
    </w:pPr>
  </w:style>
  <w:style w:type="paragraph" w:styleId="17">
    <w:name w:val="Plain Text"/>
    <w:basedOn w:val="1"/>
    <w:link w:val="56"/>
    <w:qFormat/>
    <w:uiPriority w:val="0"/>
    <w:rPr>
      <w:rFonts w:ascii="宋体" w:hAnsi="Courier New" w:eastAsia="宋体" w:cs="Times New Roman"/>
      <w:szCs w:val="20"/>
    </w:rPr>
  </w:style>
  <w:style w:type="paragraph" w:styleId="18">
    <w:name w:val="Balloon Text"/>
    <w:basedOn w:val="1"/>
    <w:link w:val="45"/>
    <w:semiHidden/>
    <w:qFormat/>
    <w:uiPriority w:val="0"/>
    <w:rPr>
      <w:rFonts w:ascii="Times New Roman" w:hAnsi="Times New Roman" w:eastAsia="宋体" w:cs="Times New Roman"/>
      <w:sz w:val="18"/>
      <w:szCs w:val="18"/>
    </w:rPr>
  </w:style>
  <w:style w:type="paragraph" w:styleId="19">
    <w:name w:val="footer"/>
    <w:basedOn w:val="1"/>
    <w:link w:val="35"/>
    <w:unhideWhenUsed/>
    <w:qFormat/>
    <w:uiPriority w:val="99"/>
    <w:pPr>
      <w:tabs>
        <w:tab w:val="center" w:pos="4153"/>
        <w:tab w:val="right" w:pos="8306"/>
      </w:tabs>
      <w:snapToGrid w:val="0"/>
      <w:jc w:val="left"/>
    </w:pPr>
    <w:rPr>
      <w:sz w:val="18"/>
      <w:szCs w:val="18"/>
    </w:rPr>
  </w:style>
  <w:style w:type="paragraph" w:styleId="20">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uiPriority w:val="39"/>
    <w:rPr>
      <w:rFonts w:ascii="Times New Roman" w:hAnsi="Times New Roman" w:eastAsia="宋体" w:cs="Times New Roman"/>
      <w:szCs w:val="20"/>
    </w:rPr>
  </w:style>
  <w:style w:type="paragraph" w:styleId="22">
    <w:name w:val="Body Text Indent 3"/>
    <w:basedOn w:val="1"/>
    <w:link w:val="52"/>
    <w:qFormat/>
    <w:uiPriority w:val="0"/>
    <w:pPr>
      <w:widowControl/>
      <w:spacing w:after="120"/>
      <w:ind w:left="420" w:leftChars="200"/>
      <w:jc w:val="left"/>
    </w:pPr>
    <w:rPr>
      <w:rFonts w:ascii="Times New Roman" w:hAnsi="Times New Roman" w:eastAsia="宋体" w:cs="Times New Roman"/>
      <w:kern w:val="0"/>
      <w:sz w:val="16"/>
      <w:szCs w:val="16"/>
    </w:rPr>
  </w:style>
  <w:style w:type="paragraph" w:styleId="23">
    <w:name w:val="toc 2"/>
    <w:basedOn w:val="1"/>
    <w:next w:val="1"/>
    <w:qFormat/>
    <w:uiPriority w:val="0"/>
    <w:pPr>
      <w:ind w:left="420" w:leftChars="200"/>
    </w:pPr>
    <w:rPr>
      <w:rFonts w:ascii="Times New Roman" w:hAnsi="Times New Roman" w:eastAsia="宋体" w:cs="Times New Roman"/>
      <w:szCs w:val="20"/>
    </w:rPr>
  </w:style>
  <w:style w:type="paragraph" w:styleId="24">
    <w:name w:val="Body Text 2"/>
    <w:basedOn w:val="1"/>
    <w:link w:val="49"/>
    <w:qFormat/>
    <w:uiPriority w:val="0"/>
    <w:pPr>
      <w:spacing w:after="120" w:line="480" w:lineRule="auto"/>
    </w:pPr>
    <w:rPr>
      <w:rFonts w:ascii="Times New Roman" w:hAnsi="Times New Roman" w:eastAsia="宋体" w:cs="Times New Roman"/>
      <w:sz w:val="20"/>
      <w:szCs w:val="20"/>
    </w:rPr>
  </w:style>
  <w:style w:type="paragraph" w:styleId="25">
    <w:name w:val="annotation subject"/>
    <w:basedOn w:val="14"/>
    <w:next w:val="14"/>
    <w:link w:val="57"/>
    <w:qFormat/>
    <w:uiPriority w:val="0"/>
    <w:rPr>
      <w:b/>
      <w:bCs/>
    </w:rPr>
  </w:style>
  <w:style w:type="paragraph" w:styleId="26">
    <w:name w:val="Body Text First Indent"/>
    <w:basedOn w:val="2"/>
    <w:qFormat/>
    <w:uiPriority w:val="0"/>
    <w:pPr>
      <w:spacing w:after="120"/>
      <w:ind w:firstLine="420" w:firstLineChars="10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0"/>
  </w:style>
  <w:style w:type="character" w:styleId="31">
    <w:name w:val="FollowedHyperlink"/>
    <w:qFormat/>
    <w:uiPriority w:val="0"/>
    <w:rPr>
      <w:color w:val="auto"/>
      <w:u w:val="none"/>
    </w:rPr>
  </w:style>
  <w:style w:type="character" w:styleId="32">
    <w:name w:val="Hyperlink"/>
    <w:basedOn w:val="29"/>
    <w:unhideWhenUsed/>
    <w:qFormat/>
    <w:uiPriority w:val="99"/>
    <w:rPr>
      <w:color w:val="0000FF"/>
      <w:u w:val="single"/>
    </w:rPr>
  </w:style>
  <w:style w:type="character" w:styleId="33">
    <w:name w:val="annotation reference"/>
    <w:basedOn w:val="29"/>
    <w:qFormat/>
    <w:uiPriority w:val="99"/>
    <w:rPr>
      <w:sz w:val="21"/>
      <w:szCs w:val="21"/>
    </w:rPr>
  </w:style>
  <w:style w:type="character" w:customStyle="1" w:styleId="34">
    <w:name w:val="页眉 Char"/>
    <w:basedOn w:val="29"/>
    <w:link w:val="20"/>
    <w:qFormat/>
    <w:uiPriority w:val="99"/>
    <w:rPr>
      <w:sz w:val="18"/>
      <w:szCs w:val="18"/>
    </w:rPr>
  </w:style>
  <w:style w:type="character" w:customStyle="1" w:styleId="35">
    <w:name w:val="页脚 Char"/>
    <w:basedOn w:val="29"/>
    <w:link w:val="19"/>
    <w:qFormat/>
    <w:uiPriority w:val="99"/>
    <w:rPr>
      <w:sz w:val="18"/>
      <w:szCs w:val="18"/>
    </w:rPr>
  </w:style>
  <w:style w:type="character" w:customStyle="1" w:styleId="36">
    <w:name w:val="标题 1 Char"/>
    <w:basedOn w:val="29"/>
    <w:link w:val="3"/>
    <w:autoRedefine/>
    <w:qFormat/>
    <w:uiPriority w:val="0"/>
    <w:rPr>
      <w:rFonts w:ascii="Times New Roman" w:hAnsi="Times New Roman" w:eastAsia="宋体" w:cs="Times New Roman"/>
      <w:b/>
      <w:kern w:val="44"/>
      <w:sz w:val="44"/>
      <w:szCs w:val="20"/>
    </w:rPr>
  </w:style>
  <w:style w:type="character" w:customStyle="1" w:styleId="37">
    <w:name w:val="标题 2 Char"/>
    <w:basedOn w:val="29"/>
    <w:link w:val="4"/>
    <w:autoRedefine/>
    <w:qFormat/>
    <w:uiPriority w:val="0"/>
    <w:rPr>
      <w:rFonts w:ascii="Arial" w:hAnsi="Arial" w:eastAsia="黑体" w:cs="Times New Roman"/>
      <w:b/>
      <w:sz w:val="32"/>
      <w:szCs w:val="20"/>
    </w:rPr>
  </w:style>
  <w:style w:type="character" w:customStyle="1" w:styleId="38">
    <w:name w:val="标题 3 Char"/>
    <w:basedOn w:val="29"/>
    <w:link w:val="5"/>
    <w:qFormat/>
    <w:uiPriority w:val="0"/>
    <w:rPr>
      <w:rFonts w:ascii="Times New Roman" w:hAnsi="Times New Roman" w:eastAsia="宋体" w:cs="Times New Roman"/>
      <w:b/>
      <w:sz w:val="32"/>
      <w:szCs w:val="20"/>
    </w:rPr>
  </w:style>
  <w:style w:type="character" w:customStyle="1" w:styleId="39">
    <w:name w:val="标题 4 Char"/>
    <w:basedOn w:val="29"/>
    <w:link w:val="6"/>
    <w:qFormat/>
    <w:uiPriority w:val="0"/>
    <w:rPr>
      <w:rFonts w:ascii="Arial" w:hAnsi="Arial" w:eastAsia="黑体" w:cs="Times New Roman"/>
      <w:b/>
      <w:sz w:val="28"/>
      <w:szCs w:val="20"/>
    </w:rPr>
  </w:style>
  <w:style w:type="character" w:customStyle="1" w:styleId="40">
    <w:name w:val="标题 5 Char"/>
    <w:basedOn w:val="29"/>
    <w:link w:val="7"/>
    <w:qFormat/>
    <w:uiPriority w:val="0"/>
    <w:rPr>
      <w:rFonts w:ascii="Times New Roman" w:hAnsi="Times New Roman" w:eastAsia="宋体" w:cs="Times New Roman"/>
      <w:b/>
      <w:sz w:val="28"/>
      <w:szCs w:val="20"/>
    </w:rPr>
  </w:style>
  <w:style w:type="character" w:customStyle="1" w:styleId="41">
    <w:name w:val="标题 6 Char"/>
    <w:basedOn w:val="29"/>
    <w:link w:val="8"/>
    <w:qFormat/>
    <w:uiPriority w:val="0"/>
    <w:rPr>
      <w:rFonts w:ascii="Arial" w:hAnsi="Arial" w:eastAsia="黑体" w:cs="Times New Roman"/>
      <w:b/>
      <w:sz w:val="24"/>
      <w:szCs w:val="20"/>
    </w:rPr>
  </w:style>
  <w:style w:type="character" w:customStyle="1" w:styleId="42">
    <w:name w:val="标题 7 Char"/>
    <w:basedOn w:val="29"/>
    <w:link w:val="9"/>
    <w:qFormat/>
    <w:uiPriority w:val="0"/>
    <w:rPr>
      <w:rFonts w:ascii="Times New Roman" w:hAnsi="Times New Roman" w:eastAsia="宋体" w:cs="Times New Roman"/>
      <w:b/>
      <w:sz w:val="24"/>
      <w:szCs w:val="20"/>
    </w:rPr>
  </w:style>
  <w:style w:type="character" w:customStyle="1" w:styleId="43">
    <w:name w:val="标题 8 Char"/>
    <w:basedOn w:val="29"/>
    <w:link w:val="10"/>
    <w:qFormat/>
    <w:uiPriority w:val="0"/>
    <w:rPr>
      <w:rFonts w:ascii="Arial" w:hAnsi="Arial" w:eastAsia="黑体" w:cs="Times New Roman"/>
      <w:sz w:val="24"/>
      <w:szCs w:val="20"/>
    </w:rPr>
  </w:style>
  <w:style w:type="character" w:customStyle="1" w:styleId="44">
    <w:name w:val="标题 9 Char"/>
    <w:basedOn w:val="29"/>
    <w:link w:val="11"/>
    <w:qFormat/>
    <w:uiPriority w:val="0"/>
    <w:rPr>
      <w:rFonts w:ascii="Arial" w:hAnsi="Arial" w:eastAsia="黑体" w:cs="Times New Roman"/>
      <w:szCs w:val="20"/>
    </w:rPr>
  </w:style>
  <w:style w:type="character" w:customStyle="1" w:styleId="45">
    <w:name w:val="批注框文本 Char"/>
    <w:basedOn w:val="29"/>
    <w:link w:val="18"/>
    <w:semiHidden/>
    <w:qFormat/>
    <w:uiPriority w:val="0"/>
    <w:rPr>
      <w:rFonts w:ascii="Times New Roman" w:hAnsi="Times New Roman" w:eastAsia="宋体" w:cs="Times New Roman"/>
      <w:sz w:val="18"/>
      <w:szCs w:val="18"/>
    </w:rPr>
  </w:style>
  <w:style w:type="character" w:customStyle="1" w:styleId="46">
    <w:name w:val="正文文本 Char"/>
    <w:basedOn w:val="29"/>
    <w:link w:val="2"/>
    <w:qFormat/>
    <w:uiPriority w:val="0"/>
    <w:rPr>
      <w:rFonts w:ascii="Times New Roman" w:hAnsi="Times New Roman" w:eastAsia="宋体" w:cs="Times New Roman"/>
      <w:sz w:val="20"/>
      <w:szCs w:val="20"/>
    </w:rPr>
  </w:style>
  <w:style w:type="paragraph" w:styleId="47">
    <w:name w:val="List Paragraph"/>
    <w:basedOn w:val="1"/>
    <w:qFormat/>
    <w:uiPriority w:val="1"/>
    <w:pPr>
      <w:ind w:firstLine="420" w:firstLineChars="200"/>
    </w:pPr>
    <w:rPr>
      <w:rFonts w:ascii="Times New Roman" w:hAnsi="Times New Roman" w:eastAsia="宋体" w:cs="Times New Roman"/>
      <w:szCs w:val="20"/>
    </w:rPr>
  </w:style>
  <w:style w:type="paragraph" w:customStyle="1" w:styleId="48">
    <w:name w:val="纯文本1"/>
    <w:basedOn w:val="1"/>
    <w:qFormat/>
    <w:uiPriority w:val="0"/>
    <w:rPr>
      <w:rFonts w:ascii="宋体" w:hAnsi="Courier New" w:eastAsia="宋体" w:cs="Times New Roman"/>
    </w:rPr>
  </w:style>
  <w:style w:type="character" w:customStyle="1" w:styleId="49">
    <w:name w:val="正文文本 2 Char"/>
    <w:basedOn w:val="29"/>
    <w:link w:val="24"/>
    <w:qFormat/>
    <w:uiPriority w:val="0"/>
    <w:rPr>
      <w:rFonts w:ascii="Times New Roman" w:hAnsi="Times New Roman" w:eastAsia="宋体" w:cs="Times New Roman"/>
      <w:sz w:val="20"/>
      <w:szCs w:val="20"/>
    </w:rPr>
  </w:style>
  <w:style w:type="paragraph" w:customStyle="1" w:styleId="50">
    <w:name w:val="Default Paragraph Font Para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51">
    <w:name w:val="正文缩进1"/>
    <w:basedOn w:val="1"/>
    <w:qFormat/>
    <w:uiPriority w:val="0"/>
    <w:pPr>
      <w:autoSpaceDE w:val="0"/>
      <w:autoSpaceDN w:val="0"/>
      <w:adjustRightInd w:val="0"/>
      <w:ind w:firstLine="420"/>
      <w:jc w:val="left"/>
    </w:pPr>
    <w:rPr>
      <w:rFonts w:ascii="宋体" w:hAnsi="Calibri" w:eastAsia="宋体" w:cs="Times New Roman"/>
      <w:sz w:val="24"/>
    </w:rPr>
  </w:style>
  <w:style w:type="character" w:customStyle="1" w:styleId="52">
    <w:name w:val="正文文本缩进 3 Char"/>
    <w:basedOn w:val="29"/>
    <w:link w:val="22"/>
    <w:qFormat/>
    <w:uiPriority w:val="0"/>
    <w:rPr>
      <w:rFonts w:ascii="Times New Roman" w:hAnsi="Times New Roman" w:eastAsia="宋体" w:cs="Times New Roman"/>
      <w:kern w:val="0"/>
      <w:sz w:val="16"/>
      <w:szCs w:val="16"/>
    </w:rPr>
  </w:style>
  <w:style w:type="character" w:customStyle="1" w:styleId="53">
    <w:name w:val="批注文字 Char"/>
    <w:basedOn w:val="29"/>
    <w:link w:val="14"/>
    <w:qFormat/>
    <w:uiPriority w:val="0"/>
    <w:rPr>
      <w:rFonts w:ascii="Times New Roman" w:hAnsi="Times New Roman" w:eastAsia="宋体" w:cs="Times New Roman"/>
      <w:szCs w:val="20"/>
    </w:rPr>
  </w:style>
  <w:style w:type="paragraph" w:customStyle="1" w:styleId="54">
    <w:name w:val="索引 11"/>
    <w:basedOn w:val="1"/>
    <w:next w:val="1"/>
    <w:qFormat/>
    <w:uiPriority w:val="0"/>
    <w:pPr>
      <w:spacing w:line="360" w:lineRule="auto"/>
    </w:pPr>
    <w:rPr>
      <w:rFonts w:ascii="仿宋_GB2312" w:hAnsi="Times New Roman" w:eastAsia="仿宋_GB2312" w:cs="Times New Roman"/>
      <w:sz w:val="24"/>
      <w:szCs w:val="20"/>
    </w:rPr>
  </w:style>
  <w:style w:type="paragraph" w:customStyle="1" w:styleId="55">
    <w:name w:val="普通文字"/>
    <w:basedOn w:val="1"/>
    <w:next w:val="1"/>
    <w:qFormat/>
    <w:uiPriority w:val="0"/>
    <w:rPr>
      <w:rFonts w:ascii="宋体" w:hAnsi="Times New Roman" w:eastAsia="宋体" w:cs="Times New Roman"/>
      <w:kern w:val="0"/>
      <w:sz w:val="24"/>
      <w:szCs w:val="20"/>
      <w:u w:color="000000"/>
    </w:rPr>
  </w:style>
  <w:style w:type="character" w:customStyle="1" w:styleId="56">
    <w:name w:val="纯文本 Char1"/>
    <w:basedOn w:val="29"/>
    <w:link w:val="17"/>
    <w:qFormat/>
    <w:uiPriority w:val="0"/>
    <w:rPr>
      <w:rFonts w:ascii="宋体" w:hAnsi="Courier New" w:eastAsia="宋体" w:cs="Times New Roman"/>
      <w:szCs w:val="20"/>
    </w:rPr>
  </w:style>
  <w:style w:type="character" w:customStyle="1" w:styleId="57">
    <w:name w:val="批注主题 Char"/>
    <w:basedOn w:val="53"/>
    <w:link w:val="25"/>
    <w:qFormat/>
    <w:uiPriority w:val="0"/>
    <w:rPr>
      <w:rFonts w:ascii="Times New Roman" w:hAnsi="Times New Roman" w:eastAsia="宋体" w:cs="Times New Roman"/>
      <w:b/>
      <w:bCs/>
      <w:szCs w:val="20"/>
    </w:rPr>
  </w:style>
  <w:style w:type="paragraph" w:styleId="5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Normal_1"/>
    <w:qFormat/>
    <w:uiPriority w:val="0"/>
    <w:pPr>
      <w:widowControl w:val="0"/>
      <w:jc w:val="both"/>
    </w:pPr>
    <w:rPr>
      <w:rFonts w:ascii="Times New Roman" w:hAnsi="Times New Roman" w:eastAsia="Times New Roman" w:cs="Times New Roman"/>
      <w:lang w:val="en-US" w:eastAsia="zh-CN" w:bidi="ar-SA"/>
    </w:rPr>
  </w:style>
  <w:style w:type="paragraph" w:customStyle="1" w:styleId="60">
    <w:name w:val="正文_1_0"/>
    <w:basedOn w:val="1"/>
    <w:qFormat/>
    <w:uiPriority w:val="0"/>
    <w:rPr>
      <w:rFonts w:ascii="Times New Roman" w:hAnsi="Times New Roman" w:eastAsia="宋体" w:cs="Times New Roman"/>
      <w:szCs w:val="24"/>
    </w:rPr>
  </w:style>
  <w:style w:type="paragraph" w:customStyle="1" w:styleId="61">
    <w:name w:val="列出段落1"/>
    <w:basedOn w:val="1"/>
    <w:qFormat/>
    <w:uiPriority w:val="0"/>
    <w:pPr>
      <w:ind w:firstLine="420" w:firstLineChars="200"/>
    </w:pPr>
    <w:rPr>
      <w:rFonts w:ascii="Calibri" w:hAnsi="Calibri" w:eastAsia="微软雅黑" w:cs="Times New Roman"/>
      <w:szCs w:val="21"/>
    </w:rPr>
  </w:style>
  <w:style w:type="paragraph" w:customStyle="1" w:styleId="62">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3">
    <w:name w:val="纯文本 Char"/>
    <w:qFormat/>
    <w:uiPriority w:val="0"/>
    <w:rPr>
      <w:rFonts w:ascii="Calibri" w:hAnsi="Calibri"/>
      <w:kern w:val="2"/>
      <w:sz w:val="24"/>
      <w:szCs w:val="24"/>
    </w:rPr>
  </w:style>
  <w:style w:type="paragraph" w:customStyle="1" w:styleId="64">
    <w:name w:val="Normal_0"/>
    <w:qFormat/>
    <w:uiPriority w:val="0"/>
    <w:rPr>
      <w:rFonts w:ascii="黑体" w:hAnsi="黑体" w:eastAsia="黑体" w:cs="Times New Roman"/>
      <w:b/>
      <w:sz w:val="32"/>
      <w:szCs w:val="24"/>
      <w:lang w:val="en-US" w:eastAsia="zh-CN" w:bidi="ar-SA"/>
    </w:rPr>
  </w:style>
  <w:style w:type="paragraph" w:customStyle="1" w:styleId="65">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6">
    <w:name w:val="正文_12"/>
    <w:qFormat/>
    <w:uiPriority w:val="0"/>
    <w:pPr>
      <w:widowControl w:val="0"/>
      <w:jc w:val="both"/>
    </w:pPr>
    <w:rPr>
      <w:rFonts w:ascii="Calibri" w:hAnsi="Calibri" w:eastAsia="宋体" w:cs="Times New Roman"/>
      <w:kern w:val="2"/>
      <w:sz w:val="21"/>
      <w:szCs w:val="24"/>
      <w:lang w:val="en-US" w:eastAsia="zh-CN" w:bidi="ar-SA"/>
    </w:rPr>
  </w:style>
  <w:style w:type="character" w:customStyle="1" w:styleId="67">
    <w:name w:val="font31"/>
    <w:basedOn w:val="29"/>
    <w:qFormat/>
    <w:uiPriority w:val="0"/>
    <w:rPr>
      <w:rFonts w:hint="eastAsia" w:ascii="宋体" w:hAnsi="宋体" w:eastAsia="宋体" w:cs="宋体"/>
      <w:color w:val="000000"/>
      <w:sz w:val="24"/>
      <w:szCs w:val="24"/>
      <w:u w:val="none"/>
    </w:rPr>
  </w:style>
  <w:style w:type="character" w:customStyle="1" w:styleId="68">
    <w:name w:val="font21"/>
    <w:basedOn w:val="29"/>
    <w:qFormat/>
    <w:uiPriority w:val="0"/>
    <w:rPr>
      <w:rFonts w:hint="eastAsia" w:ascii="宋体" w:hAnsi="宋体" w:eastAsia="宋体" w:cs="宋体"/>
      <w:color w:val="FF0000"/>
      <w:sz w:val="24"/>
      <w:szCs w:val="24"/>
      <w:u w:val="none"/>
    </w:rPr>
  </w:style>
  <w:style w:type="paragraph" w:customStyle="1" w:styleId="69">
    <w:name w:val="正文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hyj段落格式化"/>
    <w:basedOn w:val="71"/>
    <w:next w:val="71"/>
    <w:qFormat/>
    <w:uiPriority w:val="0"/>
    <w:pPr>
      <w:spacing w:line="360" w:lineRule="auto"/>
      <w:ind w:firstLine="200" w:firstLineChars="200"/>
    </w:pPr>
    <w:rPr>
      <w:rFonts w:ascii="Calibri" w:hAnsi="Calibri"/>
      <w:sz w:val="24"/>
      <w:szCs w:val="21"/>
    </w:rPr>
  </w:style>
  <w:style w:type="paragraph" w:customStyle="1" w:styleId="71">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
    <w:name w:val="正文文本缩进 3_0"/>
    <w:basedOn w:val="71"/>
    <w:qFormat/>
    <w:uiPriority w:val="0"/>
    <w:pPr>
      <w:widowControl/>
      <w:spacing w:after="120"/>
      <w:ind w:left="420" w:leftChars="200"/>
      <w:jc w:val="left"/>
    </w:pPr>
    <w:rPr>
      <w:rFonts w:ascii="Calibri" w:hAnsi="Calibri"/>
      <w:sz w:val="16"/>
      <w:szCs w:val="16"/>
    </w:rPr>
  </w:style>
  <w:style w:type="paragraph" w:customStyle="1" w:styleId="74">
    <w:name w:val="Normal_29"/>
    <w:qFormat/>
    <w:uiPriority w:val="0"/>
    <w:pPr>
      <w:widowControl w:val="0"/>
      <w:jc w:val="both"/>
    </w:pPr>
    <w:rPr>
      <w:rFonts w:ascii="Times New Roman" w:hAnsi="Times New Roman" w:eastAsia="宋体" w:cs="Times New Roman"/>
      <w:szCs w:val="24"/>
      <w:lang w:val="en-US" w:eastAsia="zh-CN" w:bidi="ar-SA"/>
    </w:rPr>
  </w:style>
  <w:style w:type="paragraph" w:customStyle="1" w:styleId="75">
    <w:name w:val="正文1"/>
    <w:qFormat/>
    <w:uiPriority w:val="0"/>
    <w:pPr>
      <w:widowControl w:val="0"/>
      <w:jc w:val="both"/>
    </w:pPr>
    <w:rPr>
      <w:rFonts w:ascii="Times New Roman" w:hAnsi="Times New Roman" w:eastAsia="宋体" w:cs="Times New Roman"/>
      <w:szCs w:val="24"/>
      <w:lang w:val="en-US" w:eastAsia="zh-CN" w:bidi="ar-SA"/>
    </w:rPr>
  </w:style>
  <w:style w:type="paragraph" w:customStyle="1" w:styleId="76">
    <w:name w:val="列出段落2"/>
    <w:basedOn w:val="1"/>
    <w:qFormat/>
    <w:uiPriority w:val="0"/>
    <w:pPr>
      <w:ind w:firstLine="420" w:firstLineChars="200"/>
    </w:pPr>
    <w:rPr>
      <w:rFonts w:ascii="Times New Roman" w:hAnsi="Times New Roman" w:eastAsia="微软雅黑" w:cs="Times New Roman"/>
      <w:szCs w:val="21"/>
    </w:rPr>
  </w:style>
  <w:style w:type="paragraph" w:customStyle="1" w:styleId="77">
    <w:name w:val="Normal_1_0"/>
    <w:qFormat/>
    <w:uiPriority w:val="0"/>
    <w:pPr>
      <w:widowControl w:val="0"/>
      <w:jc w:val="both"/>
    </w:pPr>
    <w:rPr>
      <w:rFonts w:ascii="Times New Roman" w:hAnsi="Times New Roman" w:eastAsia="Times New Roman" w:cs="Times New Roman"/>
      <w:lang w:val="en-US" w:eastAsia="zh-CN" w:bidi="ar-SA"/>
    </w:rPr>
  </w:style>
  <w:style w:type="paragraph" w:customStyle="1" w:styleId="78">
    <w:name w:val="样式1_0"/>
    <w:basedOn w:val="77"/>
    <w:qFormat/>
    <w:uiPriority w:val="0"/>
    <w:pPr>
      <w:snapToGrid w:val="0"/>
      <w:spacing w:line="540" w:lineRule="atLeast"/>
    </w:pPr>
    <w:rPr>
      <w:rFonts w:ascii="Calibri" w:hAnsi="Calibri" w:eastAsia="宋体"/>
      <w:spacing w:val="16"/>
      <w:sz w:val="28"/>
    </w:rPr>
  </w:style>
  <w:style w:type="paragraph" w:customStyle="1" w:styleId="79">
    <w:name w:val="Normal_1_0_0"/>
    <w:basedOn w:val="59"/>
    <w:qFormat/>
    <w:uiPriority w:val="0"/>
    <w:rPr>
      <w:rFonts w:eastAsia="宋体"/>
    </w:rPr>
  </w:style>
  <w:style w:type="paragraph" w:customStyle="1" w:styleId="80">
    <w:name w:val="Normal_1_1"/>
    <w:basedOn w:val="77"/>
    <w:qFormat/>
    <w:uiPriority w:val="0"/>
  </w:style>
  <w:style w:type="paragraph" w:customStyle="1" w:styleId="81">
    <w:name w:val="正文_1_0_0"/>
    <w:basedOn w:val="1"/>
    <w:qFormat/>
    <w:uiPriority w:val="0"/>
    <w:rPr>
      <w:rFonts w:ascii="Times New Roman" w:hAnsi="Times New Roman" w:eastAsia="宋体" w:cs="Times New Roman"/>
      <w:szCs w:val="21"/>
    </w:rPr>
  </w:style>
  <w:style w:type="paragraph" w:customStyle="1" w:styleId="82">
    <w:name w:val="_Style 1"/>
    <w:basedOn w:val="1"/>
    <w:autoRedefine/>
    <w:qFormat/>
    <w:uiPriority w:val="34"/>
    <w:pPr>
      <w:spacing w:after="160" w:line="259" w:lineRule="auto"/>
      <w:ind w:firstLine="420" w:firstLineChars="200"/>
    </w:pPr>
    <w:rPr>
      <w:rFonts w:ascii="Times New Roman" w:hAnsi="Times New Roman" w:eastAsia="宋体" w:cs="Times New Roman"/>
      <w:sz w:val="20"/>
      <w:szCs w:val="20"/>
    </w:rPr>
  </w:style>
  <w:style w:type="character" w:customStyle="1" w:styleId="83">
    <w:name w:val="正文文本缩进 Char"/>
    <w:basedOn w:val="29"/>
    <w:link w:val="15"/>
    <w:semiHidden/>
    <w:qFormat/>
    <w:uiPriority w:val="99"/>
    <w:rPr>
      <w:rFonts w:asciiTheme="minorHAnsi" w:hAnsiTheme="minorHAnsi" w:eastAsiaTheme="minorEastAsia" w:cstheme="minorBidi"/>
      <w:kern w:val="2"/>
      <w:sz w:val="21"/>
      <w:szCs w:val="22"/>
    </w:rPr>
  </w:style>
  <w:style w:type="paragraph" w:customStyle="1" w:styleId="84">
    <w:name w:val="目录文字"/>
    <w:basedOn w:val="1"/>
    <w:autoRedefine/>
    <w:qFormat/>
    <w:uiPriority w:val="0"/>
    <w:pPr>
      <w:widowControl/>
      <w:spacing w:line="480" w:lineRule="auto"/>
      <w:jc w:val="left"/>
    </w:pPr>
    <w:rPr>
      <w:rFonts w:ascii="宋体" w:hAnsi="宋体" w:eastAsia="宋体" w:cs="Times New Roman"/>
      <w:kern w:val="0"/>
      <w:sz w:val="24"/>
      <w:szCs w:val="20"/>
    </w:rPr>
  </w:style>
  <w:style w:type="paragraph" w:customStyle="1" w:styleId="85">
    <w:name w:val="Char Char Char Char Char Char Char1 Char"/>
    <w:basedOn w:val="1"/>
    <w:autoRedefine/>
    <w:qFormat/>
    <w:uiPriority w:val="0"/>
    <w:pPr>
      <w:spacing w:after="160" w:line="259" w:lineRule="auto"/>
    </w:pPr>
    <w:rPr>
      <w:rFonts w:ascii="Tahoma" w:hAnsi="Tahoma" w:eastAsia="宋体" w:cs="Times New Roman"/>
      <w:sz w:val="24"/>
      <w:szCs w:val="20"/>
    </w:rPr>
  </w:style>
  <w:style w:type="paragraph" w:customStyle="1" w:styleId="86">
    <w:name w:val="+正文"/>
    <w:basedOn w:val="1"/>
    <w:qFormat/>
    <w:uiPriority w:val="0"/>
    <w:pPr>
      <w:adjustRightInd w:val="0"/>
      <w:snapToGrid w:val="0"/>
      <w:ind w:firstLine="200"/>
      <w:jc w:val="center"/>
    </w:pPr>
    <w:rPr>
      <w:rFonts w:ascii="文鼎小标宋简" w:hAnsi="华文中宋" w:eastAsia="文鼎小标宋简"/>
      <w:snapToGrid w:val="0"/>
      <w:sz w:val="32"/>
    </w:rPr>
  </w:style>
  <w:style w:type="paragraph" w:customStyle="1" w:styleId="87">
    <w:name w:val="表格文字"/>
    <w:basedOn w:val="1"/>
    <w:qFormat/>
    <w:uiPriority w:val="0"/>
    <w:pPr>
      <w:spacing w:before="25" w:after="25" w:line="300" w:lineRule="auto"/>
    </w:pPr>
    <w:rPr>
      <w:rFonts w:ascii="宋体" w:hAnsi="宋体"/>
      <w:spacing w:val="10"/>
      <w:kern w:val="0"/>
      <w:sz w:val="24"/>
      <w:szCs w:val="20"/>
    </w:rPr>
  </w:style>
  <w:style w:type="paragraph" w:customStyle="1" w:styleId="88">
    <w:name w:val="江建权"/>
    <w:basedOn w:val="1"/>
    <w:qFormat/>
    <w:uiPriority w:val="0"/>
    <w:pPr>
      <w:spacing w:line="440" w:lineRule="exact"/>
      <w:ind w:firstLine="200" w:firstLineChars="200"/>
    </w:pPr>
    <w:rPr>
      <w:rFonts w:ascii="宋体" w:hAnsi="宋体"/>
      <w:sz w:val="24"/>
    </w:rPr>
  </w:style>
  <w:style w:type="character" w:customStyle="1" w:styleId="89">
    <w:name w:val="NormalCharacter"/>
    <w:link w:val="1"/>
    <w:qFormat/>
    <w:uiPriority w:val="0"/>
    <w:rPr>
      <w:rFonts w:asciiTheme="minorHAnsi" w:hAnsiTheme="minorHAnsi" w:eastAsiaTheme="minorEastAsia" w:cstheme="minorBidi"/>
      <w:kern w:val="2"/>
      <w:sz w:val="21"/>
      <w:szCs w:val="22"/>
      <w:lang w:val="en-US" w:eastAsia="zh-CN" w:bidi="ar-SA"/>
    </w:rPr>
  </w:style>
  <w:style w:type="character" w:customStyle="1" w:styleId="90">
    <w:name w:val="font11"/>
    <w:basedOn w:val="29"/>
    <w:qFormat/>
    <w:uiPriority w:val="0"/>
    <w:rPr>
      <w:rFonts w:hint="eastAsia" w:ascii="宋体" w:hAnsi="宋体" w:eastAsia="宋体" w:cs="宋体"/>
      <w:b/>
      <w:bCs/>
      <w:color w:val="000000"/>
      <w:sz w:val="24"/>
      <w:szCs w:val="24"/>
      <w:u w:val="none"/>
    </w:rPr>
  </w:style>
  <w:style w:type="character" w:customStyle="1" w:styleId="91">
    <w:name w:val="font01"/>
    <w:basedOn w:val="29"/>
    <w:qFormat/>
    <w:uiPriority w:val="0"/>
    <w:rPr>
      <w:rFonts w:hint="eastAsia" w:ascii="宋体" w:hAnsi="宋体" w:eastAsia="宋体" w:cs="宋体"/>
      <w:color w:val="000000"/>
      <w:sz w:val="24"/>
      <w:szCs w:val="24"/>
      <w:u w:val="none"/>
    </w:rPr>
  </w:style>
  <w:style w:type="paragraph" w:customStyle="1" w:styleId="92">
    <w:name w:val="Table Text"/>
    <w:basedOn w:val="1"/>
    <w:semiHidden/>
    <w:qFormat/>
    <w:uiPriority w:val="0"/>
    <w:rPr>
      <w:rFonts w:ascii="宋体" w:hAnsi="宋体" w:eastAsia="宋体" w:cs="宋体"/>
      <w:sz w:val="21"/>
      <w:szCs w:val="21"/>
      <w:lang w:val="en-US" w:eastAsia="en-US" w:bidi="ar-SA"/>
    </w:rPr>
  </w:style>
  <w:style w:type="table" w:customStyle="1" w:styleId="9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ra</Company>
  <Pages>58</Pages>
  <Words>11023</Words>
  <Characters>11433</Characters>
  <Lines>190</Lines>
  <Paragraphs>53</Paragraphs>
  <TotalTime>0</TotalTime>
  <ScaleCrop>false</ScaleCrop>
  <LinksUpToDate>false</LinksUpToDate>
  <CharactersWithSpaces>11525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2023-07-28T06:39:00Z</dcterms:created>
  <dc:creator>zyz</dc:creator>
  <cp:lastModifiedBy>曦泽</cp:lastModifiedBy>
  <cp:lastPrinted>2025-03-31T00:00:00Z</cp:lastPrinted>
  <dcterms:modified xsi:type="dcterms:W3CDTF">2025-12-31T08:09:35Z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37E2BE482923453EAD1D25E128A67DDE_13</vt:lpwstr>
  </property>
  <property fmtid="{D5CDD505-2E9C-101B-9397-08002B2CF9AE}" pid="4" name="KSOTemplateDocerSaveRecord">
    <vt:lpwstr>eyJoZGlkIjoiNDBiYTAzMTFjZWFhNzhhZmYxYzVkOTgxMzNhNTRmYzciLCJ1c2VySWQiOiI0Mzg5MTEwMjAifQ==</vt:lpwstr>
  </property>
</Properties>
</file>