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水车式生物转盘采购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YXGYJT202512003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二十三</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5208"/>
      <w:bookmarkStart w:id="1" w:name="OLE_LINK7"/>
      <w:bookmarkStart w:id="2" w:name="_Toc30211"/>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水车式生物转盘</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jc w:val="center"/>
              <w:rPr>
                <w:rFonts w:ascii="宋体" w:hAnsi="宋体"/>
                <w:bCs/>
                <w:sz w:val="24"/>
                <w:szCs w:val="24"/>
              </w:rPr>
            </w:pPr>
            <w:r>
              <w:rPr>
                <w:rFonts w:hint="eastAsia" w:ascii="宋体" w:hAnsi="宋体"/>
                <w:bCs/>
                <w:sz w:val="24"/>
                <w:szCs w:val="24"/>
              </w:rPr>
              <w:t>序号</w:t>
            </w:r>
          </w:p>
        </w:tc>
        <w:tc>
          <w:tcPr>
            <w:tcW w:w="9107" w:type="dxa"/>
            <w:noWrap/>
          </w:tcPr>
          <w:p w14:paraId="226E7E61">
            <w:pPr>
              <w:jc w:val="center"/>
              <w:rPr>
                <w:rFonts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jc w:val="center"/>
              <w:rPr>
                <w:rFonts w:ascii="宋体" w:hAnsi="宋体"/>
                <w:bCs/>
                <w:sz w:val="24"/>
                <w:szCs w:val="24"/>
              </w:rPr>
            </w:pPr>
            <w:r>
              <w:rPr>
                <w:rFonts w:ascii="宋体" w:hAnsi="宋体"/>
                <w:bCs/>
                <w:sz w:val="24"/>
                <w:szCs w:val="24"/>
              </w:rPr>
              <w:t>1</w:t>
            </w:r>
          </w:p>
        </w:tc>
        <w:tc>
          <w:tcPr>
            <w:tcW w:w="9107" w:type="dxa"/>
            <w:noWrap/>
          </w:tcPr>
          <w:p w14:paraId="69E4BE92">
            <w:pPr>
              <w:jc w:val="left"/>
              <w:rPr>
                <w:rFonts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jc w:val="left"/>
              <w:rPr>
                <w:rFonts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水车式生物转盘采购</w:t>
            </w:r>
            <w:r>
              <w:rPr>
                <w:rFonts w:hint="eastAsia" w:ascii="宋体" w:hAnsi="宋体"/>
                <w:bCs/>
                <w:sz w:val="24"/>
                <w:szCs w:val="24"/>
              </w:rPr>
              <w:t xml:space="preserve">            </w:t>
            </w:r>
          </w:p>
          <w:p w14:paraId="6470024C">
            <w:pPr>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YXGYJT202512003</w:t>
            </w:r>
          </w:p>
          <w:p w14:paraId="370909EF">
            <w:pPr>
              <w:jc w:val="left"/>
              <w:rPr>
                <w:rFonts w:ascii="宋体" w:hAnsi="宋体"/>
                <w:bCs/>
                <w:sz w:val="24"/>
                <w:szCs w:val="24"/>
              </w:rPr>
            </w:pPr>
            <w:r>
              <w:rPr>
                <w:rFonts w:hint="eastAsia" w:ascii="宋体" w:hAnsi="宋体"/>
                <w:bCs/>
                <w:sz w:val="24"/>
                <w:szCs w:val="24"/>
              </w:rPr>
              <w:t>评标方法：最低评标价法（集团网站公开招标）</w:t>
            </w:r>
          </w:p>
          <w:p w14:paraId="424C79CE">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30</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jc w:val="center"/>
              <w:rPr>
                <w:lang w:val="zh-CN"/>
              </w:rPr>
            </w:pPr>
            <w:bookmarkStart w:id="5" w:name="OLE_LINK61" w:colFirst="1" w:colLast="1"/>
            <w:r>
              <w:rPr>
                <w:lang w:val="zh-CN"/>
              </w:rPr>
              <w:t>2</w:t>
            </w:r>
          </w:p>
        </w:tc>
        <w:tc>
          <w:tcPr>
            <w:tcW w:w="9107" w:type="dxa"/>
            <w:noWrap/>
          </w:tcPr>
          <w:p w14:paraId="43AB0DE0">
            <w:pPr>
              <w:pStyle w:val="49"/>
              <w:rPr>
                <w:lang w:val="zh-CN"/>
              </w:rPr>
            </w:pPr>
            <w:r>
              <w:rPr>
                <w:rFonts w:hint="eastAsia"/>
                <w:lang w:val="zh-CN"/>
              </w:rPr>
              <w:t>2.1投标人参加本次投标活动应具备下列资格条件：</w:t>
            </w:r>
          </w:p>
          <w:p w14:paraId="41D7BAF8">
            <w:pPr>
              <w:pStyle w:val="49"/>
              <w:rPr>
                <w:lang w:val="zh-CN"/>
              </w:rPr>
            </w:pPr>
            <w:r>
              <w:rPr>
                <w:rFonts w:hint="eastAsia"/>
                <w:lang w:val="zh-CN"/>
              </w:rPr>
              <w:t>①具有独立承担民事责任的能力；</w:t>
            </w:r>
          </w:p>
          <w:p w14:paraId="72BD467B">
            <w:pPr>
              <w:pStyle w:val="49"/>
              <w:rPr>
                <w:lang w:val="zh-CN"/>
              </w:rPr>
            </w:pPr>
            <w:r>
              <w:rPr>
                <w:rFonts w:hint="eastAsia"/>
                <w:lang w:val="zh-CN"/>
              </w:rPr>
              <w:t>②有依法缴纳税收和社会保障资金的良好记录；</w:t>
            </w:r>
          </w:p>
          <w:p w14:paraId="12BD1A44">
            <w:pPr>
              <w:pStyle w:val="49"/>
              <w:rPr>
                <w:lang w:val="zh-CN"/>
              </w:rPr>
            </w:pPr>
            <w:r>
              <w:rPr>
                <w:rFonts w:hint="eastAsia"/>
                <w:lang w:val="zh-CN"/>
              </w:rPr>
              <w:t>③具有履行合同所必需的设备和专业能力；</w:t>
            </w:r>
          </w:p>
          <w:p w14:paraId="62B91BD6">
            <w:pPr>
              <w:pStyle w:val="49"/>
              <w:rPr>
                <w:lang w:val="zh-CN"/>
              </w:rPr>
            </w:pPr>
            <w:r>
              <w:rPr>
                <w:rFonts w:hint="eastAsia"/>
                <w:lang w:val="zh-CN"/>
              </w:rPr>
              <w:t>④不接受联合体，不接受中标后分包；</w:t>
            </w:r>
          </w:p>
          <w:p w14:paraId="70F32A67">
            <w:pPr>
              <w:pStyle w:val="49"/>
              <w:rPr>
                <w:lang w:val="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）列入失信执行人、税收违法黑名单、政府采购严重违法失信行为记录名单，未被“中国政府采购网”网站（www.ccgp.gov.cn）列入政府采购严重违法失信行为记录名单。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spacing w:line="240" w:lineRule="atLeast"/>
            </w:pPr>
          </w:p>
        </w:tc>
        <w:tc>
          <w:tcPr>
            <w:tcW w:w="9107" w:type="dxa"/>
            <w:noWrap/>
          </w:tcPr>
          <w:p w14:paraId="68F07E4D">
            <w:pPr>
              <w:pStyle w:val="49"/>
              <w:rPr>
                <w:lang w:val="zh-CN"/>
              </w:rPr>
            </w:pPr>
            <w:r>
              <w:rPr>
                <w:rFonts w:hint="eastAsia"/>
                <w:lang w:val="zh-CN"/>
              </w:rPr>
              <w:t>2.</w:t>
            </w:r>
            <w:r>
              <w:rPr>
                <w:rFonts w:hint="eastAsia"/>
              </w:rPr>
              <w:t>2</w:t>
            </w:r>
            <w:r>
              <w:rPr>
                <w:rFonts w:hint="eastAsia"/>
                <w:lang w:val="zh-CN"/>
              </w:rPr>
              <w:t xml:space="preserve"> 拒绝下述供应商参加本次投标活动：</w:t>
            </w:r>
          </w:p>
          <w:p w14:paraId="32CC6BC8">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jc w:val="center"/>
              <w:rPr>
                <w:rFonts w:ascii="宋体" w:hAnsi="宋体"/>
                <w:bCs/>
                <w:sz w:val="24"/>
                <w:szCs w:val="24"/>
              </w:rPr>
            </w:pPr>
            <w:r>
              <w:rPr>
                <w:rFonts w:hint="eastAsia" w:ascii="宋体" w:hAnsi="宋体"/>
                <w:bCs/>
                <w:sz w:val="24"/>
                <w:szCs w:val="24"/>
              </w:rPr>
              <w:t>3</w:t>
            </w:r>
          </w:p>
        </w:tc>
        <w:tc>
          <w:tcPr>
            <w:tcW w:w="9107" w:type="dxa"/>
            <w:noWrap/>
            <w:vAlign w:val="center"/>
          </w:tcPr>
          <w:p w14:paraId="1E1666FF">
            <w:pPr>
              <w:pStyle w:val="49"/>
              <w:rPr>
                <w:rFonts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jc w:val="center"/>
              <w:rPr>
                <w:rFonts w:ascii="宋体" w:hAnsi="宋体"/>
                <w:bCs/>
                <w:sz w:val="24"/>
                <w:szCs w:val="24"/>
              </w:rPr>
            </w:pPr>
            <w:r>
              <w:rPr>
                <w:rFonts w:hint="eastAsia" w:ascii="宋体" w:hAnsi="宋体"/>
                <w:bCs/>
                <w:sz w:val="24"/>
                <w:szCs w:val="24"/>
              </w:rPr>
              <w:t>4</w:t>
            </w:r>
          </w:p>
        </w:tc>
        <w:tc>
          <w:tcPr>
            <w:tcW w:w="9107" w:type="dxa"/>
            <w:noWrap/>
          </w:tcPr>
          <w:p w14:paraId="5F0D64FA">
            <w:pPr>
              <w:autoSpaceDE w:val="0"/>
              <w:autoSpaceDN w:val="0"/>
              <w:adjustRightInd w:val="0"/>
              <w:rPr>
                <w:rFonts w:ascii="宋体" w:hAnsi="宋体"/>
                <w:bCs/>
                <w:sz w:val="24"/>
                <w:szCs w:val="21"/>
              </w:rPr>
            </w:pPr>
            <w:r>
              <w:rPr>
                <w:rFonts w:hint="eastAsia" w:ascii="宋体" w:hAnsi="宋体"/>
                <w:bCs/>
                <w:sz w:val="24"/>
                <w:szCs w:val="21"/>
              </w:rPr>
              <w:t>1、投标文件份数：3份（一正两副，需装订后密封，否则投标文件无效）</w:t>
            </w:r>
          </w:p>
          <w:p w14:paraId="1237D9EB">
            <w:pPr>
              <w:autoSpaceDE w:val="0"/>
              <w:autoSpaceDN w:val="0"/>
              <w:adjustRightInd w:val="0"/>
              <w:rPr>
                <w:rFonts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jc w:val="center"/>
              <w:rPr>
                <w:rFonts w:ascii="宋体" w:hAnsi="宋体"/>
                <w:bCs/>
                <w:sz w:val="24"/>
                <w:szCs w:val="24"/>
              </w:rPr>
            </w:pPr>
            <w:r>
              <w:rPr>
                <w:rFonts w:hint="eastAsia" w:ascii="宋体" w:hAnsi="宋体"/>
                <w:bCs/>
                <w:sz w:val="24"/>
                <w:szCs w:val="24"/>
              </w:rPr>
              <w:t>5</w:t>
            </w:r>
          </w:p>
        </w:tc>
        <w:tc>
          <w:tcPr>
            <w:tcW w:w="9107" w:type="dxa"/>
            <w:noWrap/>
          </w:tcPr>
          <w:p w14:paraId="0608C97C">
            <w:pPr>
              <w:rPr>
                <w:rFonts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jc w:val="center"/>
              <w:rPr>
                <w:rFonts w:ascii="宋体" w:hAnsi="宋体"/>
                <w:bCs/>
                <w:sz w:val="24"/>
                <w:szCs w:val="24"/>
              </w:rPr>
            </w:pPr>
            <w:r>
              <w:rPr>
                <w:rFonts w:hint="eastAsia" w:ascii="宋体" w:hAnsi="宋体"/>
                <w:bCs/>
                <w:sz w:val="24"/>
                <w:szCs w:val="24"/>
              </w:rPr>
              <w:t>6</w:t>
            </w:r>
          </w:p>
        </w:tc>
        <w:tc>
          <w:tcPr>
            <w:tcW w:w="9107" w:type="dxa"/>
            <w:noWrap/>
          </w:tcPr>
          <w:p w14:paraId="0643A91C">
            <w:pPr>
              <w:pStyle w:val="49"/>
              <w:rPr>
                <w:rFonts w:hAnsi="宋体"/>
                <w:bCs/>
                <w:kern w:val="2"/>
              </w:rPr>
            </w:pPr>
            <w:bookmarkStart w:id="6" w:name="OLE_LINK49"/>
            <w:bookmarkStart w:id="7" w:name="OLE_LINK138"/>
            <w:r>
              <w:rPr>
                <w:rFonts w:hint="eastAsia" w:hAnsi="宋体"/>
                <w:b/>
                <w:bCs/>
                <w:szCs w:val="21"/>
              </w:rPr>
              <w:t>投标保证金：</w:t>
            </w:r>
            <w:r>
              <w:rPr>
                <w:rFonts w:hint="eastAsia"/>
              </w:rPr>
              <w:t>采购人根据项目的实际情况，要求投标人在</w:t>
            </w:r>
            <w:r>
              <w:rPr>
                <w:rFonts w:hint="eastAsia"/>
                <w:shd w:val="clear" w:color="auto" w:fill="FFFF00"/>
              </w:rPr>
              <w:t>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 xml:space="preserve"> 23</w:t>
            </w:r>
            <w:r>
              <w:rPr>
                <w:rFonts w:hint="eastAsia"/>
                <w:shd w:val="clear" w:color="auto" w:fill="FFFF00"/>
              </w:rPr>
              <w:t>日</w:t>
            </w:r>
            <w:r>
              <w:rPr>
                <w:shd w:val="clear" w:color="auto" w:fill="FFFF00"/>
              </w:rPr>
              <w:t>17</w:t>
            </w:r>
            <w:r>
              <w:rPr>
                <w:rFonts w:hint="eastAsia"/>
                <w:shd w:val="clear" w:color="auto" w:fill="FFFF00"/>
              </w:rPr>
              <w:t>：0</w:t>
            </w:r>
            <w:r>
              <w:rPr>
                <w:shd w:val="clear" w:color="auto" w:fill="FFFF00"/>
              </w:rPr>
              <w:t>0</w:t>
            </w:r>
            <w:r>
              <w:rPr>
                <w:rFonts w:hint="eastAsia"/>
                <w:shd w:val="clear" w:color="auto" w:fill="FFFF00"/>
              </w:rPr>
              <w:t>至2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12</w:t>
            </w:r>
            <w:r>
              <w:rPr>
                <w:rFonts w:hint="eastAsia"/>
                <w:shd w:val="clear" w:color="auto" w:fill="FFFF00"/>
              </w:rPr>
              <w:t xml:space="preserve">月 </w:t>
            </w:r>
            <w:r>
              <w:rPr>
                <w:rFonts w:hint="eastAsia"/>
                <w:shd w:val="clear" w:color="auto" w:fill="FFFF00"/>
                <w:lang w:val="en-US" w:eastAsia="zh-CN"/>
              </w:rPr>
              <w:t xml:space="preserve">29 </w:t>
            </w:r>
            <w:r>
              <w:rPr>
                <w:rFonts w:hint="eastAsia"/>
                <w:shd w:val="clear" w:color="auto" w:fill="FFFF00"/>
              </w:rPr>
              <w:t>日</w:t>
            </w:r>
            <w:r>
              <w:rPr>
                <w:rFonts w:hint="eastAsia"/>
                <w:shd w:val="clear" w:color="auto" w:fill="FFFF00"/>
                <w:lang w:val="en-US" w:eastAsia="zh-CN"/>
              </w:rPr>
              <w:t>9</w:t>
            </w:r>
            <w:r>
              <w:rPr>
                <w:rFonts w:hint="eastAsia"/>
                <w:shd w:val="clear" w:color="auto" w:fill="FFFF00"/>
              </w:rPr>
              <w:t>：</w:t>
            </w:r>
            <w:r>
              <w:rPr>
                <w:rFonts w:hint="eastAsia"/>
                <w:shd w:val="clear" w:color="auto" w:fill="FFFF00"/>
                <w:lang w:val="en-US" w:eastAsia="zh-CN"/>
              </w:rPr>
              <w:t>5</w:t>
            </w:r>
            <w:r>
              <w:rPr>
                <w:shd w:val="clear" w:color="auto" w:fill="FFFF00"/>
              </w:rPr>
              <w:t>0</w:t>
            </w:r>
            <w:r>
              <w:rPr>
                <w:rFonts w:hint="eastAsia"/>
                <w:shd w:val="clear" w:color="auto" w:fill="FFFF00"/>
              </w:rPr>
              <w:t>间</w:t>
            </w:r>
            <w:r>
              <w:rPr>
                <w:rFonts w:hint="eastAsia"/>
              </w:rPr>
              <w:t>须交纳投标保证金</w:t>
            </w:r>
            <w:r>
              <w:rPr>
                <w:rFonts w:hint="eastAsia"/>
                <w:b/>
                <w:u w:val="single"/>
                <w:lang w:eastAsia="zh-CN"/>
              </w:rPr>
              <w:t>伍</w:t>
            </w:r>
            <w:r>
              <w:rPr>
                <w:rFonts w:hint="eastAsia"/>
                <w:b/>
                <w:u w:val="single"/>
              </w:rPr>
              <w:t>仟元</w:t>
            </w:r>
            <w:r>
              <w:rPr>
                <w:rFonts w:hint="eastAsia"/>
                <w:b/>
              </w:rPr>
              <w:t>人民币</w:t>
            </w:r>
            <w:r>
              <w:rPr>
                <w:rFonts w:hint="eastAsia"/>
              </w:rPr>
              <w:t>。交纳投标保证金的单位名称必须与参加投标的投标人名称一致</w:t>
            </w:r>
            <w:r>
              <w:rPr>
                <w:rFonts w:hint="eastAsia" w:hAnsi="宋体"/>
                <w:bCs/>
                <w:kern w:val="2"/>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jc w:val="center"/>
                    <w:rPr>
                      <w:rFonts w:hAnsi="宋体"/>
                      <w:bCs/>
                      <w:szCs w:val="21"/>
                      <w:lang w:val="zh-CN"/>
                    </w:rPr>
                  </w:pPr>
                  <w:r>
                    <w:rPr>
                      <w:rFonts w:hint="eastAsia"/>
                      <w:szCs w:val="21"/>
                    </w:rPr>
                    <w:t>交纳投标保证金账户名称</w:t>
                  </w:r>
                </w:p>
              </w:tc>
              <w:tc>
                <w:tcPr>
                  <w:tcW w:w="3349" w:type="dxa"/>
                  <w:noWrap/>
                  <w:vAlign w:val="center"/>
                </w:tcPr>
                <w:p w14:paraId="40B9A974">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jc w:val="center"/>
                    <w:rPr>
                      <w:rFonts w:hAnsi="宋体"/>
                      <w:bCs/>
                      <w:szCs w:val="21"/>
                      <w:lang w:val="zh-CN"/>
                    </w:rPr>
                  </w:pPr>
                  <w:r>
                    <w:rPr>
                      <w:rFonts w:hint="eastAsia" w:hAnsi="宋体"/>
                      <w:bCs/>
                      <w:szCs w:val="21"/>
                      <w:lang w:val="zh-CN"/>
                    </w:rPr>
                    <w:t>交纳</w:t>
                  </w:r>
                </w:p>
                <w:p w14:paraId="7A7B0B7F">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3C9BD4C0">
                  <w:pPr>
                    <w:jc w:val="center"/>
                    <w:rPr>
                      <w:rFonts w:hAnsi="宋体"/>
                      <w:bCs/>
                      <w:szCs w:val="21"/>
                      <w:lang w:val="zh-CN"/>
                    </w:rPr>
                  </w:pPr>
                  <w:r>
                    <w:rPr>
                      <w:rFonts w:hint="eastAsia"/>
                      <w:szCs w:val="21"/>
                    </w:rPr>
                    <w:t>投标保证金的交纳形式只限于</w:t>
                  </w:r>
                  <w:r>
                    <w:rPr>
                      <w:rFonts w:hint="eastAsia"/>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jc w:val="center"/>
                    <w:rPr>
                      <w:szCs w:val="21"/>
                    </w:rPr>
                  </w:pPr>
                  <w:r>
                    <w:rPr>
                      <w:rFonts w:hint="eastAsia" w:hAnsi="宋体"/>
                      <w:bCs/>
                      <w:szCs w:val="21"/>
                      <w:lang w:val="zh-CN"/>
                    </w:rPr>
                    <w:t>开户银行</w:t>
                  </w:r>
                </w:p>
              </w:tc>
              <w:tc>
                <w:tcPr>
                  <w:tcW w:w="3349" w:type="dxa"/>
                  <w:noWrap/>
                  <w:vAlign w:val="center"/>
                </w:tcPr>
                <w:p w14:paraId="2B85DBF6">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jc w:val="center"/>
                    <w:rPr>
                      <w:rFonts w:hAnsi="宋体"/>
                      <w:bCs/>
                      <w:szCs w:val="21"/>
                      <w:lang w:val="zh-CN"/>
                    </w:rPr>
                  </w:pPr>
                </w:p>
              </w:tc>
              <w:tc>
                <w:tcPr>
                  <w:tcW w:w="2663" w:type="dxa"/>
                  <w:vMerge w:val="continue"/>
                  <w:noWrap/>
                  <w:vAlign w:val="center"/>
                </w:tcPr>
                <w:p w14:paraId="0DF98BB3">
                  <w:pPr>
                    <w:jc w:val="center"/>
                    <w:rPr>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jc w:val="center"/>
                    <w:rPr>
                      <w:szCs w:val="21"/>
                    </w:rPr>
                  </w:pPr>
                  <w:r>
                    <w:rPr>
                      <w:rFonts w:hint="eastAsia" w:hAnsi="宋体"/>
                      <w:bCs/>
                      <w:szCs w:val="21"/>
                      <w:lang w:val="zh-CN"/>
                    </w:rPr>
                    <w:t>账号</w:t>
                  </w:r>
                </w:p>
              </w:tc>
              <w:tc>
                <w:tcPr>
                  <w:tcW w:w="3349" w:type="dxa"/>
                  <w:noWrap/>
                  <w:vAlign w:val="center"/>
                </w:tcPr>
                <w:p w14:paraId="27821DD3">
                  <w:pPr>
                    <w:jc w:val="center"/>
                    <w:rPr>
                      <w:rFonts w:ascii="宋体" w:hAnsi="宋体"/>
                      <w:bCs/>
                      <w:sz w:val="24"/>
                      <w:szCs w:val="21"/>
                    </w:rPr>
                  </w:pPr>
                  <w:r>
                    <w:rPr>
                      <w:rFonts w:hint="eastAsia" w:ascii="宋体" w:hAnsi="宋体"/>
                      <w:bCs/>
                      <w:sz w:val="24"/>
                      <w:szCs w:val="21"/>
                    </w:rPr>
                    <w:t>51610188000324130</w:t>
                  </w:r>
                </w:p>
              </w:tc>
              <w:tc>
                <w:tcPr>
                  <w:tcW w:w="1084" w:type="dxa"/>
                  <w:vMerge w:val="continue"/>
                  <w:noWrap/>
                  <w:vAlign w:val="center"/>
                </w:tcPr>
                <w:p w14:paraId="518EAF2D">
                  <w:pPr>
                    <w:jc w:val="center"/>
                    <w:rPr>
                      <w:rFonts w:hAnsi="宋体"/>
                      <w:bCs/>
                      <w:szCs w:val="21"/>
                      <w:lang w:val="zh-CN"/>
                    </w:rPr>
                  </w:pPr>
                </w:p>
              </w:tc>
              <w:tc>
                <w:tcPr>
                  <w:tcW w:w="2663" w:type="dxa"/>
                  <w:vMerge w:val="continue"/>
                  <w:noWrap/>
                  <w:vAlign w:val="center"/>
                </w:tcPr>
                <w:p w14:paraId="192F02B0">
                  <w:pPr>
                    <w:jc w:val="center"/>
                    <w:rPr>
                      <w:szCs w:val="21"/>
                    </w:rPr>
                  </w:pPr>
                </w:p>
              </w:tc>
            </w:tr>
          </w:tbl>
          <w:p w14:paraId="63A71559">
            <w:pPr>
              <w:rPr>
                <w:rFonts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jc w:val="center"/>
              <w:rPr>
                <w:rFonts w:ascii="宋体" w:hAnsi="宋体"/>
                <w:bCs/>
                <w:sz w:val="24"/>
                <w:szCs w:val="24"/>
              </w:rPr>
            </w:pPr>
            <w:r>
              <w:rPr>
                <w:rFonts w:hint="eastAsia" w:ascii="宋体" w:hAnsi="宋体"/>
                <w:bCs/>
                <w:sz w:val="24"/>
                <w:szCs w:val="24"/>
              </w:rPr>
              <w:t>7</w:t>
            </w:r>
          </w:p>
        </w:tc>
        <w:tc>
          <w:tcPr>
            <w:tcW w:w="9107" w:type="dxa"/>
            <w:noWrap/>
          </w:tcPr>
          <w:p w14:paraId="6DCD813E">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 xml:space="preserve">月 </w:t>
            </w:r>
            <w:r>
              <w:rPr>
                <w:rFonts w:hint="eastAsia" w:ascii="宋体" w:hAnsi="宋体"/>
                <w:bCs/>
                <w:sz w:val="24"/>
                <w:szCs w:val="21"/>
                <w:lang w:val="en-US" w:eastAsia="zh-CN"/>
              </w:rPr>
              <w:t xml:space="preserve">29 </w:t>
            </w:r>
            <w:r>
              <w:rPr>
                <w:rFonts w:hint="eastAsia" w:ascii="宋体" w:hAnsi="宋体"/>
                <w:bCs/>
                <w:sz w:val="24"/>
                <w:szCs w:val="21"/>
              </w:rPr>
              <w:t>日10:</w:t>
            </w:r>
            <w:r>
              <w:rPr>
                <w:rFonts w:hint="eastAsia" w:ascii="宋体" w:hAnsi="宋体"/>
                <w:bCs/>
                <w:sz w:val="24"/>
                <w:szCs w:val="21"/>
                <w:lang w:val="en-US" w:eastAsia="zh-CN"/>
              </w:rPr>
              <w:t>0</w:t>
            </w:r>
            <w:r>
              <w:rPr>
                <w:rFonts w:hint="eastAsia" w:ascii="宋体" w:hAnsi="宋体"/>
                <w:bCs/>
                <w:sz w:val="24"/>
                <w:szCs w:val="21"/>
              </w:rPr>
              <w:t xml:space="preserve">0 </w:t>
            </w:r>
          </w:p>
          <w:p w14:paraId="14A71349">
            <w:pPr>
              <w:rPr>
                <w:rFonts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4F2980EA">
            <w:pPr>
              <w:rPr>
                <w:rFonts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jc w:val="center"/>
              <w:rPr>
                <w:rFonts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rPr>
                <w:rFonts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rPr>
                <w:rFonts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吴</w:t>
            </w:r>
            <w:r>
              <w:rPr>
                <w:rFonts w:hint="eastAsia" w:ascii="宋体" w:hAnsi="宋体"/>
                <w:bCs/>
                <w:sz w:val="24"/>
                <w:szCs w:val="21"/>
                <w:lang w:eastAsia="zh-CN"/>
              </w:rPr>
              <w:t>先生</w:t>
            </w:r>
            <w:r>
              <w:rPr>
                <w:rFonts w:hint="eastAsia" w:ascii="宋体" w:hAnsi="宋体"/>
                <w:bCs/>
                <w:sz w:val="24"/>
                <w:szCs w:val="21"/>
              </w:rPr>
              <w:t>，应先生</w:t>
            </w:r>
          </w:p>
          <w:p w14:paraId="46C31E6D">
            <w:pPr>
              <w:rPr>
                <w:rFonts w:ascii="宋体" w:hAnsi="宋体"/>
                <w:bCs/>
                <w:sz w:val="24"/>
                <w:szCs w:val="21"/>
              </w:rPr>
            </w:pPr>
            <w:r>
              <w:rPr>
                <w:rFonts w:hint="eastAsia" w:ascii="宋体" w:hAnsi="宋体"/>
                <w:bCs/>
                <w:sz w:val="24"/>
                <w:szCs w:val="21"/>
              </w:rPr>
              <w:t>联系电话：0510-80718867，0510-87117379</w:t>
            </w:r>
          </w:p>
          <w:p w14:paraId="17D8F4E8">
            <w:pPr>
              <w:rPr>
                <w:rFonts w:ascii="宋体" w:hAnsi="宋体"/>
                <w:bCs/>
                <w:sz w:val="24"/>
                <w:szCs w:val="21"/>
              </w:rPr>
            </w:pPr>
            <w:r>
              <w:rPr>
                <w:rFonts w:hint="eastAsia" w:ascii="宋体" w:hAnsi="宋体"/>
                <w:bCs/>
                <w:sz w:val="24"/>
                <w:szCs w:val="21"/>
              </w:rPr>
              <w:t>联系地址：</w:t>
            </w:r>
            <w:r>
              <w:rPr>
                <w:rFonts w:ascii="宋体" w:hAnsi="宋体"/>
                <w:bCs/>
                <w:sz w:val="24"/>
                <w:szCs w:val="21"/>
              </w:rPr>
              <w:t>宜兴市绿园路528号</w:t>
            </w:r>
          </w:p>
          <w:p w14:paraId="3C033ACB">
            <w:pPr>
              <w:rPr>
                <w:rFonts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jc w:val="center"/>
              <w:rPr>
                <w:rFonts w:ascii="宋体" w:hAnsi="宋体"/>
                <w:bCs/>
                <w:sz w:val="24"/>
                <w:szCs w:val="24"/>
              </w:rPr>
            </w:pPr>
            <w:bookmarkStart w:id="9" w:name="_Toc29543"/>
            <w:bookmarkStart w:id="10" w:name="_Toc20935"/>
            <w:bookmarkStart w:id="11" w:name="OLE_LINK6"/>
            <w:r>
              <w:rPr>
                <w:rFonts w:hint="eastAsia" w:ascii="宋体" w:hAnsi="宋体"/>
                <w:bCs/>
                <w:sz w:val="24"/>
                <w:szCs w:val="24"/>
              </w:rPr>
              <w:t>9</w:t>
            </w:r>
          </w:p>
        </w:tc>
        <w:tc>
          <w:tcPr>
            <w:tcW w:w="9107" w:type="dxa"/>
            <w:noWrap/>
          </w:tcPr>
          <w:p w14:paraId="5E83DFB0">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rPr>
                      <w:szCs w:val="22"/>
                      <w:lang w:val="zh-CN"/>
                    </w:rPr>
                  </w:pPr>
                  <w:r>
                    <w:rPr>
                      <w:rFonts w:hint="eastAsia"/>
                      <w:szCs w:val="22"/>
                    </w:rPr>
                    <w:t>交纳履约保证金账户名称</w:t>
                  </w:r>
                </w:p>
              </w:tc>
              <w:tc>
                <w:tcPr>
                  <w:tcW w:w="3349" w:type="dxa"/>
                  <w:vAlign w:val="center"/>
                </w:tcPr>
                <w:p w14:paraId="374B1206">
                  <w:pPr>
                    <w:jc w:val="center"/>
                    <w:rPr>
                      <w:rFonts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jc w:val="center"/>
                    <w:rPr>
                      <w:rFonts w:hAnsi="宋体"/>
                      <w:bCs/>
                      <w:szCs w:val="21"/>
                      <w:lang w:val="zh-CN"/>
                    </w:rPr>
                  </w:pPr>
                  <w:r>
                    <w:rPr>
                      <w:rFonts w:hint="eastAsia"/>
                      <w:szCs w:val="22"/>
                      <w:lang w:val="zh-CN"/>
                    </w:rPr>
                    <w:t>交</w:t>
                  </w:r>
                  <w:r>
                    <w:rPr>
                      <w:rFonts w:hint="eastAsia" w:hAnsi="宋体"/>
                      <w:bCs/>
                      <w:szCs w:val="21"/>
                      <w:lang w:val="zh-CN"/>
                    </w:rPr>
                    <w:t>纳</w:t>
                  </w:r>
                </w:p>
                <w:p w14:paraId="61A6C46F">
                  <w:pPr>
                    <w:jc w:val="center"/>
                    <w:rPr>
                      <w:szCs w:val="22"/>
                      <w:lang w:val="zh-CN"/>
                    </w:rPr>
                  </w:pPr>
                  <w:r>
                    <w:rPr>
                      <w:rFonts w:hint="eastAsia" w:hAnsi="宋体"/>
                      <w:bCs/>
                      <w:szCs w:val="21"/>
                      <w:lang w:val="zh-CN"/>
                    </w:rPr>
                    <w:t>形式</w:t>
                  </w:r>
                </w:p>
              </w:tc>
              <w:tc>
                <w:tcPr>
                  <w:tcW w:w="2663" w:type="dxa"/>
                  <w:vMerge w:val="restart"/>
                  <w:vAlign w:val="center"/>
                </w:tcPr>
                <w:p w14:paraId="73061A80">
                  <w:pPr>
                    <w:rPr>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rPr>
                      <w:szCs w:val="22"/>
                      <w:lang w:val="zh-CN"/>
                    </w:rPr>
                  </w:pPr>
                  <w:r>
                    <w:rPr>
                      <w:rFonts w:hint="eastAsia"/>
                      <w:szCs w:val="22"/>
                      <w:lang w:val="zh-CN"/>
                    </w:rPr>
                    <w:t>开户银行</w:t>
                  </w:r>
                </w:p>
              </w:tc>
              <w:tc>
                <w:tcPr>
                  <w:tcW w:w="3349" w:type="dxa"/>
                  <w:vAlign w:val="center"/>
                </w:tcPr>
                <w:p w14:paraId="1319A939">
                  <w:pPr>
                    <w:jc w:val="center"/>
                    <w:rPr>
                      <w:rFonts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jc w:val="center"/>
                    <w:rPr>
                      <w:rFonts w:ascii="宋体" w:hAnsi="宋体" w:cs="宋体"/>
                      <w:b/>
                      <w:bCs/>
                      <w:sz w:val="24"/>
                      <w:szCs w:val="24"/>
                      <w:lang w:val="zh-CN"/>
                    </w:rPr>
                  </w:pPr>
                </w:p>
              </w:tc>
              <w:tc>
                <w:tcPr>
                  <w:tcW w:w="2663" w:type="dxa"/>
                  <w:vMerge w:val="continue"/>
                  <w:vAlign w:val="center"/>
                </w:tcPr>
                <w:p w14:paraId="4902409D">
                  <w:pPr>
                    <w:jc w:val="center"/>
                    <w:rPr>
                      <w:rFonts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rPr>
                      <w:szCs w:val="22"/>
                      <w:lang w:val="zh-CN"/>
                    </w:rPr>
                  </w:pPr>
                  <w:r>
                    <w:rPr>
                      <w:rFonts w:hint="eastAsia"/>
                      <w:szCs w:val="22"/>
                      <w:lang w:val="zh-CN"/>
                    </w:rPr>
                    <w:t>账号</w:t>
                  </w:r>
                </w:p>
              </w:tc>
              <w:tc>
                <w:tcPr>
                  <w:tcW w:w="3349" w:type="dxa"/>
                  <w:vAlign w:val="center"/>
                </w:tcPr>
                <w:p w14:paraId="5BBFA739">
                  <w:pPr>
                    <w:jc w:val="center"/>
                    <w:rPr>
                      <w:rFonts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jc w:val="center"/>
                    <w:rPr>
                      <w:rFonts w:ascii="宋体" w:hAnsi="宋体" w:cs="宋体"/>
                      <w:b/>
                      <w:bCs/>
                      <w:sz w:val="24"/>
                      <w:szCs w:val="24"/>
                      <w:lang w:val="zh-CN"/>
                    </w:rPr>
                  </w:pPr>
                </w:p>
              </w:tc>
              <w:tc>
                <w:tcPr>
                  <w:tcW w:w="2663" w:type="dxa"/>
                  <w:vMerge w:val="continue"/>
                  <w:vAlign w:val="center"/>
                </w:tcPr>
                <w:p w14:paraId="52633A1B">
                  <w:pPr>
                    <w:jc w:val="center"/>
                    <w:rPr>
                      <w:rFonts w:ascii="宋体" w:hAnsi="宋体" w:cs="宋体"/>
                      <w:b/>
                      <w:bCs/>
                      <w:sz w:val="24"/>
                      <w:szCs w:val="24"/>
                      <w:lang w:val="zh-CN"/>
                    </w:rPr>
                  </w:pPr>
                </w:p>
              </w:tc>
            </w:tr>
          </w:tbl>
          <w:p w14:paraId="4BD7000D">
            <w:pPr>
              <w:rPr>
                <w:rFonts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21"/>
      <w:bookmarkStart w:id="21" w:name="OLE_LINK62"/>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15</w:t>
      </w:r>
      <w:r>
        <w:rPr>
          <w:rFonts w:hint="eastAsia" w:ascii="宋体" w:hAnsi="宋体"/>
          <w:bCs/>
          <w:sz w:val="24"/>
          <w:szCs w:val="24"/>
        </w:rPr>
        <w:t>个工作日内无息退还；中标通知书发出后15个工作日内退还未中标供应商的投标保证金，不计利息。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516A9672">
      <w:pPr>
        <w:spacing w:line="440" w:lineRule="exact"/>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_Toc23122"/>
      <w:bookmarkStart w:id="70" w:name="OLE_LINK8"/>
      <w:bookmarkStart w:id="71" w:name="_Toc9555"/>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23355"/>
      <w:bookmarkStart w:id="73" w:name="_Toc4371"/>
      <w:r>
        <w:rPr>
          <w:rFonts w:hint="eastAsia" w:ascii="宋体" w:hAnsi="宋体"/>
          <w:bCs/>
          <w:sz w:val="24"/>
          <w:szCs w:val="24"/>
          <w:lang w:val="zh-CN"/>
        </w:rPr>
        <w:t xml:space="preserve">     一、工程名称：</w:t>
      </w:r>
      <w:r>
        <w:rPr>
          <w:rFonts w:hint="eastAsia" w:ascii="宋体" w:hAnsi="宋体"/>
          <w:bCs/>
          <w:sz w:val="24"/>
          <w:szCs w:val="24"/>
          <w:lang w:eastAsia="zh-CN"/>
        </w:rPr>
        <w:t>水车式生物转盘采购</w:t>
      </w:r>
      <w:r>
        <w:rPr>
          <w:rFonts w:hint="eastAsia" w:ascii="宋体" w:hAnsi="宋体"/>
          <w:bCs/>
          <w:sz w:val="24"/>
          <w:szCs w:val="24"/>
          <w:lang w:val="zh-CN"/>
        </w:rPr>
        <w:t>。招标范围：</w:t>
      </w:r>
    </w:p>
    <w:tbl>
      <w:tblPr>
        <w:tblStyle w:val="26"/>
        <w:tblW w:w="9151" w:type="dxa"/>
        <w:jc w:val="center"/>
        <w:tblLayout w:type="fixed"/>
        <w:tblCellMar>
          <w:top w:w="0" w:type="dxa"/>
          <w:left w:w="108" w:type="dxa"/>
          <w:bottom w:w="0" w:type="dxa"/>
          <w:right w:w="108" w:type="dxa"/>
        </w:tblCellMar>
      </w:tblPr>
      <w:tblGrid>
        <w:gridCol w:w="828"/>
        <w:gridCol w:w="2069"/>
        <w:gridCol w:w="3464"/>
        <w:gridCol w:w="886"/>
        <w:gridCol w:w="791"/>
        <w:gridCol w:w="1113"/>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69" w:type="dxa"/>
            <w:tcBorders>
              <w:top w:val="single" w:color="auto" w:sz="4" w:space="0"/>
              <w:left w:val="nil"/>
              <w:bottom w:val="single" w:color="auto" w:sz="4" w:space="0"/>
              <w:right w:val="single" w:color="auto" w:sz="4" w:space="0"/>
            </w:tcBorders>
            <w:noWrap w:val="0"/>
            <w:vAlign w:val="center"/>
          </w:tcPr>
          <w:p w14:paraId="42B0847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品名</w:t>
            </w:r>
          </w:p>
        </w:tc>
        <w:tc>
          <w:tcPr>
            <w:tcW w:w="3464" w:type="dxa"/>
            <w:tcBorders>
              <w:top w:val="single" w:color="auto" w:sz="4" w:space="0"/>
              <w:left w:val="nil"/>
              <w:bottom w:val="single" w:color="auto" w:sz="4" w:space="0"/>
              <w:right w:val="single" w:color="auto" w:sz="4" w:space="0"/>
            </w:tcBorders>
            <w:noWrap w:val="0"/>
            <w:vAlign w:val="center"/>
          </w:tcPr>
          <w:p w14:paraId="7273694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886" w:type="dxa"/>
            <w:tcBorders>
              <w:top w:val="single" w:color="auto" w:sz="4" w:space="0"/>
              <w:left w:val="nil"/>
              <w:bottom w:val="single" w:color="auto" w:sz="4" w:space="0"/>
              <w:right w:val="single" w:color="auto" w:sz="4" w:space="0"/>
            </w:tcBorders>
            <w:noWrap w:val="0"/>
            <w:vAlign w:val="center"/>
          </w:tcPr>
          <w:p w14:paraId="6D87DC2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791" w:type="dxa"/>
            <w:tcBorders>
              <w:top w:val="single" w:color="auto" w:sz="4" w:space="0"/>
              <w:left w:val="nil"/>
              <w:bottom w:val="single" w:color="auto" w:sz="4" w:space="0"/>
              <w:right w:val="single" w:color="auto" w:sz="4" w:space="0"/>
            </w:tcBorders>
            <w:noWrap w:val="0"/>
            <w:vAlign w:val="center"/>
          </w:tcPr>
          <w:p w14:paraId="4DF12B9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13" w:type="dxa"/>
            <w:tcBorders>
              <w:top w:val="single" w:color="auto" w:sz="4" w:space="0"/>
              <w:left w:val="nil"/>
              <w:bottom w:val="single" w:color="auto" w:sz="4" w:space="0"/>
              <w:right w:val="single" w:color="auto" w:sz="4" w:space="0"/>
            </w:tcBorders>
            <w:noWrap w:val="0"/>
            <w:vAlign w:val="center"/>
          </w:tcPr>
          <w:p w14:paraId="72A1856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76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6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bCs/>
                <w:sz w:val="24"/>
                <w:szCs w:val="24"/>
                <w:lang w:eastAsia="zh-CN"/>
              </w:rPr>
              <w:t>水车式生物转盘</w:t>
            </w:r>
          </w:p>
        </w:tc>
        <w:tc>
          <w:tcPr>
            <w:tcW w:w="346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snapToGrid w:val="0"/>
              <w:spacing w:line="240" w:lineRule="auto"/>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盘面直径5m，樟子松防腐木，转速6圈/分钟，电机功率3KW，含现地控制柜及控制柜至电机之间的电缆、填料为改性聚氨酯海绵（预挂消化菌微生物膜）</w:t>
            </w:r>
          </w:p>
        </w:tc>
        <w:tc>
          <w:tcPr>
            <w:tcW w:w="8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套</w:t>
            </w:r>
          </w:p>
        </w:tc>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113"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snapToGrid w:val="0"/>
              <w:spacing w:line="240" w:lineRule="auto"/>
              <w:jc w:val="both"/>
              <w:rPr>
                <w:rFonts w:hint="eastAsia" w:ascii="宋体" w:hAnsi="宋体" w:eastAsia="楷体" w:cs="宋体"/>
                <w:sz w:val="21"/>
                <w:szCs w:val="21"/>
                <w:highlight w:val="none"/>
                <w:lang w:val="en-US" w:eastAsia="zh-CN"/>
              </w:rPr>
            </w:pPr>
          </w:p>
        </w:tc>
      </w:tr>
      <w:tr w14:paraId="5591D6CF">
        <w:tblPrEx>
          <w:tblCellMar>
            <w:top w:w="0" w:type="dxa"/>
            <w:left w:w="108" w:type="dxa"/>
            <w:bottom w:w="0" w:type="dxa"/>
            <w:right w:w="108" w:type="dxa"/>
          </w:tblCellMar>
        </w:tblPrEx>
        <w:trPr>
          <w:trHeight w:val="9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A492A">
            <w:pPr>
              <w:snapToGrid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06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5CFF849">
            <w:pPr>
              <w:snapToGrid w:val="0"/>
              <w:spacing w:line="240" w:lineRule="auto"/>
              <w:jc w:val="center"/>
              <w:rPr>
                <w:rFonts w:hint="eastAsia" w:ascii="宋体" w:hAnsi="宋体" w:cs="宋体"/>
                <w:sz w:val="21"/>
                <w:szCs w:val="21"/>
                <w:highlight w:val="none"/>
                <w:lang w:val="en-US" w:eastAsia="zh-CN"/>
              </w:rPr>
            </w:pPr>
            <w:r>
              <w:rPr>
                <w:rFonts w:hint="eastAsia" w:ascii="宋体" w:hAnsi="宋体"/>
                <w:bCs/>
                <w:sz w:val="24"/>
                <w:szCs w:val="24"/>
                <w:lang w:eastAsia="zh-CN"/>
              </w:rPr>
              <w:t>水车式生物转盘</w:t>
            </w:r>
          </w:p>
        </w:tc>
        <w:tc>
          <w:tcPr>
            <w:tcW w:w="346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756C5BE">
            <w:pPr>
              <w:snapToGrid w:val="0"/>
              <w:spacing w:line="240" w:lineRule="auto"/>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盘面直径8m，樟子松防腐木，转速4圈/分钟，电机功率5.5KW，含现地控制柜及控制柜至电机之间的电缆、填料为改性聚氨酯海绵（预挂消化菌微生物膜）</w:t>
            </w:r>
          </w:p>
        </w:tc>
        <w:tc>
          <w:tcPr>
            <w:tcW w:w="8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E002384">
            <w:pPr>
              <w:snapToGrid w:val="0"/>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套</w:t>
            </w:r>
          </w:p>
        </w:tc>
        <w:tc>
          <w:tcPr>
            <w:tcW w:w="79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7212F31">
            <w:pPr>
              <w:snapToGrid w:val="0"/>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113"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3D234EE">
            <w:pPr>
              <w:snapToGrid w:val="0"/>
              <w:spacing w:line="240" w:lineRule="auto"/>
              <w:jc w:val="both"/>
              <w:rPr>
                <w:rFonts w:hint="eastAsia" w:ascii="宋体" w:hAnsi="宋体" w:eastAsia="楷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二、技术要求：</w:t>
      </w:r>
    </w:p>
    <w:p w14:paraId="3C88FA97">
      <w:pPr>
        <w:spacing w:line="360" w:lineRule="auto"/>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1、水车式生物转盘将传统的生物转盘技术嫁接于水车的外形设计上，盘片靠水流推动或微动力电机转动，使附着在转盘上的微生物在水和空气中来回循环。当盘片浸没在水中时，附着在盘片上的生物膜充分与水中的有机物接触、吸附，水中的有机物在厌氧环境下被微生物分解。当盘片离开水面时，盘片表面形成的薄水膜从空气中吸氧，被吸附的有机物在好氧微生物酶的作用下进行氧化分解。通过这样周而复始的不断循环达到净水目的并起到为水体增氧效果，同时将河道有机物分解功能与周边生态景观结合，做到视觉效果与处理效果同步。</w:t>
      </w:r>
    </w:p>
    <w:p w14:paraId="4C19D50F">
      <w:pPr>
        <w:spacing w:line="360" w:lineRule="auto"/>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2、填料参数说明：</w:t>
      </w:r>
    </w:p>
    <w:p w14:paraId="647B9ACF">
      <w:pPr>
        <w:spacing w:line="360" w:lineRule="auto"/>
        <w:ind w:left="0" w:leftChars="0" w:firstLine="0" w:firstLineChars="0"/>
        <w:rPr>
          <w:rFonts w:hint="default" w:ascii="宋体" w:hAnsi="宋体"/>
          <w:bCs/>
          <w:sz w:val="24"/>
          <w:szCs w:val="24"/>
          <w:lang w:val="en-US" w:eastAsia="zh-CN"/>
        </w:rPr>
      </w:pPr>
      <w:r>
        <w:rPr>
          <w:rFonts w:hint="default" w:ascii="宋体" w:hAnsi="宋体"/>
          <w:bCs/>
          <w:sz w:val="24"/>
          <w:szCs w:val="24"/>
          <w:lang w:val="en-US" w:eastAsia="zh-CN"/>
        </w:rPr>
        <w:drawing>
          <wp:inline distT="0" distB="0" distL="114300" distR="114300">
            <wp:extent cx="6118860" cy="509270"/>
            <wp:effectExtent l="0" t="0" r="15240" b="5080"/>
            <wp:docPr id="9" name="图片 9" descr="cb85db2e-c762-4adc-be12-994e17c3b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b85db2e-c762-4adc-be12-994e17c3b422"/>
                    <pic:cNvPicPr>
                      <a:picLocks noChangeAspect="1"/>
                    </pic:cNvPicPr>
                  </pic:nvPicPr>
                  <pic:blipFill>
                    <a:blip r:embed="rId9"/>
                    <a:stretch>
                      <a:fillRect/>
                    </a:stretch>
                  </pic:blipFill>
                  <pic:spPr>
                    <a:xfrm>
                      <a:off x="0" y="0"/>
                      <a:ext cx="6118860" cy="509270"/>
                    </a:xfrm>
                    <a:prstGeom prst="rect">
                      <a:avLst/>
                    </a:prstGeom>
                  </pic:spPr>
                </pic:pic>
              </a:graphicData>
            </a:graphic>
          </wp:inline>
        </w:drawing>
      </w:r>
    </w:p>
    <w:p w14:paraId="660A2B6C">
      <w:pPr>
        <w:spacing w:line="360" w:lineRule="auto"/>
        <w:ind w:firstLine="480" w:firstLineChars="200"/>
        <w:rPr>
          <w:rFonts w:hint="default" w:ascii="宋体" w:hAnsi="宋体"/>
          <w:bCs/>
          <w:sz w:val="24"/>
          <w:szCs w:val="24"/>
          <w:lang w:val="en-US" w:eastAsia="zh-CN"/>
        </w:rPr>
      </w:pPr>
      <w:r>
        <w:rPr>
          <w:rFonts w:hint="eastAsia" w:ascii="宋体" w:hAnsi="宋体"/>
          <w:bCs/>
          <w:sz w:val="24"/>
          <w:szCs w:val="24"/>
          <w:lang w:val="en-US" w:eastAsia="zh-CN"/>
        </w:rPr>
        <w:t>3、</w:t>
      </w:r>
      <w:bookmarkStart w:id="74" w:name="_Toc376165139"/>
      <w:r>
        <w:rPr>
          <w:rFonts w:hint="eastAsia" w:ascii="宋体" w:hAnsi="宋体"/>
          <w:bCs/>
          <w:sz w:val="24"/>
          <w:szCs w:val="24"/>
          <w:lang w:val="en-US" w:eastAsia="zh-CN"/>
        </w:rPr>
        <w:t>由中标人进行深化设计，图纸报甲方审定后方可制作，深化设计需满足设计参数要求与甲方实际现场使用，结算价不变。</w:t>
      </w:r>
      <w:bookmarkEnd w:id="74"/>
      <w:r>
        <w:rPr>
          <w:rFonts w:hint="eastAsia" w:ascii="宋体" w:hAnsi="宋体"/>
          <w:bCs/>
          <w:sz w:val="24"/>
          <w:szCs w:val="24"/>
          <w:lang w:val="en-US" w:eastAsia="zh-CN"/>
        </w:rPr>
        <w:t>土建基础由甲方负责，混凝土以上部分安装调试由中标人负责。</w:t>
      </w:r>
    </w:p>
    <w:p w14:paraId="4CAA4768">
      <w:pPr>
        <w:spacing w:line="360" w:lineRule="auto"/>
        <w:ind w:firstLine="480" w:firstLineChars="200"/>
        <w:rPr>
          <w:rFonts w:ascii="宋体" w:hAnsi="宋体"/>
          <w:bCs/>
          <w:sz w:val="24"/>
          <w:szCs w:val="24"/>
          <w:lang w:val="zh-CN"/>
        </w:rPr>
      </w:pPr>
      <w:r>
        <w:rPr>
          <w:rFonts w:hint="eastAsia" w:ascii="宋体" w:hAnsi="宋体"/>
          <w:bCs/>
          <w:sz w:val="24"/>
          <w:szCs w:val="24"/>
          <w:lang w:val="zh-CN"/>
        </w:rPr>
        <w:t>五、质量标准：对照国家标准</w:t>
      </w:r>
      <w:r>
        <w:rPr>
          <w:rFonts w:hint="eastAsia" w:ascii="宋体" w:hAnsi="宋体"/>
          <w:bCs/>
          <w:sz w:val="24"/>
          <w:szCs w:val="24"/>
          <w:lang w:val="en-US" w:eastAsia="zh-CN"/>
        </w:rPr>
        <w:t>及图纸要求</w:t>
      </w:r>
      <w:r>
        <w:rPr>
          <w:rFonts w:hint="eastAsia" w:ascii="宋体" w:hAnsi="宋体"/>
          <w:bCs/>
          <w:sz w:val="24"/>
          <w:szCs w:val="24"/>
          <w:lang w:val="zh-CN"/>
        </w:rPr>
        <w:t>，达到合格标准。</w:t>
      </w:r>
    </w:p>
    <w:p w14:paraId="1816C770">
      <w:pPr>
        <w:spacing w:line="360" w:lineRule="auto"/>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天内送到并完成安装。</w:t>
      </w:r>
    </w:p>
    <w:p w14:paraId="32F97E1A">
      <w:pPr>
        <w:spacing w:line="360" w:lineRule="auto"/>
        <w:ind w:firstLine="480"/>
        <w:rPr>
          <w:rFonts w:ascii="宋体" w:hAnsi="宋体"/>
          <w:bCs/>
          <w:sz w:val="24"/>
          <w:szCs w:val="24"/>
          <w:lang w:val="zh-CN"/>
        </w:rPr>
      </w:pPr>
      <w:r>
        <w:rPr>
          <w:rFonts w:hint="eastAsia" w:ascii="宋体" w:hAnsi="宋体"/>
          <w:bCs/>
          <w:sz w:val="24"/>
          <w:szCs w:val="24"/>
          <w:lang w:val="zh-CN"/>
        </w:rPr>
        <w:t>七、供货地点：指定工地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360" w:lineRule="auto"/>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360" w:lineRule="auto"/>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水车式生物转盘采购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5" w:name="_Toc15580"/>
      <w:bookmarkStart w:id="76"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YXGYJT202512003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甲方（招标人）：（盖章）</w:t>
            </w:r>
            <w:bookmarkEnd w:id="77"/>
          </w:p>
        </w:tc>
        <w:tc>
          <w:tcPr>
            <w:tcW w:w="4643" w:type="dxa"/>
            <w:noWrap/>
          </w:tcPr>
          <w:p w14:paraId="76133552">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tcPr>
          <w:p w14:paraId="35F80551">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tcPr>
          <w:p w14:paraId="2D14C334">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tcPr>
          <w:p w14:paraId="013BCBDE">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42656379">
            <w:pPr>
              <w:widowControl/>
              <w:adjustRightInd w:val="0"/>
              <w:jc w:val="left"/>
              <w:rPr>
                <w:rFonts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5"/>
      <w:bookmarkEnd w:id="76"/>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YXGYJT202512003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水车式生物转盘采购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宋体" w:hAnsi="宋体"/>
          <w:color w:val="000000"/>
          <w:sz w:val="24"/>
          <w:lang w:val="en-US" w:eastAsia="zh-CN"/>
        </w:rPr>
        <w:t>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并完成安装</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159DB895">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乙方逾期交货超过15天以上的视为乙方不履行合同。甲方有权终止合同，乙方支付迟交违约金及扣除履约保证金，并在3年内不得参与甲方组织的招投标活动。</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162A226">
      <w:pPr>
        <w:spacing w:line="360" w:lineRule="auto"/>
        <w:ind w:left="400"/>
        <w:rPr>
          <w:rFonts w:ascii="宋体" w:hAnsi="宋体"/>
          <w:bCs/>
          <w:sz w:val="24"/>
          <w:lang w:val="zh-CN"/>
        </w:rPr>
      </w:pPr>
      <w:r>
        <w:rPr>
          <w:rFonts w:hint="eastAsia" w:ascii="宋体" w:hAnsi="宋体"/>
          <w:bCs/>
          <w:sz w:val="24"/>
          <w:lang w:val="zh-CN"/>
        </w:rPr>
        <w:t>4、本合同应按照中华人民共和国的现行法律进行解释。</w:t>
      </w:r>
    </w:p>
    <w:p w14:paraId="72C3395C">
      <w:pPr>
        <w:spacing w:line="360" w:lineRule="auto"/>
        <w:jc w:val="center"/>
        <w:outlineLvl w:val="0"/>
        <w:rPr>
          <w:rFonts w:ascii="黑体" w:hAnsi="黑体" w:eastAsia="黑体"/>
          <w:sz w:val="28"/>
        </w:rPr>
      </w:pPr>
      <w:bookmarkStart w:id="81" w:name="_Toc17882"/>
      <w:bookmarkStart w:id="82" w:name="_Toc3082"/>
      <w:r>
        <w:rPr>
          <w:rFonts w:ascii="黑体" w:hAnsi="黑体" w:eastAsia="黑体"/>
          <w:sz w:val="28"/>
        </w:rPr>
        <w:br w:type="page"/>
      </w:r>
      <w:bookmarkStart w:id="83" w:name="OLE_LINK105"/>
      <w:r>
        <w:rPr>
          <w:rFonts w:hint="eastAsia" w:ascii="黑体" w:hAnsi="黑体" w:eastAsia="黑体"/>
          <w:sz w:val="28"/>
        </w:rPr>
        <w:t>第六章 附件（投标文件格式）</w:t>
      </w:r>
      <w:bookmarkEnd w:id="81"/>
      <w:bookmarkEnd w:id="82"/>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4" w:name="_Toc29240"/>
      <w:r>
        <w:rPr>
          <w:rFonts w:hint="eastAsia" w:ascii="宋体" w:hAnsi="宋体"/>
          <w:b/>
          <w:sz w:val="120"/>
          <w:szCs w:val="120"/>
        </w:rPr>
        <w:t>投标文件</w:t>
      </w:r>
      <w:bookmarkEnd w:id="84"/>
    </w:p>
    <w:p w14:paraId="11BECB83">
      <w:pPr>
        <w:jc w:val="center"/>
        <w:rPr>
          <w:rFonts w:hint="eastAsia" w:ascii="宋体" w:hAnsi="宋体" w:eastAsia="宋体"/>
          <w:b/>
          <w:sz w:val="32"/>
          <w:szCs w:val="32"/>
          <w:lang w:eastAsia="zh-CN"/>
        </w:rPr>
      </w:pPr>
      <w:bookmarkStart w:id="85" w:name="_Toc2400"/>
      <w:r>
        <w:rPr>
          <w:rFonts w:hint="eastAsia" w:ascii="宋体" w:hAnsi="宋体"/>
          <w:b/>
          <w:sz w:val="32"/>
          <w:szCs w:val="32"/>
        </w:rPr>
        <w:t>项目编号：</w:t>
      </w:r>
      <w:bookmarkEnd w:id="85"/>
      <w:r>
        <w:rPr>
          <w:rFonts w:hint="eastAsia" w:ascii="宋体" w:hAnsi="宋体"/>
          <w:b/>
          <w:sz w:val="32"/>
          <w:szCs w:val="32"/>
          <w:lang w:eastAsia="zh-CN"/>
        </w:rPr>
        <w:t>YXGYJT202512003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6" w:name="_Toc10010"/>
      <w:r>
        <w:rPr>
          <w:rFonts w:hint="eastAsia" w:ascii="宋体" w:hAnsi="宋体"/>
          <w:b/>
          <w:sz w:val="32"/>
          <w:szCs w:val="32"/>
        </w:rPr>
        <w:t>项目名称：</w:t>
      </w:r>
      <w:bookmarkEnd w:id="86"/>
      <w:r>
        <w:rPr>
          <w:rFonts w:hint="eastAsia" w:ascii="宋体" w:hAnsi="宋体"/>
          <w:b/>
          <w:sz w:val="32"/>
          <w:szCs w:val="32"/>
          <w:u w:val="single"/>
        </w:rPr>
        <w:t>宜兴市公用市政工程有限公司</w:t>
      </w:r>
      <w:r>
        <w:rPr>
          <w:rFonts w:hint="eastAsia" w:ascii="宋体" w:hAnsi="宋体"/>
          <w:b/>
          <w:sz w:val="28"/>
          <w:szCs w:val="28"/>
          <w:u w:val="single"/>
          <w:lang w:eastAsia="zh-CN"/>
        </w:rPr>
        <w:t>水车式生物转盘采购</w:t>
      </w:r>
    </w:p>
    <w:p w14:paraId="34C078F0">
      <w:pPr>
        <w:rPr>
          <w:rFonts w:ascii="宋体" w:hAnsi="宋体"/>
          <w:b/>
          <w:sz w:val="32"/>
          <w:szCs w:val="32"/>
        </w:rPr>
      </w:pPr>
      <w:bookmarkStart w:id="87"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7"/>
    </w:p>
    <w:p w14:paraId="0D5384D0">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9" w:name="_Toc1179"/>
      <w:r>
        <w:rPr>
          <w:rFonts w:hint="eastAsia" w:ascii="宋体" w:hAnsi="宋体"/>
          <w:b/>
          <w:sz w:val="32"/>
          <w:szCs w:val="32"/>
        </w:rPr>
        <w:t>日期： 年 月 日</w:t>
      </w:r>
      <w:bookmarkEnd w:id="89"/>
    </w:p>
    <w:p w14:paraId="65264BB4">
      <w:pPr>
        <w:rPr>
          <w:rFonts w:ascii="宋体"/>
          <w:b/>
          <w:bCs/>
          <w:sz w:val="24"/>
          <w:szCs w:val="24"/>
        </w:rPr>
      </w:pPr>
      <w:bookmarkStart w:id="90" w:name="_Toc24602"/>
      <w:r>
        <w:rPr>
          <w:rFonts w:hint="eastAsia" w:ascii="黑体" w:hAnsi="宋体" w:eastAsia="黑体"/>
          <w:bCs/>
          <w:sz w:val="24"/>
          <w:szCs w:val="24"/>
        </w:rPr>
        <w:br w:type="page"/>
      </w:r>
      <w:bookmarkStart w:id="91" w:name="OLE_LINK24"/>
      <w:r>
        <w:rPr>
          <w:rFonts w:hint="eastAsia" w:ascii="黑体" w:hAnsi="宋体" w:eastAsia="黑体"/>
          <w:bCs/>
          <w:sz w:val="28"/>
          <w:szCs w:val="28"/>
        </w:rPr>
        <w:t>（一）投标函（格式）：</w:t>
      </w:r>
    </w:p>
    <w:bookmarkEnd w:id="91"/>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2" w:name="OLE_LINK185"/>
      <w:r>
        <w:rPr>
          <w:rFonts w:hint="eastAsia" w:ascii="宋体" w:hAnsi="宋体"/>
          <w:bCs/>
          <w:sz w:val="24"/>
          <w:lang w:val="zh-CN"/>
        </w:rPr>
        <w:t>致宜兴市公用市政工程有限公司</w:t>
      </w:r>
      <w:bookmarkEnd w:id="92"/>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水车式生物转盘采购</w:t>
      </w:r>
      <w:r>
        <w:rPr>
          <w:rFonts w:hint="eastAsia" w:ascii="宋体" w:hAnsi="宋体"/>
          <w:bCs/>
          <w:sz w:val="24"/>
          <w:lang w:val="zh-CN"/>
        </w:rPr>
        <w:t>招标文件，经仔细阅读和研究，我方决定参加投标。</w:t>
      </w:r>
    </w:p>
    <w:p w14:paraId="4DB64D76">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2"/>
        </w:numPr>
        <w:spacing w:line="276" w:lineRule="auto"/>
        <w:ind w:firstLine="480" w:firstLineChars="200"/>
        <w:rPr>
          <w:rFonts w:ascii="宋体" w:hAnsi="宋体"/>
          <w:bCs/>
          <w:sz w:val="24"/>
          <w:lang w:val="zh-CN"/>
        </w:rPr>
      </w:pPr>
      <w:bookmarkStart w:id="9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14:paraId="56671087">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2"/>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4" w:name="OLE_LINK34"/>
      <w:bookmarkStart w:id="95" w:name="OLE_LINK30"/>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6" w:name="OLE_LINK28"/>
      <w:r>
        <w:rPr>
          <w:rFonts w:hint="eastAsia" w:ascii="宋体" w:hAnsi="宋体"/>
          <w:bCs/>
          <w:sz w:val="24"/>
          <w:lang w:val="zh-CN"/>
        </w:rPr>
        <w:t>投标人公章</w:t>
      </w:r>
      <w:bookmarkEnd w:id="96"/>
      <w:r>
        <w:rPr>
          <w:rFonts w:hint="eastAsia" w:ascii="宋体" w:hAnsi="宋体"/>
          <w:bCs/>
          <w:sz w:val="24"/>
          <w:lang w:val="zh-CN"/>
        </w:rPr>
        <w:t>：</w:t>
      </w:r>
    </w:p>
    <w:bookmarkEnd w:id="94"/>
    <w:bookmarkEnd w:id="95"/>
    <w:p w14:paraId="5393F59E">
      <w:pPr>
        <w:rPr>
          <w:rFonts w:ascii="黑体" w:hAnsi="宋体" w:eastAsia="黑体"/>
          <w:bCs/>
          <w:sz w:val="28"/>
          <w:szCs w:val="28"/>
        </w:rPr>
      </w:pPr>
      <w:bookmarkStart w:id="97" w:name="OLE_LINK146"/>
      <w:r>
        <w:rPr>
          <w:rFonts w:ascii="黑体" w:hAnsi="宋体" w:eastAsia="黑体"/>
          <w:bCs/>
          <w:sz w:val="24"/>
          <w:szCs w:val="24"/>
        </w:rPr>
        <w:br w:type="page"/>
      </w:r>
      <w:r>
        <w:rPr>
          <w:rFonts w:hint="eastAsia" w:ascii="黑体" w:hAnsi="宋体" w:eastAsia="黑体"/>
          <w:bCs/>
          <w:sz w:val="28"/>
          <w:szCs w:val="28"/>
        </w:rPr>
        <w:t>（二）报价文件：</w:t>
      </w:r>
      <w:bookmarkEnd w:id="97"/>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90"/>
    </w:p>
    <w:p w14:paraId="30AFE9E8">
      <w:pPr>
        <w:spacing w:beforeLines="50" w:afterLines="50"/>
        <w:jc w:val="center"/>
        <w:rPr>
          <w:rFonts w:ascii="黑体" w:eastAsia="黑体"/>
          <w:bCs/>
          <w:sz w:val="28"/>
          <w:szCs w:val="28"/>
        </w:rPr>
      </w:pPr>
      <w:bookmarkStart w:id="98" w:name="OLE_LINK4"/>
      <w:bookmarkStart w:id="99" w:name="_Toc32423"/>
      <w:r>
        <w:rPr>
          <w:rFonts w:hint="eastAsia" w:ascii="黑体" w:eastAsia="黑体"/>
          <w:bCs/>
          <w:sz w:val="28"/>
          <w:szCs w:val="28"/>
        </w:rPr>
        <w:t>开标一览表</w:t>
      </w:r>
      <w:bookmarkEnd w:id="98"/>
      <w:bookmarkEnd w:id="99"/>
    </w:p>
    <w:p w14:paraId="46BE2FA6">
      <w:pPr>
        <w:spacing w:beforeLines="50" w:afterLines="50"/>
        <w:jc w:val="center"/>
        <w:rPr>
          <w:rFonts w:ascii="宋体" w:hAnsi="宋体"/>
          <w:sz w:val="24"/>
          <w:szCs w:val="24"/>
        </w:rPr>
      </w:pPr>
      <w:bookmarkStart w:id="100" w:name="OLE_LINK31"/>
      <w:r>
        <w:rPr>
          <w:rFonts w:hint="eastAsia" w:ascii="宋体" w:hAnsi="宋体"/>
          <w:sz w:val="24"/>
          <w:szCs w:val="24"/>
        </w:rPr>
        <w:t>投标人名称（盖章）：                                    单位：元</w:t>
      </w:r>
      <w:bookmarkEnd w:id="100"/>
    </w:p>
    <w:tbl>
      <w:tblPr>
        <w:tblStyle w:val="26"/>
        <w:tblW w:w="10578"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348"/>
        <w:gridCol w:w="796"/>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widowControl/>
              <w:jc w:val="center"/>
              <w:textAlignment w:val="center"/>
              <w:rPr>
                <w:rFonts w:ascii="宋体" w:hAnsi="宋体" w:cs="宋体"/>
                <w:color w:val="000000"/>
                <w:szCs w:val="21"/>
              </w:rPr>
            </w:pPr>
            <w:bookmarkStart w:id="101"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widowControl/>
              <w:jc w:val="center"/>
              <w:textAlignment w:val="center"/>
              <w:rPr>
                <w:rFonts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widowControl/>
              <w:jc w:val="center"/>
              <w:textAlignment w:val="center"/>
              <w:rPr>
                <w:rFonts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不含税总价</w:t>
            </w: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2D2E18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增值税税额</w:t>
            </w: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widowControl/>
              <w:jc w:val="center"/>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增值税税</w:t>
            </w:r>
            <w:r>
              <w:rPr>
                <w:rFonts w:hint="eastAsia" w:ascii="宋体" w:hAnsi="宋体" w:cs="宋体"/>
                <w:color w:val="000000"/>
                <w:kern w:val="0"/>
                <w:szCs w:val="21"/>
                <w:lang w:eastAsia="zh-CN"/>
              </w:rPr>
              <w:t>率</w:t>
            </w:r>
          </w:p>
        </w:tc>
      </w:tr>
      <w:tr w14:paraId="0839D605">
        <w:tblPrEx>
          <w:tblCellMar>
            <w:top w:w="0" w:type="dxa"/>
            <w:left w:w="0" w:type="dxa"/>
            <w:bottom w:w="0" w:type="dxa"/>
            <w:right w:w="0" w:type="dxa"/>
          </w:tblCellMar>
        </w:tblPrEx>
        <w:trPr>
          <w:trHeight w:val="1475"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1</w:t>
            </w:r>
          </w:p>
        </w:tc>
        <w:tc>
          <w:tcPr>
            <w:tcW w:w="720"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00E816C5">
            <w:pPr>
              <w:snapToGrid w:val="0"/>
              <w:spacing w:beforeLines="0" w:afterLines="0"/>
              <w:jc w:val="center"/>
              <w:rPr>
                <w:rFonts w:hint="default" w:ascii="宋体" w:hAnsi="宋体" w:eastAsia="宋体" w:cs="宋体"/>
                <w:kern w:val="2"/>
                <w:sz w:val="21"/>
                <w:szCs w:val="21"/>
                <w:lang w:val="en-US" w:eastAsia="zh-CN" w:bidi="ar-SA"/>
              </w:rPr>
            </w:pPr>
            <w:r>
              <w:rPr>
                <w:rFonts w:hint="default" w:ascii="宋体" w:hAnsi="宋体"/>
                <w:sz w:val="21"/>
                <w:szCs w:val="21"/>
              </w:rPr>
              <w:t>水车式生物转盘</w:t>
            </w:r>
          </w:p>
        </w:tc>
        <w:tc>
          <w:tcPr>
            <w:tcW w:w="1616"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5CE809B8">
            <w:pPr>
              <w:snapToGrid w:val="0"/>
              <w:spacing w:beforeLines="0" w:afterLines="0"/>
              <w:rPr>
                <w:rFonts w:hint="default" w:ascii="宋体" w:hAnsi="宋体" w:eastAsia="宋体" w:cs="宋体"/>
                <w:kern w:val="2"/>
                <w:sz w:val="21"/>
                <w:szCs w:val="21"/>
                <w:lang w:val="en-US" w:eastAsia="zh-CN" w:bidi="ar-SA"/>
              </w:rPr>
            </w:pPr>
            <w:r>
              <w:rPr>
                <w:rFonts w:hint="default" w:ascii="宋体" w:hAnsi="宋体" w:cs="宋体"/>
                <w:sz w:val="21"/>
                <w:szCs w:val="21"/>
              </w:rPr>
              <w:t>盘面直径5m，樟子松防腐木，转速6圈/分钟，电机功率3KW，含现地控制柜及控制柜至电机之间的电缆、填料为改性聚氨酯海绵（预挂消化菌微生物膜）</w:t>
            </w:r>
          </w:p>
        </w:tc>
        <w:tc>
          <w:tcPr>
            <w:tcW w:w="67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63A2E01B">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套</w:t>
            </w:r>
          </w:p>
        </w:tc>
        <w:tc>
          <w:tcPr>
            <w:tcW w:w="70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18960730">
            <w:pPr>
              <w:snapToGrid w:val="0"/>
              <w:spacing w:beforeLines="0" w:afterLines="0"/>
              <w:jc w:val="center"/>
              <w:rPr>
                <w:rFonts w:hint="default" w:ascii="宋体" w:hAnsi="宋体" w:eastAsia="宋体" w:cs="宋体"/>
                <w:kern w:val="2"/>
                <w:sz w:val="21"/>
                <w:szCs w:val="21"/>
                <w:lang w:val="en-US" w:eastAsia="zh-CN" w:bidi="ar-SA"/>
              </w:rPr>
            </w:pPr>
            <w:r>
              <w:rPr>
                <w:rFonts w:hint="default" w:ascii="宋体" w:hAnsi="宋体" w:cs="宋体"/>
                <w:sz w:val="21"/>
                <w:szCs w:val="21"/>
              </w:rPr>
              <w:t>2</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widowControl/>
              <w:jc w:val="center"/>
              <w:textAlignment w:val="center"/>
              <w:rPr>
                <w:rFonts w:ascii="宋体" w:hAnsi="宋体" w:cs="宋体"/>
                <w:color w:val="000000"/>
                <w:szCs w:val="21"/>
              </w:rPr>
            </w:pP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widowControl/>
              <w:jc w:val="center"/>
              <w:textAlignment w:val="center"/>
              <w:rPr>
                <w:rFonts w:ascii="宋体" w:hAnsi="宋体" w:cs="宋体"/>
                <w:color w:val="000000"/>
                <w:kern w:val="0"/>
                <w:szCs w:val="21"/>
              </w:rPr>
            </w:pP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D4DA2BB">
            <w:pPr>
              <w:widowControl/>
              <w:jc w:val="center"/>
              <w:textAlignment w:val="center"/>
              <w:rPr>
                <w:rFonts w:ascii="宋体" w:hAnsi="宋体" w:cs="宋体"/>
                <w:color w:val="000000"/>
                <w:kern w:val="0"/>
                <w:szCs w:val="21"/>
              </w:rPr>
            </w:pPr>
          </w:p>
        </w:tc>
      </w:tr>
      <w:tr w14:paraId="4A5EB801">
        <w:tblPrEx>
          <w:tblCellMar>
            <w:top w:w="0" w:type="dxa"/>
            <w:left w:w="0" w:type="dxa"/>
            <w:bottom w:w="0" w:type="dxa"/>
            <w:right w:w="0" w:type="dxa"/>
          </w:tblCellMar>
        </w:tblPrEx>
        <w:trPr>
          <w:trHeight w:val="1475"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BCD36C">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2</w:t>
            </w:r>
          </w:p>
        </w:tc>
        <w:tc>
          <w:tcPr>
            <w:tcW w:w="720"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557C3C1F">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sz w:val="21"/>
                <w:szCs w:val="21"/>
              </w:rPr>
              <w:t>水车式生物转盘</w:t>
            </w:r>
          </w:p>
        </w:tc>
        <w:tc>
          <w:tcPr>
            <w:tcW w:w="1616"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2652C61A">
            <w:pPr>
              <w:snapToGrid w:val="0"/>
              <w:spacing w:beforeLines="0" w:afterLines="0"/>
              <w:rPr>
                <w:rFonts w:hint="eastAsia" w:ascii="宋体" w:hAnsi="宋体" w:eastAsia="宋体" w:cs="宋体"/>
                <w:kern w:val="2"/>
                <w:sz w:val="21"/>
                <w:szCs w:val="21"/>
                <w:lang w:val="en-US" w:eastAsia="zh-CN" w:bidi="ar-SA"/>
              </w:rPr>
            </w:pPr>
            <w:r>
              <w:rPr>
                <w:rFonts w:hint="default" w:ascii="宋体" w:hAnsi="宋体" w:cs="宋体"/>
                <w:sz w:val="21"/>
                <w:szCs w:val="21"/>
              </w:rPr>
              <w:t>盘面直径8m，樟子松防腐木，转速4圈/分钟，电机功率5.5KW，含现地控制柜及控制柜至电机之间的电缆、填料为改性聚氨酯海绵（预挂消化菌微生物膜）</w:t>
            </w:r>
          </w:p>
        </w:tc>
        <w:tc>
          <w:tcPr>
            <w:tcW w:w="67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31FBEDD8">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套</w:t>
            </w:r>
          </w:p>
        </w:tc>
        <w:tc>
          <w:tcPr>
            <w:tcW w:w="705" w:type="dxa"/>
            <w:tcBorders>
              <w:top w:val="single" w:color="000000" w:sz="4" w:space="0"/>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48DB22D9">
            <w:pPr>
              <w:snapToGrid w:val="0"/>
              <w:spacing w:beforeLines="0" w:afterLines="0"/>
              <w:jc w:val="center"/>
              <w:rPr>
                <w:rFonts w:hint="eastAsia" w:ascii="宋体" w:hAnsi="宋体" w:eastAsia="宋体" w:cs="宋体"/>
                <w:kern w:val="2"/>
                <w:sz w:val="21"/>
                <w:szCs w:val="21"/>
                <w:lang w:val="en-US" w:eastAsia="zh-CN" w:bidi="ar-SA"/>
              </w:rPr>
            </w:pPr>
            <w:r>
              <w:rPr>
                <w:rFonts w:hint="default" w:ascii="宋体" w:hAnsi="宋体" w:cs="宋体"/>
                <w:sz w:val="21"/>
                <w:szCs w:val="21"/>
              </w:rPr>
              <w:t>2</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D78A1A">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B7F3ED">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B95E9A">
            <w:pPr>
              <w:widowControl/>
              <w:jc w:val="center"/>
              <w:textAlignment w:val="center"/>
              <w:rPr>
                <w:rFonts w:ascii="宋体" w:hAnsi="宋体" w:cs="宋体"/>
                <w:color w:val="000000"/>
                <w:szCs w:val="21"/>
              </w:rPr>
            </w:pPr>
          </w:p>
        </w:tc>
        <w:tc>
          <w:tcPr>
            <w:tcW w:w="134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D024679">
            <w:pPr>
              <w:widowControl/>
              <w:jc w:val="center"/>
              <w:textAlignment w:val="center"/>
              <w:rPr>
                <w:rFonts w:ascii="宋体" w:hAnsi="宋体" w:cs="宋体"/>
                <w:color w:val="000000"/>
                <w:kern w:val="0"/>
                <w:szCs w:val="21"/>
              </w:rPr>
            </w:pPr>
          </w:p>
        </w:tc>
        <w:tc>
          <w:tcPr>
            <w:tcW w:w="79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F0EDBAD">
            <w:pPr>
              <w:widowControl/>
              <w:jc w:val="center"/>
              <w:textAlignment w:val="center"/>
              <w:rPr>
                <w:rFonts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widowControl/>
              <w:jc w:val="center"/>
              <w:textAlignment w:val="center"/>
              <w:rPr>
                <w:rFonts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widowControl/>
              <w:jc w:val="center"/>
              <w:textAlignment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widowControl/>
              <w:jc w:val="center"/>
              <w:textAlignment w:val="center"/>
              <w:rPr>
                <w:rFonts w:ascii="宋体" w:hAnsi="宋体" w:cs="宋体"/>
                <w:color w:val="000000"/>
                <w:kern w:val="0"/>
                <w:szCs w:val="21"/>
              </w:rPr>
            </w:pPr>
          </w:p>
        </w:tc>
        <w:tc>
          <w:tcPr>
            <w:tcW w:w="13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widowControl/>
              <w:jc w:val="center"/>
              <w:textAlignment w:val="center"/>
              <w:rPr>
                <w:rFonts w:ascii="宋体" w:hAnsi="宋体" w:cs="宋体"/>
                <w:color w:val="000000"/>
                <w:kern w:val="0"/>
                <w:szCs w:val="21"/>
              </w:rPr>
            </w:pPr>
          </w:p>
        </w:tc>
        <w:tc>
          <w:tcPr>
            <w:tcW w:w="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D0096C">
            <w:pPr>
              <w:widowControl/>
              <w:jc w:val="center"/>
              <w:textAlignment w:val="center"/>
              <w:rPr>
                <w:rFonts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合计（含税）</w:t>
            </w:r>
          </w:p>
        </w:tc>
        <w:tc>
          <w:tcPr>
            <w:tcW w:w="7683" w:type="dxa"/>
            <w:gridSpan w:val="7"/>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widowControl/>
              <w:jc w:val="left"/>
              <w:textAlignment w:val="center"/>
              <w:rPr>
                <w:rFonts w:ascii="宋体" w:hAnsi="宋体" w:cs="宋体"/>
                <w:color w:val="000000"/>
                <w:kern w:val="0"/>
                <w:szCs w:val="21"/>
              </w:rPr>
            </w:pPr>
          </w:p>
        </w:tc>
        <w:tc>
          <w:tcPr>
            <w:tcW w:w="7683" w:type="dxa"/>
            <w:gridSpan w:val="7"/>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widowControl/>
              <w:jc w:val="left"/>
              <w:textAlignment w:val="center"/>
              <w:rPr>
                <w:rFonts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1"/>
      <w:bookmarkStart w:id="102"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3"/>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3"/>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3"/>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3"/>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bookmarkEnd w:id="102"/>
    <w:p w14:paraId="10A5B21A">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5337F9AF">
      <w:pPr>
        <w:spacing w:beforeLines="50" w:afterLines="50"/>
        <w:jc w:val="center"/>
        <w:rPr>
          <w:rFonts w:ascii="黑体" w:eastAsia="黑体"/>
          <w:bCs/>
          <w:sz w:val="32"/>
        </w:rPr>
      </w:pPr>
      <w:bookmarkStart w:id="105" w:name="报价方关于资格的声明函（格式）"/>
      <w:bookmarkEnd w:id="105"/>
      <w:bookmarkStart w:id="106" w:name="_Toc24943"/>
      <w:r>
        <w:rPr>
          <w:rFonts w:hint="eastAsia" w:ascii="黑体" w:eastAsia="黑体"/>
          <w:bCs/>
          <w:sz w:val="28"/>
          <w:szCs w:val="28"/>
        </w:rPr>
        <w:t>关于资格的声明函</w:t>
      </w:r>
      <w:bookmarkEnd w:id="106"/>
    </w:p>
    <w:p w14:paraId="78FD1E80">
      <w:pPr>
        <w:spacing w:line="480" w:lineRule="auto"/>
        <w:jc w:val="left"/>
        <w:rPr>
          <w:rFonts w:hint="eastAsia" w:ascii="宋体" w:eastAsia="宋体"/>
          <w:bCs/>
          <w:sz w:val="24"/>
          <w:szCs w:val="24"/>
          <w:lang w:eastAsia="zh-CN"/>
        </w:rPr>
      </w:pPr>
      <w:bookmarkStart w:id="107" w:name="OLE_LINK80"/>
      <w:r>
        <w:rPr>
          <w:rFonts w:hint="eastAsia" w:ascii="宋体" w:hAnsi="宋体"/>
          <w:bCs/>
          <w:sz w:val="24"/>
          <w:szCs w:val="24"/>
        </w:rPr>
        <w:t xml:space="preserve">         项目编号：</w:t>
      </w:r>
      <w:r>
        <w:rPr>
          <w:rFonts w:hint="eastAsia" w:ascii="宋体" w:hAnsi="宋体"/>
          <w:bCs/>
          <w:sz w:val="24"/>
          <w:szCs w:val="24"/>
          <w:lang w:eastAsia="zh-CN"/>
        </w:rPr>
        <w:t>YXGYJT202512003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7"/>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YXGYJT202512003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YXGYJT202512003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8"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8"/>
    <w:p w14:paraId="70311907">
      <w:pPr>
        <w:spacing w:line="360" w:lineRule="auto"/>
        <w:jc w:val="center"/>
        <w:rPr>
          <w:rFonts w:ascii="黑体" w:eastAsia="黑体"/>
          <w:bCs/>
          <w:sz w:val="28"/>
          <w:szCs w:val="28"/>
        </w:rPr>
      </w:pPr>
      <w:bookmarkStart w:id="109" w:name="OLE_LINK36"/>
      <w:bookmarkStart w:id="110"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9"/>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10"/>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项目编号：YXGYJT202512003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1"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4" w:name="OLE_LINK187"/>
                            <w:r>
                              <w:rPr>
                                <w:rFonts w:hint="eastAsia" w:ascii="楷体_GB2312" w:eastAsia="楷体_GB2312"/>
                                <w:sz w:val="28"/>
                                <w:szCs w:val="28"/>
                              </w:rPr>
                              <w:t>被授权</w:t>
                            </w:r>
                            <w:bookmarkEnd w:id="114"/>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4" w:name="OLE_LINK187"/>
                      <w:r>
                        <w:rPr>
                          <w:rFonts w:hint="eastAsia" w:ascii="楷体_GB2312" w:eastAsia="楷体_GB2312"/>
                          <w:sz w:val="28"/>
                          <w:szCs w:val="28"/>
                        </w:rPr>
                        <w:t>被授权</w:t>
                      </w:r>
                      <w:bookmarkEnd w:id="114"/>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3"/>
    <w:bookmarkEnd w:id="111"/>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2"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项目编号：YXGYJT202512003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B2986F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ABB4B5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F50692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4FD3FA9">
            <w:pPr>
              <w:tabs>
                <w:tab w:val="left" w:pos="255"/>
              </w:tabs>
              <w:spacing w:line="360" w:lineRule="auto"/>
              <w:ind w:left="420" w:leftChars="200" w:firstLine="480" w:firstLineChars="200"/>
              <w:rPr>
                <w:rFonts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BB9E93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25FDDB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8B24E0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04DAE9F">
            <w:pPr>
              <w:tabs>
                <w:tab w:val="left" w:pos="255"/>
              </w:tabs>
              <w:spacing w:line="360" w:lineRule="auto"/>
              <w:ind w:left="420" w:leftChars="200" w:firstLine="480" w:firstLineChars="200"/>
              <w:rPr>
                <w:rFonts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BF4C34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76E416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D5B75D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8612141">
            <w:pPr>
              <w:tabs>
                <w:tab w:val="left" w:pos="255"/>
              </w:tabs>
              <w:spacing w:line="360" w:lineRule="auto"/>
              <w:ind w:left="420" w:leftChars="200" w:firstLine="480" w:firstLineChars="200"/>
              <w:rPr>
                <w:rFonts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03606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C16B64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ACEB3B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70D579A">
            <w:pPr>
              <w:tabs>
                <w:tab w:val="left" w:pos="255"/>
              </w:tabs>
              <w:spacing w:line="360" w:lineRule="auto"/>
              <w:ind w:left="420" w:leftChars="200" w:firstLine="480" w:firstLineChars="200"/>
              <w:rPr>
                <w:rFonts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BE1BC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725D4B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6FC3D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F64431F">
            <w:pPr>
              <w:tabs>
                <w:tab w:val="left" w:pos="255"/>
              </w:tabs>
              <w:spacing w:line="360" w:lineRule="auto"/>
              <w:ind w:left="420" w:leftChars="200" w:firstLine="480" w:firstLineChars="200"/>
              <w:rPr>
                <w:rFonts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AF80C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F1951D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7292BA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ADCC650">
            <w:pPr>
              <w:tabs>
                <w:tab w:val="left" w:pos="255"/>
              </w:tabs>
              <w:spacing w:line="360" w:lineRule="auto"/>
              <w:ind w:left="420" w:leftChars="200" w:firstLine="480" w:firstLineChars="200"/>
              <w:rPr>
                <w:rFonts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2AA38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37D407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852843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867D13A">
            <w:pPr>
              <w:tabs>
                <w:tab w:val="left" w:pos="255"/>
              </w:tabs>
              <w:spacing w:line="360" w:lineRule="auto"/>
              <w:ind w:left="420" w:leftChars="200" w:firstLine="480" w:firstLineChars="200"/>
              <w:rPr>
                <w:rFonts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2"/>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水车式生物转盘采购（</w:t>
      </w:r>
      <w:r>
        <w:rPr>
          <w:rFonts w:hint="eastAsia" w:ascii="宋体" w:hAnsi="宋体"/>
          <w:b/>
          <w:bCs/>
          <w:sz w:val="44"/>
          <w:szCs w:val="44"/>
          <w:lang w:val="en-US" w:eastAsia="zh-CN"/>
        </w:rPr>
        <w:t>第二次</w:t>
      </w:r>
      <w:r>
        <w:rPr>
          <w:rFonts w:hint="eastAsia" w:ascii="宋体" w:hAnsi="宋体"/>
          <w:b/>
          <w:bCs/>
          <w:sz w:val="44"/>
          <w:szCs w:val="44"/>
          <w:lang w:eastAsia="zh-CN"/>
        </w:rPr>
        <w:t>）</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水车式生物转盘采购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YXGYJT202512003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水车式生物转盘采购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30</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29</w:t>
      </w:r>
      <w:r>
        <w:rPr>
          <w:rFonts w:hint="eastAsia" w:ascii="仿宋_GB2312" w:eastAsia="仿宋_GB2312"/>
          <w:sz w:val="28"/>
          <w:szCs w:val="28"/>
        </w:rPr>
        <w:t>日10:</w:t>
      </w:r>
      <w:r>
        <w:rPr>
          <w:rFonts w:hint="eastAsia" w:ascii="仿宋_GB2312" w:eastAsia="仿宋_GB2312"/>
          <w:sz w:val="28"/>
          <w:szCs w:val="28"/>
          <w:lang w:val="en-US" w:eastAsia="zh-CN"/>
        </w:rPr>
        <w:t>0</w:t>
      </w:r>
      <w:r>
        <w:rPr>
          <w:rFonts w:hint="eastAsia" w:ascii="仿宋_GB2312" w:eastAsia="仿宋_GB2312"/>
          <w:sz w:val="28"/>
          <w:szCs w:val="28"/>
        </w:rPr>
        <w:t xml:space="preserve">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 23</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28</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spacing w:line="560" w:lineRule="exact"/>
              <w:rPr>
                <w:rFonts w:ascii="仿宋_GB2312" w:eastAsia="仿宋_GB2312"/>
                <w:sz w:val="28"/>
                <w:szCs w:val="28"/>
              </w:rPr>
            </w:pPr>
            <w:bookmarkStart w:id="113" w:name="OLE_LINK29"/>
            <w:bookmarkEnd w:id="113"/>
            <w:r>
              <w:rPr>
                <w:rFonts w:hint="eastAsia" w:ascii="仿宋_GB2312" w:eastAsia="仿宋_GB2312"/>
                <w:sz w:val="28"/>
                <w:szCs w:val="28"/>
              </w:rPr>
              <w:t>采购人：宜兴市公用市政工程有限公司</w:t>
            </w:r>
          </w:p>
          <w:p w14:paraId="006C21B9">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吴</w:t>
            </w:r>
            <w:r>
              <w:rPr>
                <w:rFonts w:hint="eastAsia" w:ascii="仿宋_GB2312" w:eastAsia="仿宋_GB2312"/>
                <w:sz w:val="28"/>
                <w:szCs w:val="28"/>
                <w:lang w:eastAsia="zh-CN"/>
              </w:rPr>
              <w:t>先生</w:t>
            </w:r>
            <w:r>
              <w:rPr>
                <w:rFonts w:hint="eastAsia" w:ascii="仿宋_GB2312" w:eastAsia="仿宋_GB2312"/>
                <w:sz w:val="28"/>
                <w:szCs w:val="28"/>
              </w:rPr>
              <w:t>、应先生</w:t>
            </w:r>
          </w:p>
          <w:p w14:paraId="12D8182D">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73974286">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3C8668A">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23</w:t>
      </w:r>
      <w:bookmarkStart w:id="115" w:name="_GoBack"/>
      <w:bookmarkEnd w:id="115"/>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tentative="0">
      <w:start w:val="4"/>
      <w:numFmt w:val="chineseCounting"/>
      <w:suff w:val="nothing"/>
      <w:lvlText w:val="%1、"/>
      <w:lvlJc w:val="left"/>
    </w:lvl>
  </w:abstractNum>
  <w:abstractNum w:abstractNumId="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7">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2"/>
  </w:num>
  <w:num w:numId="4">
    <w:abstractNumId w:val="11"/>
  </w:num>
  <w:num w:numId="5">
    <w:abstractNumId w:val="3"/>
  </w:num>
  <w:num w:numId="6">
    <w:abstractNumId w:val="4"/>
  </w:num>
  <w:num w:numId="7">
    <w:abstractNumId w:val="8"/>
  </w:num>
  <w:num w:numId="8">
    <w:abstractNumId w:val="9"/>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C74C84"/>
    <w:rsid w:val="18E115CD"/>
    <w:rsid w:val="191D27A9"/>
    <w:rsid w:val="19544FE8"/>
    <w:rsid w:val="196253E2"/>
    <w:rsid w:val="19760CC7"/>
    <w:rsid w:val="1B314696"/>
    <w:rsid w:val="1BB9784D"/>
    <w:rsid w:val="1BC834AF"/>
    <w:rsid w:val="1BCB4818"/>
    <w:rsid w:val="1C072B6B"/>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5673CEA"/>
    <w:rsid w:val="262B1F36"/>
    <w:rsid w:val="26E93EA5"/>
    <w:rsid w:val="26EF1BA9"/>
    <w:rsid w:val="27B34BD4"/>
    <w:rsid w:val="286C2036"/>
    <w:rsid w:val="28AE36BC"/>
    <w:rsid w:val="297D3F88"/>
    <w:rsid w:val="29A01894"/>
    <w:rsid w:val="29C42123"/>
    <w:rsid w:val="2A7E473F"/>
    <w:rsid w:val="2A9F45DB"/>
    <w:rsid w:val="2ACA7FA9"/>
    <w:rsid w:val="2B31203E"/>
    <w:rsid w:val="2C35542F"/>
    <w:rsid w:val="2C832EC0"/>
    <w:rsid w:val="2C9A5FAE"/>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AA1CB7"/>
    <w:rsid w:val="34565A58"/>
    <w:rsid w:val="345B5737"/>
    <w:rsid w:val="347E6F75"/>
    <w:rsid w:val="34AF1BF4"/>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5E1CA4"/>
    <w:rsid w:val="476010B1"/>
    <w:rsid w:val="47C316AF"/>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2194544"/>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755CB5"/>
    <w:rsid w:val="57A35C12"/>
    <w:rsid w:val="57F61CC6"/>
    <w:rsid w:val="584238F9"/>
    <w:rsid w:val="58643B01"/>
    <w:rsid w:val="58B73C1F"/>
    <w:rsid w:val="58F307D5"/>
    <w:rsid w:val="5924314F"/>
    <w:rsid w:val="59E62F62"/>
    <w:rsid w:val="59F10448"/>
    <w:rsid w:val="59F37A5D"/>
    <w:rsid w:val="5A08675B"/>
    <w:rsid w:val="5A322B07"/>
    <w:rsid w:val="5BB249D5"/>
    <w:rsid w:val="5BC10EE9"/>
    <w:rsid w:val="5BD90156"/>
    <w:rsid w:val="5C1F0A63"/>
    <w:rsid w:val="5C3B1A81"/>
    <w:rsid w:val="5C7F3CCE"/>
    <w:rsid w:val="5D06569C"/>
    <w:rsid w:val="5D940211"/>
    <w:rsid w:val="5DEA21A7"/>
    <w:rsid w:val="5EDA2A3B"/>
    <w:rsid w:val="602C2E5E"/>
    <w:rsid w:val="602D0A71"/>
    <w:rsid w:val="60453347"/>
    <w:rsid w:val="60785B0D"/>
    <w:rsid w:val="612C2AD6"/>
    <w:rsid w:val="6155643C"/>
    <w:rsid w:val="61924F64"/>
    <w:rsid w:val="61D22377"/>
    <w:rsid w:val="62E27D2B"/>
    <w:rsid w:val="635B02E4"/>
    <w:rsid w:val="64F616AF"/>
    <w:rsid w:val="652933E9"/>
    <w:rsid w:val="654E76D9"/>
    <w:rsid w:val="65556E06"/>
    <w:rsid w:val="66576D39"/>
    <w:rsid w:val="66950595"/>
    <w:rsid w:val="66C648EB"/>
    <w:rsid w:val="670B641E"/>
    <w:rsid w:val="67780E47"/>
    <w:rsid w:val="67D86A01"/>
    <w:rsid w:val="680B6339"/>
    <w:rsid w:val="68405CA5"/>
    <w:rsid w:val="68861AD6"/>
    <w:rsid w:val="68B37628"/>
    <w:rsid w:val="68F14030"/>
    <w:rsid w:val="693419B2"/>
    <w:rsid w:val="699F0E2E"/>
    <w:rsid w:val="69B42737"/>
    <w:rsid w:val="69DF3EBC"/>
    <w:rsid w:val="69EA4A63"/>
    <w:rsid w:val="6A43084B"/>
    <w:rsid w:val="6AE921A2"/>
    <w:rsid w:val="6C3E5380"/>
    <w:rsid w:val="6C6030AC"/>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234210"/>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470269"/>
    <w:rsid w:val="7E53562F"/>
    <w:rsid w:val="7EF6608D"/>
    <w:rsid w:val="7F4D2CD4"/>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14401</Words>
  <Characters>14925</Characters>
  <Lines>124</Lines>
  <Paragraphs>35</Paragraphs>
  <TotalTime>18</TotalTime>
  <ScaleCrop>false</ScaleCrop>
  <LinksUpToDate>false</LinksUpToDate>
  <CharactersWithSpaces>15601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黄蓉</cp:lastModifiedBy>
  <cp:lastPrinted>2024-06-21T03:31:00Z</cp:lastPrinted>
  <dcterms:modified xsi:type="dcterms:W3CDTF">2025-12-23T08:38:04Z</dcterms:modified>
  <dc:title>宜 兴 市 政 府 采 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eyJoZGlkIjoiY2Q2NDgwNDQ0MjQ0YmM5MWQ2ZjBmMWJlYTk3OTIzYzkiLCJ1c2VySWQiOiIyMzQ4ODI3MjIifQ==</vt:lpwstr>
  </property>
</Properties>
</file>