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玻璃钢船只上岸年检项目</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10A45C7D">
      <w:pPr>
        <w:jc w:val="center"/>
        <w:rPr>
          <w:rFonts w:hint="eastAsia" w:ascii="黑体" w:hAnsi="黑体" w:eastAsia="黑体"/>
          <w:b/>
          <w:bCs/>
          <w:color w:val="auto"/>
          <w:sz w:val="96"/>
          <w:szCs w:val="96"/>
          <w:highlight w:val="none"/>
        </w:rPr>
      </w:pPr>
    </w:p>
    <w:p w14:paraId="5CD5B73F">
      <w:pPr>
        <w:pStyle w:val="5"/>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YXGYJT202511015</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玻璃钢船只上岸年检项目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十二</w:t>
      </w:r>
      <w:r>
        <w:rPr>
          <w:rFonts w:hint="eastAsia" w:ascii="宋体" w:hAnsi="宋体"/>
          <w:color w:val="auto"/>
          <w:sz w:val="32"/>
          <w:highlight w:val="none"/>
        </w:rPr>
        <w:t>月</w:t>
      </w:r>
    </w:p>
    <w:p w14:paraId="4A57CBED">
      <w:pPr>
        <w:rPr>
          <w:rStyle w:val="14"/>
          <w:rFonts w:eastAsia="黑体"/>
          <w:bCs/>
          <w:color w:val="auto"/>
          <w:sz w:val="48"/>
          <w:highlight w:val="none"/>
        </w:rPr>
        <w:sectPr>
          <w:footerReference r:id="rId4" w:type="first"/>
          <w:footerReference r:id="rId3" w:type="default"/>
          <w:pgSz w:w="11906" w:h="16838"/>
          <w:pgMar w:top="1134" w:right="1134" w:bottom="1134" w:left="1134" w:header="851" w:footer="992" w:gutter="0"/>
          <w:cols w:space="0" w:num="1"/>
          <w:rtlGutter w:val="0"/>
          <w:docGrid w:type="lines" w:linePitch="312" w:charSpace="0"/>
        </w:sectPr>
      </w:pPr>
    </w:p>
    <w:p w14:paraId="0A878D8A">
      <w:pPr>
        <w:jc w:val="center"/>
        <w:rPr>
          <w:rStyle w:val="14"/>
          <w:rFonts w:eastAsia="黑体"/>
          <w:bCs/>
          <w:color w:val="auto"/>
          <w:sz w:val="48"/>
          <w:highlight w:val="none"/>
        </w:rPr>
      </w:pPr>
      <w:r>
        <w:rPr>
          <w:rStyle w:val="14"/>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5A36B565">
      <w:pPr>
        <w:pStyle w:val="8"/>
        <w:numPr>
          <w:ilvl w:val="0"/>
          <w:numId w:val="1"/>
        </w:numPr>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投标邀请函</w:t>
      </w:r>
    </w:p>
    <w:p w14:paraId="7FA206CD">
      <w:pPr>
        <w:pStyle w:val="8"/>
        <w:numPr>
          <w:ilvl w:val="0"/>
          <w:numId w:val="0"/>
        </w:numPr>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p>
    <w:p w14:paraId="5396CCFC">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p>
    <w:p w14:paraId="68147406">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p>
    <w:p w14:paraId="32E4F48C">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p>
    <w:p w14:paraId="4E2670C9">
      <w:pPr>
        <w:pStyle w:val="8"/>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玻璃钢船只上岸年检项目</w:t>
      </w:r>
      <w:r>
        <w:rPr>
          <w:rFonts w:hint="eastAsia" w:ascii="宋体" w:hAnsi="宋体"/>
          <w:bCs/>
          <w:color w:val="auto"/>
          <w:sz w:val="24"/>
          <w:szCs w:val="24"/>
          <w:highlight w:val="none"/>
        </w:rPr>
        <w:t>进行公开招标，欢迎你单位参加投标并提请注意下列附表中的相关事项：</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29543"/>
            <w:bookmarkStart w:id="3" w:name="_Toc11477"/>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：YXGYJT202511015</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玻璃钢船只上岸年检项目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10.23</w:t>
            </w:r>
            <w:r>
              <w:rPr>
                <w:rFonts w:hint="eastAsia" w:ascii="宋体" w:hAnsi="宋体" w:eastAsia="宋体" w:cs="Times New Roman"/>
                <w:bCs/>
                <w:color w:val="auto"/>
                <w:sz w:val="24"/>
                <w:szCs w:val="24"/>
                <w:highlight w:val="none"/>
                <w:lang w:val="en-US" w:eastAsia="zh-CN"/>
              </w:rPr>
              <w:t>万</w:t>
            </w:r>
            <w:r>
              <w:rPr>
                <w:rFonts w:hint="eastAsia" w:ascii="宋体" w:hAnsi="宋体" w:cs="Times New Roman"/>
                <w:bCs/>
                <w:color w:val="auto"/>
                <w:sz w:val="24"/>
                <w:szCs w:val="24"/>
                <w:highlight w:val="none"/>
                <w:lang w:val="en-US" w:eastAsia="zh-CN"/>
              </w:rPr>
              <w:t>元</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5"/>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5"/>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5"/>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5"/>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5"/>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5"/>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5"/>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42EC491F">
            <w:pPr>
              <w:pStyle w:val="15"/>
              <w:spacing w:line="276" w:lineRule="auto"/>
              <w:rPr>
                <w:rFonts w:hint="default"/>
                <w:color w:val="auto"/>
                <w:highlight w:val="none"/>
                <w:lang w:val="en-US"/>
              </w:rPr>
            </w:pPr>
            <w:r>
              <w:rPr>
                <w:rFonts w:hint="eastAsia"/>
                <w:color w:val="auto"/>
                <w:highlight w:val="none"/>
                <w:lang w:val="zh-CN"/>
              </w:rPr>
              <w:t>⑥良好的信用记录：投标截止时间之前，未被“信用中国”网站（</w:t>
            </w:r>
            <w:r>
              <w:rPr>
                <w:rFonts w:hint="eastAsia"/>
                <w:color w:val="auto"/>
                <w:highlight w:val="none"/>
                <w:lang w:val="zh-CN"/>
              </w:rPr>
              <w:fldChar w:fldCharType="begin"/>
            </w:r>
            <w:r>
              <w:rPr>
                <w:rFonts w:hint="eastAsia"/>
                <w:color w:val="auto"/>
                <w:highlight w:val="none"/>
                <w:lang w:val="zh-CN"/>
              </w:rPr>
              <w:instrText xml:space="preserve"> HYPERLINK "http://www.creditchina.gov.cn" </w:instrText>
            </w:r>
            <w:r>
              <w:rPr>
                <w:rFonts w:hint="eastAsia"/>
                <w:color w:val="auto"/>
                <w:highlight w:val="none"/>
                <w:lang w:val="zh-CN"/>
              </w:rPr>
              <w:fldChar w:fldCharType="separate"/>
            </w:r>
            <w:r>
              <w:rPr>
                <w:rFonts w:hint="eastAsia"/>
                <w:color w:val="auto"/>
                <w:highlight w:val="none"/>
                <w:lang w:val="zh-CN"/>
              </w:rPr>
              <w:t>www.creditchina.gov.cn</w:t>
            </w:r>
            <w:r>
              <w:rPr>
                <w:rFonts w:hint="eastAsia"/>
                <w:color w:val="auto"/>
                <w:highlight w:val="none"/>
                <w:lang w:val="zh-CN"/>
              </w:rPr>
              <w:fldChar w:fldCharType="end"/>
            </w:r>
            <w:r>
              <w:rPr>
                <w:rFonts w:hint="eastAsia"/>
                <w:color w:val="auto"/>
                <w:highlight w:val="none"/>
                <w:lang w:val="zh-CN"/>
              </w:rPr>
              <w:t>）列入失信</w:t>
            </w:r>
            <w:r>
              <w:rPr>
                <w:rFonts w:hint="eastAsia"/>
                <w:color w:val="auto"/>
                <w:highlight w:val="none"/>
                <w:lang w:val="en-US" w:eastAsia="zh-CN"/>
              </w:rPr>
              <w:t>被</w:t>
            </w:r>
            <w:r>
              <w:rPr>
                <w:rFonts w:hint="eastAsia"/>
                <w:color w:val="auto"/>
                <w:highlight w:val="none"/>
                <w:lang w:val="zh-CN"/>
              </w:rPr>
              <w:t>执行人、重大税收违法</w:t>
            </w:r>
            <w:r>
              <w:rPr>
                <w:rFonts w:hint="eastAsia"/>
                <w:color w:val="auto"/>
                <w:highlight w:val="none"/>
                <w:lang w:val="en-US" w:eastAsia="zh-CN"/>
              </w:rPr>
              <w:t>失信主体</w:t>
            </w:r>
            <w:r>
              <w:rPr>
                <w:rFonts w:hint="eastAsia"/>
                <w:color w:val="auto"/>
                <w:highlight w:val="none"/>
                <w:lang w:val="zh-CN"/>
              </w:rPr>
              <w:t>名单、</w:t>
            </w:r>
            <w:r>
              <w:rPr>
                <w:rFonts w:hint="eastAsia"/>
                <w:color w:val="auto"/>
                <w:highlight w:val="none"/>
                <w:lang w:val="en-US" w:eastAsia="zh-CN"/>
              </w:rPr>
              <w:t>严重失信主体名单</w:t>
            </w:r>
            <w:r>
              <w:rPr>
                <w:rFonts w:hint="eastAsia"/>
                <w:color w:val="auto"/>
                <w:highlight w:val="none"/>
                <w:lang w:val="zh-CN"/>
              </w:rPr>
              <w:t>，未被“中国政府采购网”网站（www.ccgp.gov.cn）列入政府采购严重违法失信行为记录名单。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1A4BD03">
            <w:pPr>
              <w:pStyle w:val="15"/>
              <w:ind w:left="240" w:hanging="240" w:hangingChars="100"/>
              <w:rPr>
                <w:rFonts w:hint="eastAsia" w:hAnsi="宋体" w:cs="宋体"/>
                <w:color w:val="auto"/>
                <w:szCs w:val="24"/>
                <w:highlight w:val="none"/>
                <w:lang w:val="en-US" w:eastAsia="zh-CN"/>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p>
          <w:p w14:paraId="1E43405A">
            <w:pPr>
              <w:pStyle w:val="15"/>
              <w:rPr>
                <w:rFonts w:hint="eastAsia" w:hAnsi="宋体" w:cs="宋体"/>
                <w:bCs/>
                <w:color w:val="auto"/>
                <w:kern w:val="2"/>
                <w:szCs w:val="24"/>
                <w:highlight w:val="none"/>
              </w:rPr>
            </w:pPr>
            <w:r>
              <w:rPr>
                <w:rFonts w:hint="eastAsia" w:hAnsi="宋体" w:cs="宋体"/>
                <w:color w:val="auto"/>
                <w:szCs w:val="24"/>
                <w:highlight w:val="none"/>
              </w:rPr>
              <w:t>月</w:t>
            </w:r>
            <w:r>
              <w:rPr>
                <w:rFonts w:hint="eastAsia" w:hAnsi="宋体" w:cs="宋体"/>
                <w:color w:val="auto"/>
                <w:szCs w:val="24"/>
                <w:highlight w:val="none"/>
                <w:lang w:val="en-US" w:eastAsia="zh-CN"/>
              </w:rPr>
              <w:t>18</w:t>
            </w:r>
            <w:r>
              <w:rPr>
                <w:rFonts w:hint="eastAsia" w:hAnsi="宋体" w:cs="宋体"/>
                <w:color w:val="auto"/>
                <w:szCs w:val="24"/>
                <w:highlight w:val="none"/>
              </w:rPr>
              <w:t>日</w:t>
            </w:r>
            <w:r>
              <w:rPr>
                <w:rFonts w:hint="eastAsia" w:hAnsi="宋体" w:cs="宋体"/>
                <w:color w:val="auto"/>
                <w:szCs w:val="24"/>
                <w:highlight w:val="none"/>
                <w:lang w:val="en-US" w:eastAsia="zh-CN"/>
              </w:rPr>
              <w:t>下午5:00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r>
              <w:rPr>
                <w:rFonts w:hint="eastAsia" w:hAnsi="宋体" w:cs="宋体"/>
                <w:color w:val="auto"/>
                <w:szCs w:val="24"/>
                <w:highlight w:val="none"/>
              </w:rPr>
              <w:t>月</w:t>
            </w:r>
            <w:r>
              <w:rPr>
                <w:rFonts w:hint="eastAsia" w:hAnsi="宋体" w:cs="宋体"/>
                <w:color w:val="auto"/>
                <w:szCs w:val="24"/>
                <w:highlight w:val="none"/>
                <w:lang w:val="en-US" w:eastAsia="zh-CN"/>
              </w:rPr>
              <w:t>25</w:t>
            </w:r>
            <w:r>
              <w:rPr>
                <w:rFonts w:hint="eastAsia" w:hAnsi="宋体" w:cs="宋体"/>
                <w:color w:val="auto"/>
                <w:szCs w:val="24"/>
                <w:highlight w:val="none"/>
              </w:rPr>
              <w:t>日</w:t>
            </w:r>
            <w:r>
              <w:rPr>
                <w:rFonts w:hint="eastAsia" w:hAnsi="宋体" w:cs="宋体"/>
                <w:color w:val="auto"/>
                <w:szCs w:val="24"/>
                <w:highlight w:val="none"/>
                <w:lang w:val="en-US" w:eastAsia="zh-CN"/>
              </w:rPr>
              <w:t>08:50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贰仟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1"/>
              <w:tblW w:w="7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979"/>
              <w:gridCol w:w="683"/>
              <w:gridCol w:w="2257"/>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1539"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979"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683"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57"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39"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979"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683" w:type="dxa"/>
                  <w:vMerge w:val="continue"/>
                  <w:noWrap w:val="0"/>
                  <w:vAlign w:val="center"/>
                </w:tcPr>
                <w:p w14:paraId="42828153">
                  <w:pPr>
                    <w:jc w:val="center"/>
                    <w:rPr>
                      <w:rFonts w:hAnsi="宋体"/>
                      <w:bCs/>
                      <w:color w:val="auto"/>
                      <w:sz w:val="21"/>
                      <w:szCs w:val="21"/>
                      <w:highlight w:val="none"/>
                      <w:lang w:val="zh-CN"/>
                    </w:rPr>
                  </w:pPr>
                </w:p>
              </w:tc>
              <w:tc>
                <w:tcPr>
                  <w:tcW w:w="2257"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39"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979"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51610188000323743</w:t>
                  </w:r>
                </w:p>
              </w:tc>
              <w:tc>
                <w:tcPr>
                  <w:tcW w:w="683" w:type="dxa"/>
                  <w:vMerge w:val="continue"/>
                  <w:noWrap w:val="0"/>
                  <w:vAlign w:val="center"/>
                </w:tcPr>
                <w:p w14:paraId="08A368EA">
                  <w:pPr>
                    <w:jc w:val="center"/>
                    <w:rPr>
                      <w:rFonts w:hAnsi="宋体"/>
                      <w:bCs/>
                      <w:color w:val="auto"/>
                      <w:sz w:val="21"/>
                      <w:szCs w:val="21"/>
                      <w:highlight w:val="none"/>
                      <w:lang w:val="zh-CN"/>
                    </w:rPr>
                  </w:pPr>
                </w:p>
              </w:tc>
              <w:tc>
                <w:tcPr>
                  <w:tcW w:w="2257"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5"/>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5"/>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5"/>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tr w14:paraId="2BC7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shd w:val="clear" w:color="auto" w:fill="auto"/>
            <w:noWrap w:val="0"/>
            <w:vAlign w:val="center"/>
          </w:tcPr>
          <w:p w14:paraId="59995E90">
            <w:pPr>
              <w:snapToGrid w:val="0"/>
              <w:spacing w:line="400" w:lineRule="exac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3</w:t>
            </w:r>
          </w:p>
        </w:tc>
        <w:tc>
          <w:tcPr>
            <w:tcW w:w="8198" w:type="dxa"/>
            <w:gridSpan w:val="4"/>
            <w:noWrap w:val="0"/>
            <w:vAlign w:val="top"/>
          </w:tcPr>
          <w:p w14:paraId="4C204213">
            <w:pPr>
              <w:autoSpaceDE w:val="0"/>
              <w:autoSpaceDN w:val="0"/>
              <w:adjustRightInd w:val="0"/>
              <w:spacing w:line="320" w:lineRule="exact"/>
              <w:rPr>
                <w:rFonts w:ascii="宋体" w:hAnsi="宋体"/>
                <w:color w:val="000000"/>
                <w:sz w:val="24"/>
                <w:szCs w:val="24"/>
                <w:highlight w:val="none"/>
              </w:rPr>
            </w:pPr>
            <w:r>
              <w:rPr>
                <w:rFonts w:hint="eastAsia" w:hAnsi="宋体"/>
                <w:bCs/>
                <w:sz w:val="24"/>
                <w:szCs w:val="24"/>
                <w:highlight w:val="none"/>
                <w:lang w:val="zh-CN"/>
              </w:rPr>
              <w:t>集中考察或答疑：</w:t>
            </w:r>
            <w:r>
              <w:rPr>
                <w:rFonts w:hint="eastAsia" w:ascii="宋体" w:hAnsi="宋体"/>
                <w:color w:val="000000"/>
                <w:sz w:val="24"/>
                <w:szCs w:val="24"/>
                <w:highlight w:val="none"/>
              </w:rPr>
              <w:t>无。</w:t>
            </w:r>
          </w:p>
          <w:p w14:paraId="1EE2F3F3">
            <w:pPr>
              <w:pStyle w:val="2"/>
              <w:rPr>
                <w:rFonts w:hint="eastAsia" w:ascii="宋体" w:hAnsi="宋体" w:eastAsia="宋体"/>
                <w:bCs/>
                <w:color w:val="auto"/>
                <w:sz w:val="24"/>
                <w:szCs w:val="24"/>
                <w:highlight w:val="none"/>
                <w:lang w:val="en-US" w:eastAsia="zh-CN"/>
              </w:rPr>
            </w:pPr>
            <w:r>
              <w:rPr>
                <w:rFonts w:hint="eastAsia"/>
                <w:b/>
                <w:bCs/>
                <w:highlight w:val="none"/>
                <w:lang w:val="en-US" w:eastAsia="zh-CN"/>
              </w:rPr>
              <w:t>注：投标人可自行前往现场进行踏勘，联系人：许先生，联系电话：13616156883；有问题请于开标前提出，中标后价格将不会得到调整，后期不得以不了解情况等理由增加费用。</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shd w:val="clear" w:color="auto" w:fill="auto"/>
            <w:noWrap w:val="0"/>
            <w:vAlign w:val="center"/>
          </w:tcPr>
          <w:p w14:paraId="14EB1D42">
            <w:pPr>
              <w:snapToGrid w:val="0"/>
              <w:spacing w:line="400" w:lineRule="exac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4</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shd w:val="clear" w:color="auto" w:fill="auto"/>
            <w:noWrap w:val="0"/>
            <w:vAlign w:val="center"/>
          </w:tcPr>
          <w:p w14:paraId="581C455C">
            <w:pPr>
              <w:snapToGrid w:val="0"/>
              <w:spacing w:line="400" w:lineRule="exact"/>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6</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：2025年12月</w:t>
            </w:r>
            <w:r>
              <w:rPr>
                <w:rFonts w:hint="eastAsia" w:ascii="宋体" w:hAnsi="宋体"/>
                <w:bCs/>
                <w:color w:val="auto"/>
                <w:sz w:val="24"/>
                <w:szCs w:val="24"/>
                <w:highlight w:val="none"/>
                <w:lang w:val="en-US" w:eastAsia="zh-CN"/>
              </w:rPr>
              <w:t>25</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9:00</w:t>
            </w:r>
            <w:bookmarkStart w:id="101" w:name="_GoBack"/>
            <w:bookmarkEnd w:id="101"/>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eastAsia="宋体"/>
                <w:bCs/>
                <w:color w:val="auto"/>
                <w:sz w:val="24"/>
                <w:szCs w:val="24"/>
                <w:highlight w:val="none"/>
                <w:lang w:val="en-US" w:eastAsia="zh-CN"/>
              </w:rPr>
            </w:pPr>
            <w:bookmarkStart w:id="7" w:name="OLE_LINK84" w:colFirst="1" w:colLast="2"/>
            <w:r>
              <w:rPr>
                <w:rFonts w:hint="eastAsia" w:ascii="宋体" w:hAnsi="宋体"/>
                <w:bCs/>
                <w:color w:val="auto"/>
                <w:sz w:val="24"/>
                <w:szCs w:val="24"/>
                <w:highlight w:val="none"/>
                <w:lang w:val="en-US" w:eastAsia="zh-CN"/>
              </w:rPr>
              <w:t>7</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路先生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val="en-US" w:eastAsia="zh-CN"/>
              </w:rPr>
              <w:t>18661277771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100CB393">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曹工</w:t>
            </w:r>
          </w:p>
          <w:p w14:paraId="0C34C6F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sz w:val="24"/>
                <w:szCs w:val="24"/>
                <w:highlight w:val="none"/>
                <w:lang w:val="zh-CN"/>
              </w:rPr>
              <w:t>13771319057</w:t>
            </w:r>
            <w:r>
              <w:rPr>
                <w:rFonts w:hint="eastAsia" w:ascii="宋体" w:hAnsi="宋体"/>
                <w:bCs/>
                <w:color w:val="auto"/>
                <w:sz w:val="24"/>
                <w:szCs w:val="24"/>
                <w:highlight w:val="none"/>
                <w:lang w:val="en-US" w:eastAsia="zh-CN"/>
              </w:rPr>
              <w:t xml:space="preserve">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2.4本项目招标代理服务费</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评审费</w:t>
      </w:r>
      <w:r>
        <w:rPr>
          <w:rFonts w:hint="eastAsia" w:ascii="宋体" w:hAnsi="宋体"/>
          <w:b/>
          <w:color w:val="auto"/>
          <w:sz w:val="24"/>
          <w:szCs w:val="24"/>
          <w:highlight w:val="none"/>
        </w:rPr>
        <w:t>由中标供应商支付</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招标代理服务费收费标准按</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中标金额*1.5%</w:t>
      </w:r>
      <w:r>
        <w:rPr>
          <w:rFonts w:hint="eastAsia" w:ascii="宋体" w:hAnsi="宋体"/>
          <w:b/>
          <w:color w:val="auto"/>
          <w:sz w:val="24"/>
          <w:szCs w:val="24"/>
          <w:highlight w:val="none"/>
        </w:rPr>
        <w:t>计取。评审费收费标准: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7FAF2B3">
      <w:pPr>
        <w:pStyle w:val="10"/>
        <w:rPr>
          <w:rFonts w:hint="default" w:eastAsia="宋体"/>
          <w:highlight w:val="none"/>
          <w:lang w:val="en-US" w:eastAsia="zh-CN"/>
        </w:rPr>
      </w:pPr>
      <w:r>
        <w:rPr>
          <w:rFonts w:hint="eastAsia" w:ascii="宋体" w:hAnsi="宋体"/>
          <w:b/>
          <w:color w:val="auto"/>
          <w:sz w:val="24"/>
          <w:szCs w:val="24"/>
          <w:highlight w:val="none"/>
          <w:lang w:val="en-US" w:eastAsia="zh-CN"/>
        </w:rPr>
        <w:t xml:space="preserve"> </w:t>
      </w:r>
      <w:r>
        <w:rPr>
          <w:rFonts w:hint="eastAsia" w:ascii="宋体" w:hAnsi="宋体"/>
          <w:b/>
          <w:color w:val="0000FF"/>
          <w:sz w:val="24"/>
          <w:szCs w:val="24"/>
          <w:highlight w:val="none"/>
          <w:lang w:val="en-US" w:eastAsia="zh-CN"/>
        </w:rPr>
        <w:t xml:space="preserve"> 2.5上述两项费用均由成交供应商在领取成交通知书时一次性付清，供应商必须将该部分费用考虑在报价内。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51"/>
      <w:bookmarkStart w:id="19" w:name="OLE_LINK92"/>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037E5B9">
      <w:pPr>
        <w:tabs>
          <w:tab w:val="left" w:pos="0"/>
          <w:tab w:val="left" w:pos="255"/>
        </w:tabs>
        <w:spacing w:line="360" w:lineRule="auto"/>
        <w:ind w:firstLine="480" w:firstLineChars="200"/>
        <w:rPr>
          <w:rFonts w:hint="default" w:ascii="宋体" w:hAnsi="宋体" w:eastAsia="宋体"/>
          <w:color w:val="auto"/>
          <w:sz w:val="24"/>
          <w:szCs w:val="21"/>
          <w:highlight w:val="none"/>
          <w:lang w:val="en-US" w:eastAsia="zh-CN"/>
        </w:rPr>
      </w:pPr>
      <w:r>
        <w:rPr>
          <w:rFonts w:hint="eastAsia" w:ascii="宋体" w:hAnsi="宋体"/>
          <w:color w:val="auto"/>
          <w:sz w:val="24"/>
          <w:szCs w:val="21"/>
          <w:highlight w:val="none"/>
          <w:lang w:val="en-US" w:eastAsia="zh-CN"/>
        </w:rPr>
        <w:t>7.2.2明细报价表。</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5"/>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5"/>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w:t>
      </w:r>
      <w:r>
        <w:rPr>
          <w:rFonts w:hint="eastAsia" w:ascii="宋体" w:hAnsi="宋体" w:cs="宋体"/>
          <w:color w:val="auto"/>
          <w:sz w:val="24"/>
          <w:szCs w:val="24"/>
          <w:highlight w:val="none"/>
          <w:lang w:val="zh-CN"/>
        </w:rPr>
        <w:t>投标截止时间之前</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未被</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信用中国</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网站</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fldChar w:fldCharType="begin"/>
      </w:r>
      <w:r>
        <w:rPr>
          <w:rFonts w:hint="eastAsia" w:ascii="宋体" w:hAnsi="宋体" w:cs="宋体"/>
          <w:color w:val="auto"/>
          <w:sz w:val="24"/>
          <w:szCs w:val="24"/>
          <w:highlight w:val="none"/>
        </w:rPr>
        <w:instrText xml:space="preserve"> HYPERLINK "http://www.creditchina.gov.cn" </w:instrText>
      </w:r>
      <w:r>
        <w:rPr>
          <w:rFonts w:hint="eastAsia" w:ascii="宋体" w:hAnsi="宋体" w:cs="宋体"/>
          <w:color w:val="auto"/>
          <w:sz w:val="24"/>
          <w:szCs w:val="24"/>
          <w:highlight w:val="none"/>
          <w:lang w:val="zh-CN"/>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lang w:val="zh-CN"/>
        </w:rPr>
        <w:fldChar w:fldCharType="end"/>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lang w:val="en-US" w:eastAsia="zh-CN"/>
        </w:rPr>
        <w:t>严重失信主体名单</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未被</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中国政府采购网</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网站</w:t>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lang w:val="zh-CN"/>
        </w:rPr>
        <w:t>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2248"/>
      <w:bookmarkStart w:id="32" w:name="_Toc515647770"/>
      <w:bookmarkStart w:id="33" w:name="_Toc520356155"/>
      <w:bookmarkStart w:id="34" w:name="_Toc23231"/>
      <w:bookmarkStart w:id="35" w:name="_Toc19624"/>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6"/>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w:t>
      </w:r>
      <w:r>
        <w:rPr>
          <w:rFonts w:hint="eastAsia" w:ascii="宋体" w:hAnsi="宋体" w:cs="宋体"/>
          <w:color w:val="auto"/>
          <w:sz w:val="24"/>
          <w:szCs w:val="24"/>
          <w:highlight w:val="none"/>
          <w:lang w:val="zh-CN"/>
        </w:rPr>
        <w:t>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lang w:val="en-US" w:eastAsia="zh-CN"/>
        </w:rPr>
        <w:t>严重失信主体名单</w:t>
      </w:r>
      <w:r>
        <w:rPr>
          <w:rFonts w:hint="eastAsia" w:ascii="宋体" w:hAnsi="宋体" w:cs="宋体"/>
          <w:color w:val="auto"/>
          <w:sz w:val="24"/>
          <w:szCs w:val="24"/>
          <w:highlight w:val="none"/>
        </w:rPr>
        <w:t>，或在“中国政府采购网”网站（www.ccgp.gov.cn）被列入政府采购严重违法失信行为记录名单。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094B823B">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20.6</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119C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0F731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5683CEA5">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①投标（响应）报价低于采购项目预算50%的，即投标（响应）报价&lt;采购项目预算×50%；</w:t>
      </w:r>
    </w:p>
    <w:p w14:paraId="18A97D8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②投标（响应）报价低于采购项目最高限价45%的，即投标（响应）报价&lt;采购项目最高限价×45%；</w:t>
      </w:r>
    </w:p>
    <w:p w14:paraId="123F0466">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③评标委员会认定的供应商报价过低、有可能影响产品质量或者不能诚信履约的其他情形。</w:t>
      </w:r>
    </w:p>
    <w:p w14:paraId="37427CE1">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7</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8</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采购人将不予退还其投标保证金</w:t>
      </w:r>
      <w:r>
        <w:rPr>
          <w:rFonts w:ascii="宋体" w:hAnsi="宋体"/>
          <w:bCs/>
          <w:color w:val="auto"/>
          <w:sz w:val="24"/>
          <w:szCs w:val="24"/>
          <w:highlight w:val="none"/>
          <w:lang w:val="zh-CN"/>
        </w:rPr>
        <w:t>，列入不良行为记录名单，在一至三年内禁止参加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25105"/>
      <w:bookmarkStart w:id="77" w:name="_Toc30976"/>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25967"/>
      <w:bookmarkStart w:id="79" w:name="_Toc3082"/>
      <w:r>
        <w:rPr>
          <w:rFonts w:hint="eastAsia" w:ascii="黑体" w:hAnsi="黑体" w:eastAsia="黑体" w:cs="黑体"/>
          <w:bCs/>
          <w:color w:val="auto"/>
          <w:sz w:val="28"/>
          <w:szCs w:val="28"/>
          <w:highlight w:val="none"/>
        </w:rPr>
        <w:t>第三章 项目技术要求和有关说明</w:t>
      </w:r>
    </w:p>
    <w:p w14:paraId="7E0B12A1">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玻璃钢船只上岸年检项目</w:t>
      </w:r>
      <w:r>
        <w:rPr>
          <w:rFonts w:hint="eastAsia" w:ascii="宋体" w:hAnsi="宋体" w:eastAsia="宋体" w:cs="宋体"/>
          <w:color w:val="auto"/>
          <w:sz w:val="24"/>
          <w:szCs w:val="24"/>
          <w:highlight w:val="none"/>
          <w:lang w:val="en-US" w:eastAsia="zh-CN"/>
        </w:rPr>
        <w:t>采购。该批船只为玻璃钢材质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具体要求如下，投标人须提供满足以下要求的服务，不得有负偏离。</w:t>
      </w:r>
    </w:p>
    <w:p w14:paraId="0D09A671">
      <w:pPr>
        <w:pageBreakBefore w:val="0"/>
        <w:widowControl w:val="0"/>
        <w:kinsoku/>
        <w:wordWrap/>
        <w:overflowPunct/>
        <w:topLinePunct w:val="0"/>
        <w:bidi w:val="0"/>
        <w:snapToGrid w:val="0"/>
        <w:spacing w:line="360" w:lineRule="auto"/>
        <w:rPr>
          <w:rFonts w:hint="eastAsia"/>
          <w:highlight w:val="none"/>
        </w:rPr>
      </w:pPr>
      <w:r>
        <w:rPr>
          <w:rFonts w:hint="eastAsia" w:ascii="宋体" w:hAnsi="宋体" w:cs="宋体"/>
          <w:color w:val="auto"/>
          <w:sz w:val="24"/>
          <w:szCs w:val="24"/>
          <w:highlight w:val="none"/>
          <w:lang w:val="en-US" w:eastAsia="zh-CN"/>
        </w:rPr>
        <w:t>一、</w:t>
      </w:r>
      <w:r>
        <w:rPr>
          <w:rFonts w:hint="eastAsia" w:ascii="宋体" w:hAnsi="宋体" w:cs="宋体"/>
          <w:b/>
          <w:bCs/>
          <w:sz w:val="24"/>
          <w:szCs w:val="24"/>
          <w:highlight w:val="none"/>
          <w:lang w:val="en-US" w:eastAsia="zh-CN"/>
        </w:rPr>
        <w:t>项目概况</w:t>
      </w:r>
    </w:p>
    <w:p w14:paraId="6552FD95">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宜兴控藻02、03号船于2022年6月28日顺利建成交付，该船总长13.00米，船长12.36米，船宽3.80米，型深1.10米，满载吃水0.488米，空载吃水0.470米。自投入使用至今，已持续稳定运行三年半时间。</w:t>
      </w:r>
    </w:p>
    <w:p w14:paraId="5E4CE711">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宜兴控藻01号船于2021年7月6日顺利建成交付，该船总长13.00米，船长12.36米，船宽3.80米，型深1.10米，满载吃水0.488米，空载吃水0.470米。自投入使用至今，已持续稳定运行四年半时间。</w:t>
      </w:r>
    </w:p>
    <w:p w14:paraId="5137CB82">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宜兴蓝藻打捞01、02、03、04、05于2022年7月22日顺利建成交付，该船总长6.03米，船宽2.90米，型深0.75米。自投入使用至今，已持续稳定运行三年半时间。</w:t>
      </w:r>
    </w:p>
    <w:p w14:paraId="63B2875B">
      <w:pPr>
        <w:pageBreakBefore w:val="0"/>
        <w:widowControl w:val="0"/>
        <w:kinsoku/>
        <w:wordWrap/>
        <w:overflowPunct/>
        <w:topLinePunct w:val="0"/>
        <w:bidi w:val="0"/>
        <w:snapToGrid w:val="0"/>
        <w:spacing w:line="360" w:lineRule="auto"/>
        <w:rPr>
          <w:rFonts w:hint="eastAsia" w:ascii="宋体" w:hAnsi="宋体" w:cs="宋体"/>
          <w:b/>
          <w:bCs/>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cs="宋体"/>
          <w:b/>
          <w:bCs/>
          <w:sz w:val="24"/>
          <w:szCs w:val="24"/>
          <w:highlight w:val="none"/>
          <w:lang w:val="en-US" w:eastAsia="zh-CN"/>
        </w:rPr>
        <w:t>年检清单</w:t>
      </w:r>
    </w:p>
    <w:tbl>
      <w:tblPr>
        <w:tblStyle w:val="11"/>
        <w:tblW w:w="10174"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6270"/>
        <w:gridCol w:w="990"/>
        <w:gridCol w:w="960"/>
        <w:gridCol w:w="975"/>
      </w:tblGrid>
      <w:tr w14:paraId="3955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FF5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6270" w:type="dxa"/>
            <w:tcBorders>
              <w:top w:val="single" w:color="000000" w:sz="8" w:space="0"/>
              <w:left w:val="nil"/>
              <w:bottom w:val="single" w:color="000000" w:sz="8" w:space="0"/>
              <w:right w:val="single" w:color="000000" w:sz="8" w:space="0"/>
            </w:tcBorders>
            <w:shd w:val="clear" w:color="auto" w:fill="auto"/>
            <w:vAlign w:val="center"/>
          </w:tcPr>
          <w:p w14:paraId="51E9858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990" w:type="dxa"/>
            <w:tcBorders>
              <w:top w:val="single" w:color="000000" w:sz="8" w:space="0"/>
              <w:left w:val="nil"/>
              <w:bottom w:val="single" w:color="000000" w:sz="8" w:space="0"/>
              <w:right w:val="single" w:color="000000" w:sz="8" w:space="0"/>
            </w:tcBorders>
            <w:shd w:val="clear" w:color="auto" w:fill="auto"/>
            <w:noWrap/>
            <w:vAlign w:val="center"/>
          </w:tcPr>
          <w:p w14:paraId="6B3CC37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960" w:type="dxa"/>
            <w:tcBorders>
              <w:top w:val="single" w:color="000000" w:sz="8" w:space="0"/>
              <w:left w:val="nil"/>
              <w:bottom w:val="single" w:color="000000" w:sz="8" w:space="0"/>
              <w:right w:val="single" w:color="auto" w:sz="4" w:space="0"/>
            </w:tcBorders>
            <w:shd w:val="clear" w:color="auto" w:fill="auto"/>
            <w:noWrap/>
            <w:vAlign w:val="center"/>
          </w:tcPr>
          <w:p w14:paraId="7B08165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975"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72A224D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9B8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313A5EA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8"/>
                <w:sz w:val="24"/>
                <w:szCs w:val="24"/>
                <w:highlight w:val="none"/>
                <w:lang w:val="en-US" w:eastAsia="zh-CN" w:bidi="ar"/>
              </w:rPr>
              <w:t>(一)</w:t>
            </w:r>
          </w:p>
        </w:tc>
        <w:tc>
          <w:tcPr>
            <w:tcW w:w="9195" w:type="dxa"/>
            <w:gridSpan w:val="4"/>
            <w:tcBorders>
              <w:top w:val="nil"/>
              <w:left w:val="nil"/>
              <w:bottom w:val="single" w:color="000000" w:sz="8" w:space="0"/>
              <w:right w:val="single" w:color="000000" w:sz="8" w:space="0"/>
            </w:tcBorders>
            <w:shd w:val="clear" w:color="auto" w:fill="auto"/>
            <w:vAlign w:val="center"/>
          </w:tcPr>
          <w:p w14:paraId="5E366FAB">
            <w:pPr>
              <w:jc w:val="both"/>
              <w:rPr>
                <w:rStyle w:val="19"/>
                <w:sz w:val="24"/>
                <w:szCs w:val="24"/>
                <w:highlight w:val="none"/>
                <w:lang w:val="en-US" w:eastAsia="zh-CN" w:bidi="ar"/>
              </w:rPr>
            </w:pPr>
            <w:r>
              <w:rPr>
                <w:rStyle w:val="19"/>
                <w:sz w:val="24"/>
                <w:szCs w:val="24"/>
                <w:highlight w:val="none"/>
                <w:lang w:val="en-US" w:eastAsia="zh-CN" w:bidi="ar"/>
              </w:rPr>
              <w:t>100方控藻船船检</w:t>
            </w:r>
          </w:p>
        </w:tc>
      </w:tr>
      <w:tr w14:paraId="6868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323DF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 xml:space="preserve">1 </w:t>
            </w:r>
          </w:p>
        </w:tc>
        <w:tc>
          <w:tcPr>
            <w:tcW w:w="6270" w:type="dxa"/>
            <w:tcBorders>
              <w:top w:val="nil"/>
              <w:left w:val="nil"/>
              <w:bottom w:val="single" w:color="000000" w:sz="8" w:space="0"/>
              <w:right w:val="single" w:color="000000" w:sz="8" w:space="0"/>
            </w:tcBorders>
            <w:shd w:val="clear" w:color="auto" w:fill="auto"/>
            <w:vAlign w:val="center"/>
          </w:tcPr>
          <w:p w14:paraId="2A7B8A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船检前维护：①船体上岸清洗，破损处修补；船体底部打磨、喷漆、翻新②根据船检要求，喷船名、船号、船籍港，水位线、载重线及救</w:t>
            </w:r>
            <w:r>
              <w:rPr>
                <w:rFonts w:ascii="宋体" w:hAnsi="宋体" w:eastAsia="宋体" w:cs="宋体"/>
                <w:i w:val="0"/>
                <w:iCs w:val="0"/>
                <w:color w:val="000000"/>
                <w:kern w:val="0"/>
                <w:sz w:val="24"/>
                <w:szCs w:val="24"/>
                <w:highlight w:val="none"/>
                <w:u w:val="none"/>
                <w:lang w:val="en-US" w:eastAsia="zh-CN" w:bidi="ar"/>
              </w:rPr>
              <w:br w:type="textWrapping"/>
            </w:r>
            <w:r>
              <w:rPr>
                <w:rFonts w:ascii="宋体" w:hAnsi="宋体" w:eastAsia="宋体" w:cs="宋体"/>
                <w:i w:val="0"/>
                <w:iCs w:val="0"/>
                <w:color w:val="000000"/>
                <w:kern w:val="0"/>
                <w:sz w:val="24"/>
                <w:szCs w:val="24"/>
                <w:highlight w:val="none"/>
                <w:u w:val="none"/>
                <w:lang w:val="en-US" w:eastAsia="zh-CN" w:bidi="ar"/>
              </w:rPr>
              <w:t>生圈等喷字③船上电器电路检修；④发动机检修保养</w:t>
            </w:r>
          </w:p>
        </w:tc>
        <w:tc>
          <w:tcPr>
            <w:tcW w:w="990" w:type="dxa"/>
            <w:tcBorders>
              <w:top w:val="nil"/>
              <w:left w:val="nil"/>
              <w:bottom w:val="single" w:color="000000" w:sz="8" w:space="0"/>
              <w:right w:val="single" w:color="000000" w:sz="8" w:space="0"/>
            </w:tcBorders>
            <w:shd w:val="clear" w:color="auto" w:fill="auto"/>
            <w:noWrap/>
            <w:vAlign w:val="center"/>
          </w:tcPr>
          <w:p w14:paraId="358C3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051A7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975" w:type="dxa"/>
            <w:tcBorders>
              <w:top w:val="nil"/>
              <w:left w:val="nil"/>
              <w:bottom w:val="single" w:color="000000" w:sz="8" w:space="0"/>
              <w:right w:val="single" w:color="000000" w:sz="8" w:space="0"/>
            </w:tcBorders>
            <w:shd w:val="clear" w:color="auto" w:fill="auto"/>
            <w:noWrap/>
            <w:vAlign w:val="center"/>
          </w:tcPr>
          <w:p w14:paraId="1F94BE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07A1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61BE0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b/>
                <w:bCs/>
                <w:i w:val="0"/>
                <w:iCs w:val="0"/>
                <w:color w:val="000000"/>
                <w:kern w:val="0"/>
                <w:sz w:val="24"/>
                <w:szCs w:val="24"/>
                <w:highlight w:val="none"/>
                <w:u w:val="none"/>
                <w:lang w:val="en-US" w:eastAsia="zh-CN" w:bidi="ar"/>
              </w:rPr>
              <w:t xml:space="preserve">2 </w:t>
            </w:r>
          </w:p>
        </w:tc>
        <w:tc>
          <w:tcPr>
            <w:tcW w:w="6270" w:type="dxa"/>
            <w:tcBorders>
              <w:top w:val="nil"/>
              <w:left w:val="nil"/>
              <w:bottom w:val="single" w:color="000000" w:sz="8" w:space="0"/>
              <w:right w:val="single" w:color="000000" w:sz="8" w:space="0"/>
            </w:tcBorders>
            <w:shd w:val="clear" w:color="auto" w:fill="auto"/>
            <w:vAlign w:val="center"/>
          </w:tcPr>
          <w:p w14:paraId="7BE9EA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坞检费</w:t>
            </w:r>
          </w:p>
        </w:tc>
        <w:tc>
          <w:tcPr>
            <w:tcW w:w="990" w:type="dxa"/>
            <w:tcBorders>
              <w:top w:val="nil"/>
              <w:left w:val="nil"/>
              <w:bottom w:val="single" w:color="000000" w:sz="8" w:space="0"/>
              <w:right w:val="single" w:color="000000" w:sz="8" w:space="0"/>
            </w:tcBorders>
            <w:shd w:val="clear" w:color="auto" w:fill="auto"/>
            <w:noWrap/>
            <w:vAlign w:val="center"/>
          </w:tcPr>
          <w:p w14:paraId="2C6FB6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3EC5B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975" w:type="dxa"/>
            <w:tcBorders>
              <w:top w:val="nil"/>
              <w:left w:val="nil"/>
              <w:bottom w:val="single" w:color="000000" w:sz="8" w:space="0"/>
              <w:right w:val="single" w:color="000000" w:sz="8" w:space="0"/>
            </w:tcBorders>
            <w:shd w:val="clear" w:color="auto" w:fill="auto"/>
            <w:noWrap/>
            <w:vAlign w:val="center"/>
          </w:tcPr>
          <w:p w14:paraId="1D30700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62F0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3AF5C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b/>
                <w:bCs/>
                <w:i w:val="0"/>
                <w:iCs w:val="0"/>
                <w:color w:val="000000"/>
                <w:kern w:val="0"/>
                <w:sz w:val="24"/>
                <w:szCs w:val="24"/>
                <w:highlight w:val="none"/>
                <w:u w:val="none"/>
                <w:lang w:val="en-US" w:eastAsia="zh-CN" w:bidi="ar"/>
              </w:rPr>
              <w:t>(二)</w:t>
            </w:r>
          </w:p>
        </w:tc>
        <w:tc>
          <w:tcPr>
            <w:tcW w:w="9195" w:type="dxa"/>
            <w:gridSpan w:val="4"/>
            <w:tcBorders>
              <w:top w:val="nil"/>
              <w:left w:val="nil"/>
              <w:bottom w:val="single" w:color="000000" w:sz="8" w:space="0"/>
              <w:right w:val="single" w:color="000000" w:sz="8" w:space="0"/>
            </w:tcBorders>
            <w:shd w:val="clear" w:color="auto" w:fill="auto"/>
            <w:vAlign w:val="center"/>
          </w:tcPr>
          <w:p w14:paraId="107012BA">
            <w:pPr>
              <w:keepNext w:val="0"/>
              <w:keepLines w:val="0"/>
              <w:widowControl/>
              <w:suppressLineNumbers w:val="0"/>
              <w:jc w:val="left"/>
              <w:textAlignment w:val="center"/>
              <w:rPr>
                <w:rFonts w:ascii="宋体" w:hAnsi="宋体" w:eastAsia="宋体" w:cs="宋体"/>
                <w:i w:val="0"/>
                <w:iCs w:val="0"/>
                <w:color w:val="000000"/>
                <w:kern w:val="0"/>
                <w:sz w:val="24"/>
                <w:szCs w:val="24"/>
                <w:highlight w:val="none"/>
                <w:u w:val="none"/>
                <w:lang w:val="en-US" w:eastAsia="zh-CN" w:bidi="ar"/>
              </w:rPr>
            </w:pPr>
            <w:r>
              <w:rPr>
                <w:rFonts w:ascii="宋体" w:hAnsi="宋体" w:eastAsia="宋体" w:cs="宋体"/>
                <w:i w:val="0"/>
                <w:iCs w:val="0"/>
                <w:color w:val="000000"/>
                <w:kern w:val="0"/>
                <w:sz w:val="24"/>
                <w:szCs w:val="24"/>
                <w:highlight w:val="none"/>
                <w:u w:val="none"/>
                <w:lang w:val="en-US" w:eastAsia="zh-CN" w:bidi="ar"/>
              </w:rPr>
              <w:t>620型吸藻船船检</w:t>
            </w:r>
          </w:p>
        </w:tc>
      </w:tr>
      <w:tr w14:paraId="4CED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6E1168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 xml:space="preserve">1 </w:t>
            </w:r>
          </w:p>
        </w:tc>
        <w:tc>
          <w:tcPr>
            <w:tcW w:w="6270" w:type="dxa"/>
            <w:tcBorders>
              <w:top w:val="nil"/>
              <w:left w:val="nil"/>
              <w:bottom w:val="single" w:color="000000" w:sz="8" w:space="0"/>
              <w:right w:val="single" w:color="000000" w:sz="8" w:space="0"/>
            </w:tcBorders>
            <w:shd w:val="clear" w:color="auto" w:fill="auto"/>
            <w:vAlign w:val="center"/>
          </w:tcPr>
          <w:p w14:paraId="7941D0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船检前维护：①船体上岸清洗，破损处修补；栏杆整修；吸藻升降机检修②根据船检要求，喷船名、船号、船籍港，水位线、载重线及救</w:t>
            </w:r>
            <w:r>
              <w:rPr>
                <w:rFonts w:ascii="宋体" w:hAnsi="宋体" w:eastAsia="宋体" w:cs="宋体"/>
                <w:i w:val="0"/>
                <w:iCs w:val="0"/>
                <w:color w:val="000000"/>
                <w:kern w:val="0"/>
                <w:sz w:val="24"/>
                <w:szCs w:val="24"/>
                <w:highlight w:val="none"/>
                <w:u w:val="none"/>
                <w:lang w:val="en-US" w:eastAsia="zh-CN" w:bidi="ar"/>
              </w:rPr>
              <w:br w:type="textWrapping"/>
            </w:r>
            <w:r>
              <w:rPr>
                <w:rFonts w:ascii="宋体" w:hAnsi="宋体" w:eastAsia="宋体" w:cs="宋体"/>
                <w:i w:val="0"/>
                <w:iCs w:val="0"/>
                <w:color w:val="000000"/>
                <w:kern w:val="0"/>
                <w:sz w:val="24"/>
                <w:szCs w:val="24"/>
                <w:highlight w:val="none"/>
                <w:u w:val="none"/>
                <w:lang w:val="en-US" w:eastAsia="zh-CN" w:bidi="ar"/>
              </w:rPr>
              <w:t>生圈等喷字③发动机检修保养</w:t>
            </w:r>
          </w:p>
        </w:tc>
        <w:tc>
          <w:tcPr>
            <w:tcW w:w="990" w:type="dxa"/>
            <w:tcBorders>
              <w:top w:val="nil"/>
              <w:left w:val="nil"/>
              <w:bottom w:val="single" w:color="000000" w:sz="8" w:space="0"/>
              <w:right w:val="single" w:color="000000" w:sz="8" w:space="0"/>
            </w:tcBorders>
            <w:shd w:val="clear" w:color="auto" w:fill="auto"/>
            <w:noWrap/>
            <w:vAlign w:val="center"/>
          </w:tcPr>
          <w:p w14:paraId="2367E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0AB59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c>
          <w:tcPr>
            <w:tcW w:w="975" w:type="dxa"/>
            <w:tcBorders>
              <w:top w:val="nil"/>
              <w:left w:val="nil"/>
              <w:bottom w:val="single" w:color="000000" w:sz="8" w:space="0"/>
              <w:right w:val="single" w:color="000000" w:sz="8" w:space="0"/>
            </w:tcBorders>
            <w:shd w:val="clear" w:color="auto" w:fill="auto"/>
            <w:noWrap/>
            <w:vAlign w:val="center"/>
          </w:tcPr>
          <w:p w14:paraId="12254E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2115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nil"/>
              <w:left w:val="single" w:color="000000" w:sz="8" w:space="0"/>
              <w:bottom w:val="single" w:color="000000" w:sz="8" w:space="0"/>
              <w:right w:val="single" w:color="000000" w:sz="8" w:space="0"/>
            </w:tcBorders>
            <w:shd w:val="clear" w:color="auto" w:fill="auto"/>
            <w:noWrap/>
            <w:vAlign w:val="center"/>
          </w:tcPr>
          <w:p w14:paraId="00AFE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b/>
                <w:bCs/>
                <w:i w:val="0"/>
                <w:iCs w:val="0"/>
                <w:color w:val="000000"/>
                <w:kern w:val="0"/>
                <w:sz w:val="24"/>
                <w:szCs w:val="24"/>
                <w:highlight w:val="none"/>
                <w:u w:val="none"/>
                <w:lang w:val="en-US" w:eastAsia="zh-CN" w:bidi="ar"/>
              </w:rPr>
              <w:t xml:space="preserve">2 </w:t>
            </w:r>
          </w:p>
        </w:tc>
        <w:tc>
          <w:tcPr>
            <w:tcW w:w="6270" w:type="dxa"/>
            <w:tcBorders>
              <w:top w:val="nil"/>
              <w:left w:val="nil"/>
              <w:bottom w:val="single" w:color="000000" w:sz="8" w:space="0"/>
              <w:right w:val="single" w:color="000000" w:sz="8" w:space="0"/>
            </w:tcBorders>
            <w:shd w:val="clear" w:color="auto" w:fill="auto"/>
            <w:vAlign w:val="center"/>
          </w:tcPr>
          <w:p w14:paraId="70E95F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坞检费</w:t>
            </w:r>
          </w:p>
        </w:tc>
        <w:tc>
          <w:tcPr>
            <w:tcW w:w="990" w:type="dxa"/>
            <w:tcBorders>
              <w:top w:val="nil"/>
              <w:left w:val="nil"/>
              <w:bottom w:val="single" w:color="000000" w:sz="8" w:space="0"/>
              <w:right w:val="single" w:color="000000" w:sz="8" w:space="0"/>
            </w:tcBorders>
            <w:shd w:val="clear" w:color="auto" w:fill="auto"/>
            <w:noWrap/>
            <w:vAlign w:val="center"/>
          </w:tcPr>
          <w:p w14:paraId="5D3B18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0"/>
                <w:sz w:val="24"/>
                <w:szCs w:val="24"/>
                <w:highlight w:val="none"/>
                <w:lang w:val="en-US" w:eastAsia="zh-CN" w:bidi="ar"/>
              </w:rPr>
              <w:t>艘</w:t>
            </w:r>
          </w:p>
        </w:tc>
        <w:tc>
          <w:tcPr>
            <w:tcW w:w="960" w:type="dxa"/>
            <w:tcBorders>
              <w:top w:val="nil"/>
              <w:left w:val="nil"/>
              <w:bottom w:val="single" w:color="000000" w:sz="8" w:space="0"/>
              <w:right w:val="single" w:color="000000" w:sz="8" w:space="0"/>
            </w:tcBorders>
            <w:shd w:val="clear" w:color="auto" w:fill="auto"/>
            <w:noWrap/>
            <w:vAlign w:val="center"/>
          </w:tcPr>
          <w:p w14:paraId="2059D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w:t>
            </w:r>
          </w:p>
        </w:tc>
        <w:tc>
          <w:tcPr>
            <w:tcW w:w="975" w:type="dxa"/>
            <w:tcBorders>
              <w:top w:val="nil"/>
              <w:left w:val="nil"/>
              <w:bottom w:val="single" w:color="000000" w:sz="8" w:space="0"/>
              <w:right w:val="single" w:color="000000" w:sz="8" w:space="0"/>
            </w:tcBorders>
            <w:shd w:val="clear" w:color="auto" w:fill="auto"/>
            <w:noWrap/>
            <w:vAlign w:val="center"/>
          </w:tcPr>
          <w:p w14:paraId="0FBAC8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bl>
    <w:p w14:paraId="64CA9283">
      <w:pPr>
        <w:pageBreakBefore w:val="0"/>
        <w:widowControl w:val="0"/>
        <w:kinsoku/>
        <w:wordWrap/>
        <w:overflowPunct/>
        <w:topLinePunct w:val="0"/>
        <w:bidi w:val="0"/>
        <w:snapToGrid w:val="0"/>
        <w:spacing w:line="360" w:lineRule="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三、船舶维修主要依据</w:t>
      </w:r>
    </w:p>
    <w:p w14:paraId="273A9B14">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《中国修船质量标准》（GB/T 34001-2016）</w:t>
      </w:r>
    </w:p>
    <w:p w14:paraId="70D8F923">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default" w:ascii="宋体" w:hAnsi="宋体" w:eastAsia="宋体" w:cs="宋体"/>
          <w:color w:val="auto"/>
          <w:sz w:val="24"/>
          <w:szCs w:val="24"/>
          <w:highlight w:val="none"/>
          <w:lang w:val="en-US" w:eastAsia="zh-CN" w:bidi="ar-SA"/>
        </w:rPr>
        <w:t>《涂覆涂料前钢材表面处理》（GB/T 8923.1-2011）</w:t>
      </w:r>
    </w:p>
    <w:p w14:paraId="6F4429FE">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default" w:ascii="宋体" w:hAnsi="宋体" w:eastAsia="宋体" w:cs="宋体"/>
          <w:color w:val="auto"/>
          <w:sz w:val="24"/>
          <w:szCs w:val="24"/>
          <w:highlight w:val="none"/>
          <w:lang w:val="en-US" w:eastAsia="zh-CN" w:bidi="ar-SA"/>
        </w:rPr>
        <w:t>《船体涂装技术要求》（CB/T 4231-2013）</w:t>
      </w:r>
    </w:p>
    <w:p w14:paraId="4DB900F6">
      <w:pPr>
        <w:pageBreakBefore w:val="0"/>
        <w:widowControl w:val="0"/>
        <w:kinsoku/>
        <w:wordWrap/>
        <w:overflowPunct/>
        <w:topLinePunct w:val="0"/>
        <w:bidi w:val="0"/>
        <w:snapToGrid w:val="0"/>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r>
        <w:rPr>
          <w:rFonts w:hint="default" w:ascii="宋体" w:hAnsi="宋体" w:eastAsia="宋体" w:cs="宋体"/>
          <w:color w:val="auto"/>
          <w:sz w:val="24"/>
          <w:szCs w:val="24"/>
          <w:highlight w:val="none"/>
          <w:lang w:val="en-US" w:eastAsia="zh-CN" w:bidi="ar-SA"/>
        </w:rPr>
        <w:t>《船舶涂装质量验收技术要求》（ CB/T3513-2013）</w:t>
      </w:r>
    </w:p>
    <w:p w14:paraId="1F0C3A45">
      <w:pPr>
        <w:pageBreakBefore w:val="0"/>
        <w:widowControl w:val="0"/>
        <w:numPr>
          <w:ilvl w:val="0"/>
          <w:numId w:val="0"/>
        </w:numPr>
        <w:kinsoku/>
        <w:wordWrap/>
        <w:overflowPunct/>
        <w:topLinePunct w:val="0"/>
        <w:bidi w:val="0"/>
        <w:snapToGrid w:val="0"/>
        <w:spacing w:line="360" w:lineRule="auto"/>
        <w:ind w:firstLine="482" w:firstLineChars="200"/>
        <w:rPr>
          <w:rFonts w:hint="default"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w:t>
      </w:r>
      <w:r>
        <w:rPr>
          <w:rFonts w:hint="eastAsia" w:ascii="宋体" w:hAnsi="宋体" w:eastAsia="宋体" w:cs="宋体"/>
          <w:b/>
          <w:bCs/>
          <w:color w:val="auto"/>
          <w:sz w:val="24"/>
          <w:szCs w:val="24"/>
          <w:highlight w:val="none"/>
          <w:lang w:val="en-US" w:eastAsia="zh-CN" w:bidi="ar-SA"/>
        </w:rPr>
        <w:t>船舶维修</w:t>
      </w:r>
      <w:r>
        <w:rPr>
          <w:rFonts w:hint="eastAsia" w:ascii="宋体" w:hAnsi="宋体" w:cs="宋体"/>
          <w:b/>
          <w:bCs/>
          <w:color w:val="auto"/>
          <w:sz w:val="24"/>
          <w:szCs w:val="24"/>
          <w:highlight w:val="none"/>
          <w:lang w:val="en-US" w:eastAsia="zh-CN" w:bidi="ar-SA"/>
        </w:rPr>
        <w:t>需要符合</w:t>
      </w:r>
      <w:r>
        <w:rPr>
          <w:rFonts w:hint="eastAsia" w:ascii="宋体" w:hAnsi="宋体" w:cs="宋体"/>
          <w:b/>
          <w:bCs/>
          <w:color w:val="auto"/>
          <w:kern w:val="2"/>
          <w:sz w:val="24"/>
          <w:szCs w:val="24"/>
          <w:highlight w:val="none"/>
          <w:lang w:val="en-US" w:eastAsia="zh-CN" w:bidi="ar-SA"/>
        </w:rPr>
        <w:t>相应的国家标准或者行业标准或者地方标准，如有最新文件规定，按最新的要求执行。</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商务要求</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r>
        <w:rPr>
          <w:rFonts w:hint="eastAsia" w:ascii="宋体" w:hAnsi="宋体" w:eastAsia="宋体" w:cs="宋体"/>
          <w:color w:val="auto"/>
          <w:kern w:val="2"/>
          <w:sz w:val="24"/>
          <w:szCs w:val="24"/>
          <w:highlight w:val="none"/>
          <w:lang w:val="en-US" w:eastAsia="zh-CN" w:bidi="ar-SA"/>
        </w:rPr>
        <w:t>投标报价应包括维修、配件、人工、调试及售后及中标单位为完成本采购文件规定的内容所需发生的直接成本、间接成本、利润、税金及相关行政费用等一切费用，凡未列入的，将被认为均已包含在投标报价中，今后不得以任何理由追加或调整。</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30</w:t>
      </w:r>
      <w:r>
        <w:rPr>
          <w:rFonts w:hint="eastAsia" w:ascii="宋体" w:hAnsi="宋体" w:eastAsia="宋体" w:cs="宋体"/>
          <w:color w:val="auto"/>
          <w:sz w:val="24"/>
          <w:szCs w:val="24"/>
          <w:highlight w:val="none"/>
          <w:lang w:val="en-US" w:eastAsia="zh-CN" w:bidi="ar-SA"/>
        </w:rPr>
        <w:t>日内完成</w:t>
      </w:r>
      <w:r>
        <w:rPr>
          <w:rFonts w:hint="eastAsia" w:ascii="宋体" w:hAnsi="宋体" w:cs="宋体"/>
          <w:color w:val="auto"/>
          <w:sz w:val="24"/>
          <w:szCs w:val="24"/>
          <w:highlight w:val="none"/>
          <w:lang w:val="en-US" w:eastAsia="zh-CN" w:bidi="ar-SA"/>
        </w:rPr>
        <w:t>。</w:t>
      </w:r>
    </w:p>
    <w:p w14:paraId="738B4CA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w:t>
      </w:r>
      <w:r>
        <w:rPr>
          <w:rFonts w:hint="eastAsia" w:ascii="宋体" w:hAnsi="宋体"/>
          <w:color w:val="auto"/>
          <w:sz w:val="24"/>
          <w:szCs w:val="24"/>
          <w:highlight w:val="none"/>
          <w:lang w:val="en-US" w:eastAsia="zh-CN"/>
        </w:rPr>
        <w:t>2000元/</w:t>
      </w:r>
      <w:r>
        <w:rPr>
          <w:rFonts w:hint="eastAsia" w:ascii="宋体" w:hAnsi="宋体"/>
          <w:color w:val="auto"/>
          <w:sz w:val="24"/>
          <w:szCs w:val="24"/>
          <w:highlight w:val="none"/>
        </w:rPr>
        <w:t>天支付违约金给采购人。</w:t>
      </w:r>
      <w:r>
        <w:rPr>
          <w:rFonts w:hint="eastAsia" w:ascii="宋体" w:hAnsi="宋体"/>
          <w:color w:val="auto"/>
          <w:sz w:val="24"/>
          <w:szCs w:val="24"/>
          <w:highlight w:val="none"/>
          <w:lang w:val="en-US" w:eastAsia="zh-CN"/>
        </w:rPr>
        <w:t>中</w:t>
      </w:r>
      <w:r>
        <w:rPr>
          <w:rFonts w:hint="eastAsia" w:ascii="宋体" w:hAnsi="宋体"/>
          <w:color w:val="auto"/>
          <w:sz w:val="24"/>
          <w:szCs w:val="24"/>
          <w:highlight w:val="none"/>
        </w:rPr>
        <w:t>标供应商逾期超过</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天以上的视为中标供应商不履行合同，采购人有权终止合同，并要求中标供应商支付违约金及扣除相应的履约保证金。</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4、验收标准：采购人根据国家有关规定、招</w:t>
      </w:r>
      <w:r>
        <w:rPr>
          <w:rFonts w:hint="eastAsia" w:ascii="宋体" w:hAnsi="宋体" w:cs="宋体"/>
          <w:color w:val="auto"/>
          <w:sz w:val="24"/>
          <w:szCs w:val="24"/>
          <w:highlight w:val="none"/>
          <w:lang w:val="en-US" w:eastAsia="zh-CN" w:bidi="ar-SA"/>
        </w:rPr>
        <w:t>标文件、</w:t>
      </w:r>
      <w:r>
        <w:rPr>
          <w:rFonts w:hint="eastAsia" w:ascii="宋体" w:hAnsi="宋体" w:eastAsia="宋体" w:cs="宋体"/>
          <w:color w:val="auto"/>
          <w:sz w:val="24"/>
          <w:szCs w:val="24"/>
          <w:highlight w:val="none"/>
          <w:lang w:val="en-US" w:eastAsia="zh-CN" w:bidi="ar-SA"/>
        </w:rPr>
        <w:t>投标文件以及合同约定的内容</w:t>
      </w:r>
      <w:r>
        <w:rPr>
          <w:rFonts w:hint="eastAsia" w:ascii="宋体" w:hAnsi="宋体" w:cs="宋体"/>
          <w:color w:val="auto"/>
          <w:sz w:val="24"/>
          <w:szCs w:val="24"/>
          <w:highlight w:val="none"/>
          <w:lang w:val="en-US" w:eastAsia="zh-CN" w:bidi="ar-SA"/>
        </w:rPr>
        <w:t>，最终船只通过年检</w:t>
      </w:r>
      <w:r>
        <w:rPr>
          <w:rFonts w:hint="eastAsia" w:ascii="宋体" w:hAnsi="宋体" w:eastAsia="宋体" w:cs="宋体"/>
          <w:color w:val="auto"/>
          <w:sz w:val="24"/>
          <w:szCs w:val="24"/>
          <w:highlight w:val="none"/>
          <w:lang w:val="en-US" w:eastAsia="zh-CN" w:bidi="ar-SA"/>
        </w:rPr>
        <w:t>。</w:t>
      </w:r>
    </w:p>
    <w:p w14:paraId="191FABA2">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黑体" w:hAnsi="黑体" w:eastAsia="黑体"/>
          <w:color w:val="auto"/>
          <w:sz w:val="28"/>
          <w:highlight w:val="none"/>
        </w:rPr>
      </w:pPr>
      <w:r>
        <w:rPr>
          <w:rFonts w:hint="eastAsia" w:ascii="宋体" w:hAnsi="宋体" w:eastAsia="宋体" w:cs="宋体"/>
          <w:color w:val="auto"/>
          <w:sz w:val="24"/>
          <w:szCs w:val="24"/>
          <w:highlight w:val="none"/>
        </w:rPr>
        <w:t>5、付款步骤：本项目自合同签订之日起至船只年检合格后付至合同价款的95%,剩余款项自合同签订期满一年后一次性无息付清。(由于财政结算等流程问题，特殊情况结算会滞后)</w:t>
      </w:r>
    </w:p>
    <w:p w14:paraId="7EA4D37D">
      <w:pPr>
        <w:pStyle w:val="10"/>
        <w:spacing w:line="360" w:lineRule="auto"/>
        <w:rPr>
          <w:rFonts w:hint="default" w:ascii="宋体" w:hAnsi="宋体" w:eastAsia="宋体" w:cs="宋体"/>
          <w:color w:val="auto"/>
          <w:kern w:val="2"/>
          <w:sz w:val="24"/>
          <w:szCs w:val="24"/>
          <w:highlight w:val="none"/>
          <w:lang w:val="en-US" w:eastAsia="zh-CN" w:bidi="ar-SA"/>
        </w:rPr>
        <w:sectPr>
          <w:headerReference r:id="rId5" w:type="default"/>
          <w:footerReference r:id="rId6" w:type="default"/>
          <w:pgSz w:w="11906" w:h="16838"/>
          <w:pgMar w:top="1134" w:right="1134" w:bottom="1134" w:left="1134" w:header="851" w:footer="992" w:gutter="0"/>
          <w:cols w:space="0" w:num="1"/>
          <w:rtlGutter w:val="0"/>
          <w:docGrid w:type="lines" w:linePitch="312" w:charSpace="0"/>
        </w:sectPr>
      </w:pPr>
      <w:r>
        <w:rPr>
          <w:rFonts w:hint="eastAsia"/>
          <w:highlight w:val="none"/>
          <w:lang w:val="en-US" w:eastAsia="zh-CN"/>
        </w:rPr>
        <w:tab/>
      </w: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70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11"/>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43"/>
        <w:gridCol w:w="1275"/>
        <w:gridCol w:w="840"/>
        <w:gridCol w:w="6000"/>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75"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840"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技术评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275"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维修服务计划安排</w:t>
            </w:r>
          </w:p>
        </w:tc>
        <w:tc>
          <w:tcPr>
            <w:tcW w:w="840"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631FA9C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维修服务计划安排方案细致全面，内容科学合理有针对性，清晰规范的，得</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方案一般，内容科学基本合理，可行性一般的，得</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方案不完整，可行性较低的，得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其余情况不得分。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8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275"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维修实施方案</w:t>
            </w:r>
          </w:p>
        </w:tc>
        <w:tc>
          <w:tcPr>
            <w:tcW w:w="840"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维修实施方案细致全面，内容科学合理有针对性，清晰规范的，得</w:t>
            </w:r>
            <w:r>
              <w:rPr>
                <w:rFonts w:hint="eastAsia" w:ascii="宋体" w:hAnsi="宋体" w:cs="Times New Roman"/>
                <w:b w:val="0"/>
                <w:bCs/>
                <w:color w:val="auto"/>
                <w:sz w:val="24"/>
                <w:szCs w:val="24"/>
                <w:highlight w:val="none"/>
                <w:lang w:val="en-US" w:eastAsia="zh-CN"/>
              </w:rPr>
              <w:t>10</w:t>
            </w:r>
            <w:r>
              <w:rPr>
                <w:rFonts w:hint="eastAsia" w:ascii="宋体" w:hAnsi="宋体" w:eastAsia="宋体" w:cs="Times New Roman"/>
                <w:b w:val="0"/>
                <w:bCs/>
                <w:color w:val="auto"/>
                <w:sz w:val="24"/>
                <w:szCs w:val="24"/>
                <w:highlight w:val="none"/>
                <w:lang w:eastAsia="zh-CN"/>
              </w:rPr>
              <w:t>分</w:t>
            </w:r>
            <w:r>
              <w:rPr>
                <w:rFonts w:hint="eastAsia" w:ascii="宋体" w:hAnsi="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eastAsia="zh-CN"/>
              </w:rPr>
              <w:t>方案一般，内容科学基本合理，可行性一般的，得</w:t>
            </w:r>
            <w:r>
              <w:rPr>
                <w:rFonts w:hint="eastAsia" w:ascii="宋体" w:hAnsi="宋体" w:cs="Times New Roman"/>
                <w:b w:val="0"/>
                <w:bCs/>
                <w:color w:val="auto"/>
                <w:sz w:val="24"/>
                <w:szCs w:val="24"/>
                <w:highlight w:val="none"/>
                <w:lang w:val="en-US" w:eastAsia="zh-CN"/>
              </w:rPr>
              <w:t>7</w:t>
            </w:r>
            <w:r>
              <w:rPr>
                <w:rFonts w:hint="eastAsia" w:ascii="宋体" w:hAnsi="宋体" w:eastAsia="宋体" w:cs="Times New Roman"/>
                <w:b w:val="0"/>
                <w:bCs/>
                <w:color w:val="auto"/>
                <w:sz w:val="24"/>
                <w:szCs w:val="24"/>
                <w:highlight w:val="none"/>
                <w:lang w:eastAsia="zh-CN"/>
              </w:rPr>
              <w:t>分</w:t>
            </w:r>
            <w:r>
              <w:rPr>
                <w:rFonts w:hint="eastAsia" w:ascii="宋体" w:hAnsi="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eastAsia="zh-CN"/>
              </w:rPr>
              <w:t>方案不完整，可行性较低的，得</w:t>
            </w:r>
            <w:r>
              <w:rPr>
                <w:rFonts w:hint="eastAsia" w:ascii="宋体" w:hAnsi="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lang w:eastAsia="zh-CN"/>
              </w:rPr>
              <w:t>分</w:t>
            </w:r>
            <w:r>
              <w:rPr>
                <w:rFonts w:hint="eastAsia" w:ascii="宋体" w:hAnsi="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eastAsia="zh-CN"/>
              </w:rPr>
              <w:t>其余情况不得分。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275"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船舶的维修设备方案</w:t>
            </w:r>
          </w:p>
        </w:tc>
        <w:tc>
          <w:tcPr>
            <w:tcW w:w="840"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327BD4B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船舶的维修设备方案细致全面，内容科学合理有针对性，清晰规范的，得</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方案一般，内容科学基本合理，可行性一般的，得</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方案不完整，可行性较低的，得</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其余情况不得分。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8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275"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质量保证措施</w:t>
            </w:r>
          </w:p>
        </w:tc>
        <w:tc>
          <w:tcPr>
            <w:tcW w:w="840"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10分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1A099A1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质量保证措施方案细致全面，内容科学合理有针对性</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清晰规范的，得</w:t>
            </w:r>
            <w:r>
              <w:rPr>
                <w:rFonts w:hint="eastAsia" w:ascii="宋体" w:hAnsi="宋体" w:cs="Times New Roman"/>
                <w:color w:val="auto"/>
                <w:kern w:val="2"/>
                <w:sz w:val="24"/>
                <w:szCs w:val="24"/>
                <w:highlight w:val="none"/>
                <w:lang w:val="en-US" w:eastAsia="zh-CN" w:bidi="ar-SA"/>
              </w:rPr>
              <w:t>10</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方案一般，内容科学基本合理可行性一般的，得</w:t>
            </w:r>
            <w:r>
              <w:rPr>
                <w:rFonts w:hint="eastAsia" w:ascii="宋体" w:hAnsi="宋体" w:cs="Times New Roman"/>
                <w:color w:val="auto"/>
                <w:kern w:val="2"/>
                <w:sz w:val="24"/>
                <w:szCs w:val="24"/>
                <w:highlight w:val="none"/>
                <w:lang w:val="en-US" w:eastAsia="zh-CN" w:bidi="ar-SA"/>
              </w:rPr>
              <w:t>7</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方案不完整，可行性较低的，得</w:t>
            </w: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其余情况不得分。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38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843"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275"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售后服务</w:t>
            </w:r>
          </w:p>
        </w:tc>
        <w:tc>
          <w:tcPr>
            <w:tcW w:w="840"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0CAFC24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售后服务方案(包括但不限于培训、维修响应等)方案细致全面，内容科学合理有针对性，清晰规范的，得</w:t>
            </w:r>
            <w:r>
              <w:rPr>
                <w:rFonts w:hint="eastAsia" w:ascii="宋体" w:hAnsi="宋体" w:cs="Times New Roman"/>
                <w:color w:val="auto"/>
                <w:kern w:val="2"/>
                <w:sz w:val="24"/>
                <w:szCs w:val="24"/>
                <w:highlight w:val="none"/>
                <w:lang w:val="en-US" w:eastAsia="zh-CN" w:bidi="ar-SA"/>
              </w:rPr>
              <w:t>9</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方案一般，内容科学基本合理，可行性一般的，得</w:t>
            </w:r>
            <w:r>
              <w:rPr>
                <w:rFonts w:hint="eastAsia" w:ascii="宋体" w:hAnsi="宋体" w:cs="Times New Roman"/>
                <w:color w:val="auto"/>
                <w:kern w:val="2"/>
                <w:sz w:val="24"/>
                <w:szCs w:val="24"/>
                <w:highlight w:val="none"/>
                <w:lang w:val="en-US" w:eastAsia="zh-CN" w:bidi="ar-SA"/>
              </w:rPr>
              <w:t>6</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方案不完整，可行性较低的，得</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其余情况不得分。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38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商务</w:t>
            </w:r>
            <w:r>
              <w:rPr>
                <w:rFonts w:hint="eastAsia" w:ascii="宋体" w:hAnsi="宋体"/>
                <w:color w:val="auto"/>
                <w:sz w:val="24"/>
                <w:szCs w:val="24"/>
                <w:highlight w:val="none"/>
              </w:rPr>
              <w:t>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人员证书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14D8E4A">
            <w:pPr>
              <w:pStyle w:val="2"/>
              <w:numPr>
                <w:ilvl w:val="0"/>
                <w:numId w:val="6"/>
              </w:numPr>
              <w:spacing w:line="24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主要负责人具有船舶专业相关的高级及以上职称得2分，中级职称得1分，本项最高得2分</w:t>
            </w:r>
            <w:r>
              <w:rPr>
                <w:rFonts w:hint="eastAsia" w:ascii="宋体" w:hAnsi="宋体" w:cs="Times New Roman"/>
                <w:color w:val="auto"/>
                <w:sz w:val="24"/>
                <w:szCs w:val="24"/>
                <w:highlight w:val="none"/>
                <w:lang w:eastAsia="zh-CN"/>
              </w:rPr>
              <w:t>。</w:t>
            </w:r>
          </w:p>
          <w:p w14:paraId="6D40EEA0">
            <w:pPr>
              <w:pStyle w:val="2"/>
              <w:spacing w:line="240" w:lineRule="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项目技术人员证书情况</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除主要负责人外</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，具有安全管理员证书的，有一份得2分，最高4分。</w:t>
            </w:r>
          </w:p>
          <w:p w14:paraId="3D0C1FD3">
            <w:pPr>
              <w:pStyle w:val="2"/>
              <w:spacing w:line="240" w:lineRule="auto"/>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注:项目配备人员必须为在职非退休人员，且须提供人员配置名单和本单位为其近三个月内任意一个月缴纳的社保证明或劳动合同或公司为人员发放工资的银行流水等证明材料复印件。</w:t>
            </w:r>
            <w:r>
              <w:rPr>
                <w:rFonts w:hint="eastAsia" w:ascii="宋体" w:hAnsi="宋体" w:cs="Times New Roman"/>
                <w:b/>
                <w:bCs/>
                <w:color w:val="auto"/>
                <w:sz w:val="24"/>
                <w:szCs w:val="24"/>
                <w:highlight w:val="none"/>
                <w:lang w:val="en-US" w:eastAsia="zh-CN"/>
              </w:rPr>
              <w:t>投标</w:t>
            </w:r>
            <w:r>
              <w:rPr>
                <w:rFonts w:hint="eastAsia" w:ascii="宋体" w:hAnsi="宋体" w:eastAsia="宋体" w:cs="Times New Roman"/>
                <w:b/>
                <w:bCs/>
                <w:color w:val="auto"/>
                <w:sz w:val="24"/>
                <w:szCs w:val="24"/>
                <w:highlight w:val="none"/>
              </w:rPr>
              <w:t>文件中提供复印件或扫描件加盖</w:t>
            </w:r>
            <w:r>
              <w:rPr>
                <w:rFonts w:hint="eastAsia" w:ascii="宋体" w:hAnsi="宋体" w:cs="Times New Roman"/>
                <w:b/>
                <w:bCs/>
                <w:color w:val="auto"/>
                <w:sz w:val="24"/>
                <w:szCs w:val="24"/>
                <w:highlight w:val="none"/>
                <w:lang w:val="en-US" w:eastAsia="zh-CN"/>
              </w:rPr>
              <w:t>投标人</w:t>
            </w:r>
            <w:r>
              <w:rPr>
                <w:rFonts w:hint="eastAsia" w:ascii="宋体" w:hAnsi="宋体" w:eastAsia="宋体" w:cs="Times New Roman"/>
                <w:b/>
                <w:bCs/>
                <w:color w:val="auto"/>
                <w:sz w:val="24"/>
                <w:szCs w:val="24"/>
                <w:highlight w:val="none"/>
              </w:rPr>
              <w:t>公章，不提供不得分，同一个人仅可担任一项职务</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即</w:t>
            </w:r>
            <w:r>
              <w:rPr>
                <w:rFonts w:hint="eastAsia" w:ascii="宋体" w:hAnsi="宋体" w:eastAsia="宋体" w:cs="Times New Roman"/>
                <w:b/>
                <w:bCs/>
                <w:color w:val="auto"/>
                <w:sz w:val="24"/>
                <w:szCs w:val="24"/>
                <w:highlight w:val="none"/>
                <w:lang w:val="en-US" w:eastAsia="zh-CN"/>
              </w:rPr>
              <w:t>一人多证不重复计取，按最高分计</w:t>
            </w:r>
            <w:r>
              <w:rPr>
                <w:rFonts w:hint="eastAsia" w:ascii="宋体" w:hAnsi="宋体" w:eastAsia="宋体" w:cs="Times New Roman"/>
                <w:b/>
                <w:bCs/>
                <w:color w:val="auto"/>
                <w:sz w:val="24"/>
                <w:szCs w:val="24"/>
                <w:highlight w:val="none"/>
              </w:rPr>
              <w:t>。</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38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企业综合实力</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4DFDDA60">
            <w:pPr>
              <w:numPr>
                <w:ilvl w:val="0"/>
                <w:numId w:val="0"/>
              </w:numPr>
              <w:spacing w:line="240" w:lineRule="auto"/>
              <w:jc w:val="both"/>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具有有效期内的质量管理体系认证证书</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环境管理体系认证证书</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职业健康安全管理体系认证证书</w:t>
            </w:r>
            <w:r>
              <w:rPr>
                <w:rFonts w:hint="eastAsia" w:ascii="宋体" w:hAnsi="宋体" w:cs="Times New Roman"/>
                <w:color w:val="auto"/>
                <w:sz w:val="24"/>
                <w:szCs w:val="24"/>
                <w:highlight w:val="none"/>
                <w:lang w:eastAsia="zh-CN"/>
              </w:rPr>
              <w:t>的</w:t>
            </w:r>
            <w:r>
              <w:rPr>
                <w:rFonts w:hint="eastAsia" w:ascii="宋体" w:hAnsi="宋体" w:cs="Times New Roman"/>
                <w:color w:val="auto"/>
                <w:sz w:val="24"/>
                <w:szCs w:val="24"/>
                <w:highlight w:val="none"/>
                <w:lang w:val="en-US" w:eastAsia="zh-CN"/>
              </w:rPr>
              <w:t>每有一个</w:t>
            </w:r>
            <w:r>
              <w:rPr>
                <w:rFonts w:hint="eastAsia" w:ascii="宋体" w:hAnsi="宋体" w:eastAsia="宋体" w:cs="Times New Roman"/>
                <w:color w:val="auto"/>
                <w:sz w:val="24"/>
                <w:szCs w:val="24"/>
                <w:highlight w:val="none"/>
              </w:rPr>
              <w:t>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本项最高得9分</w:t>
            </w:r>
            <w:r>
              <w:rPr>
                <w:rFonts w:hint="eastAsia" w:ascii="宋体" w:hAnsi="宋体" w:eastAsia="宋体" w:cs="Times New Roman"/>
                <w:color w:val="auto"/>
                <w:sz w:val="24"/>
                <w:szCs w:val="24"/>
                <w:highlight w:val="none"/>
              </w:rPr>
              <w:t>。</w:t>
            </w:r>
          </w:p>
          <w:p w14:paraId="7EF17CA1">
            <w:pPr>
              <w:spacing w:line="240" w:lineRule="auto"/>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w:t>
            </w:r>
            <w:r>
              <w:rPr>
                <w:rFonts w:hint="eastAsia" w:ascii="宋体" w:hAnsi="宋体" w:cs="Times New Roman"/>
                <w:b/>
                <w:bCs/>
                <w:color w:val="auto"/>
                <w:sz w:val="24"/>
                <w:szCs w:val="24"/>
                <w:highlight w:val="none"/>
                <w:lang w:val="en-US" w:eastAsia="zh-CN"/>
              </w:rPr>
              <w:t>投标</w:t>
            </w:r>
            <w:r>
              <w:rPr>
                <w:rFonts w:hint="eastAsia" w:ascii="宋体" w:hAnsi="宋体" w:eastAsia="宋体" w:cs="Times New Roman"/>
                <w:b/>
                <w:bCs/>
                <w:color w:val="auto"/>
                <w:sz w:val="24"/>
                <w:szCs w:val="24"/>
                <w:highlight w:val="none"/>
              </w:rPr>
              <w:t>文件中须提供相关证书复印件或扫描件加盖</w:t>
            </w:r>
            <w:r>
              <w:rPr>
                <w:rFonts w:hint="eastAsia" w:ascii="宋体" w:hAnsi="宋体" w:cs="Times New Roman"/>
                <w:b/>
                <w:bCs/>
                <w:color w:val="auto"/>
                <w:sz w:val="24"/>
                <w:szCs w:val="24"/>
                <w:highlight w:val="none"/>
                <w:lang w:val="en-US" w:eastAsia="zh-CN"/>
              </w:rPr>
              <w:t>投标人</w:t>
            </w:r>
            <w:r>
              <w:rPr>
                <w:rFonts w:hint="eastAsia" w:ascii="宋体" w:hAnsi="宋体" w:eastAsia="宋体" w:cs="Times New Roman"/>
                <w:b/>
                <w:bCs/>
                <w:color w:val="auto"/>
                <w:sz w:val="24"/>
                <w:szCs w:val="24"/>
                <w:highlight w:val="none"/>
              </w:rPr>
              <w:t>公章，不提供不得分。</w:t>
            </w:r>
          </w:p>
        </w:tc>
      </w:tr>
      <w:tr w14:paraId="1908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380" w:type="dxa"/>
            <w:vMerge w:val="continue"/>
            <w:tcBorders>
              <w:left w:val="single" w:color="auto" w:sz="4" w:space="0"/>
              <w:right w:val="single" w:color="auto" w:sz="4" w:space="0"/>
            </w:tcBorders>
            <w:noWrap w:val="0"/>
            <w:vAlign w:val="center"/>
          </w:tcPr>
          <w:p w14:paraId="124AA168">
            <w:pPr>
              <w:jc w:val="center"/>
              <w:rPr>
                <w:rFonts w:ascii="宋体" w:hAnsi="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D735711">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B5DB11">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6E25E3">
            <w:pPr>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6分</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575871B6">
            <w:pPr>
              <w:spacing w:line="240" w:lineRule="auto"/>
              <w:jc w:val="both"/>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2022年1月(以合同签订时间为准)以来</w:t>
            </w:r>
            <w:r>
              <w:rPr>
                <w:rFonts w:hint="eastAsia" w:ascii="宋体" w:hAnsi="宋体" w:cs="Times New Roman"/>
                <w:color w:val="auto"/>
                <w:sz w:val="24"/>
                <w:szCs w:val="24"/>
                <w:highlight w:val="none"/>
                <w:lang w:val="en-US" w:eastAsia="zh-CN"/>
              </w:rPr>
              <w:t>承担</w:t>
            </w:r>
            <w:r>
              <w:rPr>
                <w:rFonts w:hint="eastAsia" w:ascii="宋体" w:hAnsi="宋体" w:eastAsia="宋体" w:cs="Times New Roman"/>
                <w:color w:val="auto"/>
                <w:sz w:val="24"/>
                <w:szCs w:val="24"/>
                <w:highlight w:val="none"/>
              </w:rPr>
              <w:t>过类似船舶维修项目，每一个得</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.5分，本项最高得6分。</w:t>
            </w:r>
          </w:p>
          <w:p w14:paraId="3FE45BC1">
            <w:pPr>
              <w:spacing w:line="240" w:lineRule="auto"/>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投标</w:t>
            </w:r>
            <w:r>
              <w:rPr>
                <w:rFonts w:hint="eastAsia" w:ascii="宋体" w:hAnsi="宋体" w:eastAsia="宋体" w:cs="Times New Roman"/>
                <w:b/>
                <w:bCs/>
                <w:color w:val="auto"/>
                <w:sz w:val="24"/>
                <w:szCs w:val="24"/>
                <w:highlight w:val="none"/>
              </w:rPr>
              <w:t>文件内提供相关业绩合同的复印件或扫描件</w:t>
            </w:r>
            <w:r>
              <w:rPr>
                <w:rFonts w:hint="eastAsia" w:ascii="宋体" w:hAnsi="宋体" w:cs="Times New Roman"/>
                <w:b/>
                <w:bCs/>
                <w:color w:val="auto"/>
                <w:sz w:val="24"/>
                <w:szCs w:val="24"/>
                <w:highlight w:val="none"/>
                <w:lang w:val="en-US" w:eastAsia="zh-CN"/>
              </w:rPr>
              <w:t>盖投标人公</w:t>
            </w:r>
            <w:r>
              <w:rPr>
                <w:rFonts w:hint="eastAsia" w:ascii="宋体" w:hAnsi="宋体" w:eastAsia="宋体" w:cs="Times New Roman"/>
                <w:b/>
                <w:bCs/>
                <w:color w:val="auto"/>
                <w:sz w:val="24"/>
                <w:szCs w:val="24"/>
                <w:highlight w:val="none"/>
              </w:rPr>
              <w:t>章，不提供不得分。</w:t>
            </w:r>
          </w:p>
        </w:tc>
      </w:tr>
    </w:tbl>
    <w:p w14:paraId="03B946D2">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00"/>
        <w:gridCol w:w="855"/>
        <w:gridCol w:w="7300"/>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00"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85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7300"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200"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85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30</w:t>
            </w:r>
          </w:p>
        </w:tc>
        <w:tc>
          <w:tcPr>
            <w:tcW w:w="7300"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30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30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1060BA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6BC89CDD">
      <w:pPr>
        <w:spacing w:line="360" w:lineRule="auto"/>
        <w:rPr>
          <w:rFonts w:ascii="宋体"/>
          <w:color w:val="000000"/>
          <w:kern w:val="0"/>
          <w:sz w:val="24"/>
          <w:highlight w:val="none"/>
          <w:u w:val="none" w:color="000000"/>
        </w:rPr>
      </w:pPr>
      <w:r>
        <w:rPr>
          <w:rFonts w:hint="eastAsia" w:ascii="宋体" w:hAnsi="宋体"/>
          <w:color w:val="000000"/>
          <w:kern w:val="0"/>
          <w:sz w:val="24"/>
          <w:highlight w:val="none"/>
          <w:u w:val="none" w:color="000000"/>
        </w:rPr>
        <w:t>甲方（</w:t>
      </w:r>
      <w:r>
        <w:rPr>
          <w:rFonts w:hint="eastAsia" w:ascii="宋体" w:hAnsi="宋体"/>
          <w:bCs/>
          <w:color w:val="000000"/>
          <w:sz w:val="24"/>
          <w:highlight w:val="none"/>
        </w:rPr>
        <w:t>以下简称甲方</w:t>
      </w:r>
      <w:r>
        <w:rPr>
          <w:rFonts w:hint="eastAsia" w:ascii="宋体" w:hAnsi="宋体"/>
          <w:color w:val="000000"/>
          <w:kern w:val="0"/>
          <w:sz w:val="24"/>
          <w:highlight w:val="none"/>
          <w:u w:val="none" w:color="000000"/>
        </w:rPr>
        <w:t>）：</w:t>
      </w:r>
      <w:r>
        <w:rPr>
          <w:rFonts w:hint="eastAsia" w:ascii="宋体" w:hAnsi="宋体"/>
          <w:color w:val="000000"/>
          <w:kern w:val="0"/>
          <w:sz w:val="24"/>
          <w:highlight w:val="none"/>
          <w:u w:val="single"/>
        </w:rPr>
        <w:t>江苏宜公投蓝藻资源开发有限公司</w:t>
      </w:r>
    </w:p>
    <w:p w14:paraId="32005E0F">
      <w:pPr>
        <w:spacing w:line="360" w:lineRule="auto"/>
        <w:rPr>
          <w:rFonts w:ascii="宋体"/>
          <w:color w:val="000000"/>
          <w:kern w:val="0"/>
          <w:sz w:val="24"/>
          <w:highlight w:val="none"/>
          <w:u w:val="none" w:color="000000"/>
        </w:rPr>
      </w:pPr>
      <w:r>
        <w:rPr>
          <w:rFonts w:hint="eastAsia" w:ascii="宋体" w:hAnsi="宋体"/>
          <w:color w:val="000000"/>
          <w:kern w:val="0"/>
          <w:sz w:val="24"/>
          <w:highlight w:val="none"/>
          <w:u w:val="none" w:color="000000"/>
        </w:rPr>
        <w:t>乙方（</w:t>
      </w:r>
      <w:r>
        <w:rPr>
          <w:rFonts w:hint="eastAsia" w:ascii="宋体" w:hAnsi="宋体"/>
          <w:bCs/>
          <w:color w:val="000000"/>
          <w:sz w:val="24"/>
          <w:highlight w:val="none"/>
        </w:rPr>
        <w:t>以下简称乙方</w:t>
      </w:r>
      <w:r>
        <w:rPr>
          <w:rFonts w:hint="eastAsia" w:ascii="宋体" w:hAnsi="宋体"/>
          <w:color w:val="000000"/>
          <w:kern w:val="0"/>
          <w:sz w:val="24"/>
          <w:highlight w:val="none"/>
          <w:u w:val="none" w:color="000000"/>
        </w:rPr>
        <w:t>）：</w:t>
      </w:r>
    </w:p>
    <w:p w14:paraId="5A8ACFEE">
      <w:pPr>
        <w:spacing w:line="360" w:lineRule="auto"/>
        <w:ind w:firstLine="480" w:firstLineChars="200"/>
        <w:rPr>
          <w:rFonts w:ascii="宋体"/>
          <w:bCs/>
          <w:color w:val="000000"/>
          <w:sz w:val="24"/>
          <w:highlight w:val="none"/>
        </w:rPr>
      </w:pPr>
      <w:r>
        <w:rPr>
          <w:rFonts w:hint="eastAsia" w:ascii="宋体" w:hAnsi="宋体"/>
          <w:bCs/>
          <w:sz w:val="24"/>
          <w:highlight w:val="none"/>
        </w:rPr>
        <w:t>甲方愿以总价人民币元（大写：</w:t>
      </w:r>
      <w:r>
        <w:rPr>
          <w:rFonts w:hint="eastAsia" w:ascii="宋体" w:hAnsi="宋体"/>
          <w:bCs/>
          <w:sz w:val="24"/>
          <w:highlight w:val="none"/>
          <w:lang w:val="en-US" w:eastAsia="zh-CN"/>
        </w:rPr>
        <w:t xml:space="preserve">   </w:t>
      </w:r>
      <w:r>
        <w:rPr>
          <w:rFonts w:hint="eastAsia" w:ascii="宋体" w:hAnsi="宋体"/>
          <w:bCs/>
          <w:sz w:val="24"/>
          <w:highlight w:val="none"/>
        </w:rPr>
        <w:t>）向乙方发包，并经双方协商同意下列条款</w:t>
      </w:r>
      <w:r>
        <w:rPr>
          <w:rFonts w:hint="eastAsia" w:ascii="宋体" w:hAnsi="宋体"/>
          <w:bCs/>
          <w:color w:val="000000"/>
          <w:sz w:val="24"/>
          <w:highlight w:val="none"/>
        </w:rPr>
        <w:t>：</w:t>
      </w:r>
    </w:p>
    <w:p w14:paraId="0FF9156A">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一、本合同</w:t>
      </w:r>
      <w:r>
        <w:rPr>
          <w:rFonts w:hint="eastAsia" w:ascii="宋体" w:hAnsi="宋体"/>
          <w:bCs/>
          <w:color w:val="000000"/>
          <w:sz w:val="24"/>
          <w:highlight w:val="none"/>
          <w:lang w:eastAsia="zh-CN"/>
        </w:rPr>
        <w:t>甲、乙</w:t>
      </w:r>
      <w:r>
        <w:rPr>
          <w:rFonts w:hint="eastAsia" w:ascii="宋体" w:hAnsi="宋体"/>
          <w:bCs/>
          <w:color w:val="000000"/>
          <w:sz w:val="24"/>
          <w:highlight w:val="none"/>
        </w:rPr>
        <w:t>双方必须遵守《</w:t>
      </w:r>
      <w:r>
        <w:rPr>
          <w:rFonts w:hint="eastAsia" w:ascii="宋体" w:hAnsi="宋体"/>
          <w:bCs/>
          <w:color w:val="000000"/>
          <w:sz w:val="24"/>
          <w:highlight w:val="none"/>
          <w:lang w:eastAsia="zh-CN"/>
        </w:rPr>
        <w:t>中华人民共和国民法典</w:t>
      </w:r>
      <w:r>
        <w:rPr>
          <w:rFonts w:hint="eastAsia" w:ascii="宋体" w:hAnsi="宋体"/>
          <w:bCs/>
          <w:color w:val="000000"/>
          <w:sz w:val="24"/>
          <w:highlight w:val="none"/>
        </w:rPr>
        <w:t>》，并各自履行应负的全部责任。</w:t>
      </w:r>
    </w:p>
    <w:p w14:paraId="788E96BC">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二、下列文件均为本合同不可分割部分：</w:t>
      </w:r>
    </w:p>
    <w:p w14:paraId="728DAE31">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1</w:t>
      </w:r>
      <w:r>
        <w:rPr>
          <w:rFonts w:hint="eastAsia" w:ascii="宋体" w:hAnsi="宋体"/>
          <w:bCs/>
          <w:color w:val="000000"/>
          <w:sz w:val="24"/>
          <w:highlight w:val="none"/>
        </w:rPr>
        <w:t>）合同书及所附条款；（</w:t>
      </w:r>
      <w:r>
        <w:rPr>
          <w:rFonts w:ascii="宋体" w:hAnsi="宋体"/>
          <w:bCs/>
          <w:color w:val="000000"/>
          <w:sz w:val="24"/>
          <w:highlight w:val="none"/>
        </w:rPr>
        <w:t>2</w:t>
      </w:r>
      <w:r>
        <w:rPr>
          <w:rFonts w:hint="eastAsia" w:ascii="宋体" w:hAnsi="宋体"/>
          <w:bCs/>
          <w:color w:val="000000"/>
          <w:sz w:val="24"/>
          <w:highlight w:val="none"/>
        </w:rPr>
        <w:t>）中标通知书；（</w:t>
      </w:r>
      <w:r>
        <w:rPr>
          <w:rFonts w:ascii="宋体" w:hAnsi="宋体"/>
          <w:bCs/>
          <w:color w:val="000000"/>
          <w:sz w:val="24"/>
          <w:highlight w:val="none"/>
        </w:rPr>
        <w:t>3</w:t>
      </w:r>
      <w:r>
        <w:rPr>
          <w:rFonts w:hint="eastAsia" w:ascii="宋体" w:hAnsi="宋体"/>
          <w:bCs/>
          <w:color w:val="000000"/>
          <w:sz w:val="24"/>
          <w:highlight w:val="none"/>
        </w:rPr>
        <w:t>）乙方中标的投标文件；（</w:t>
      </w:r>
      <w:r>
        <w:rPr>
          <w:rFonts w:ascii="宋体" w:hAnsi="宋体"/>
          <w:bCs/>
          <w:color w:val="000000"/>
          <w:sz w:val="24"/>
          <w:highlight w:val="none"/>
        </w:rPr>
        <w:t>4</w:t>
      </w:r>
      <w:r>
        <w:rPr>
          <w:rFonts w:hint="eastAsia" w:ascii="宋体" w:hAnsi="宋体"/>
          <w:bCs/>
          <w:color w:val="000000"/>
          <w:sz w:val="24"/>
          <w:highlight w:val="none"/>
        </w:rPr>
        <w:t>）招标文件（采购项目编号：</w:t>
      </w:r>
      <w:r>
        <w:rPr>
          <w:rFonts w:hint="eastAsia" w:ascii="宋体" w:hAnsi="宋体"/>
          <w:bCs/>
          <w:color w:val="000000"/>
          <w:sz w:val="24"/>
          <w:highlight w:val="none"/>
          <w:lang w:eastAsia="zh-CN"/>
        </w:rPr>
        <w:t>YXGYJT202511015</w:t>
      </w:r>
      <w:r>
        <w:rPr>
          <w:rFonts w:hint="eastAsia" w:ascii="宋体" w:hAnsi="宋体"/>
          <w:bCs/>
          <w:color w:val="000000"/>
          <w:sz w:val="24"/>
          <w:highlight w:val="none"/>
        </w:rPr>
        <w:t>）；（</w:t>
      </w:r>
      <w:r>
        <w:rPr>
          <w:rFonts w:ascii="宋体" w:hAnsi="宋体"/>
          <w:bCs/>
          <w:color w:val="000000"/>
          <w:sz w:val="24"/>
          <w:highlight w:val="none"/>
        </w:rPr>
        <w:t>5</w:t>
      </w:r>
      <w:r>
        <w:rPr>
          <w:rFonts w:hint="eastAsia" w:ascii="宋体" w:hAnsi="宋体"/>
          <w:bCs/>
          <w:color w:val="000000"/>
          <w:sz w:val="24"/>
          <w:highlight w:val="none"/>
        </w:rPr>
        <w:t>）乙方在投标过程中所作的其他有关承诺、声明、书面澄清等。</w:t>
      </w:r>
    </w:p>
    <w:p w14:paraId="7225B62A">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三、乙方保证全部按照合同条款的规定和期限向甲方提供上述合格的服务。</w:t>
      </w:r>
    </w:p>
    <w:p w14:paraId="51037C1A">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四、采购人按照招标文件，组织对中标供应商的服务进行验收，在确认符合采购需求的基础上，填写项目验收单并加盖单位公章。</w:t>
      </w:r>
    </w:p>
    <w:p w14:paraId="1DCE0A06">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五、</w:t>
      </w:r>
      <w:r>
        <w:rPr>
          <w:rFonts w:hint="eastAsia" w:ascii="宋体" w:hAnsi="宋体"/>
          <w:bCs/>
          <w:color w:val="000000"/>
          <w:sz w:val="24"/>
          <w:highlight w:val="none"/>
          <w:lang w:val="en-US" w:eastAsia="zh-CN"/>
        </w:rPr>
        <w:t>乙方</w:t>
      </w:r>
      <w:r>
        <w:rPr>
          <w:rFonts w:hint="eastAsia" w:ascii="宋体" w:hAnsi="宋体"/>
          <w:bCs/>
          <w:color w:val="000000"/>
          <w:sz w:val="24"/>
          <w:highlight w:val="none"/>
        </w:rPr>
        <w:t>供货完毕凭正式发票和验收单按合同规定的时间、步骤和方法与甲方结算采购资金。</w:t>
      </w:r>
    </w:p>
    <w:p w14:paraId="7AC10E8F">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六、本合同一式伍份，</w:t>
      </w:r>
      <w:r>
        <w:rPr>
          <w:rFonts w:hint="eastAsia" w:ascii="宋体" w:hAnsi="宋体"/>
          <w:bCs/>
          <w:color w:val="000000"/>
          <w:sz w:val="24"/>
          <w:highlight w:val="none"/>
          <w:lang w:eastAsia="zh-CN"/>
        </w:rPr>
        <w:t>甲、乙</w:t>
      </w:r>
      <w:r>
        <w:rPr>
          <w:rFonts w:hint="eastAsia" w:ascii="宋体" w:hAnsi="宋体"/>
          <w:bCs/>
          <w:color w:val="000000"/>
          <w:sz w:val="24"/>
          <w:highlight w:val="none"/>
        </w:rPr>
        <w:t>双方各持贰份，报送上级主管部门存档一份</w:t>
      </w:r>
    </w:p>
    <w:p w14:paraId="17A14918">
      <w:pPr>
        <w:spacing w:line="360" w:lineRule="auto"/>
        <w:ind w:firstLine="480" w:firstLineChars="200"/>
        <w:rPr>
          <w:rFonts w:hint="eastAsia" w:ascii="宋体" w:hAnsi="宋体"/>
          <w:bCs/>
          <w:sz w:val="24"/>
          <w:highlight w:val="none"/>
        </w:rPr>
      </w:pPr>
    </w:p>
    <w:p w14:paraId="2DDED243">
      <w:pPr>
        <w:spacing w:line="360" w:lineRule="auto"/>
        <w:rPr>
          <w:rFonts w:hint="eastAsia" w:ascii="楷体_GB2312" w:eastAsia="楷体_GB2312"/>
          <w:sz w:val="24"/>
          <w:highlight w:val="none"/>
        </w:rPr>
      </w:pPr>
    </w:p>
    <w:tbl>
      <w:tblPr>
        <w:tblStyle w:val="11"/>
        <w:tblW w:w="0" w:type="auto"/>
        <w:jc w:val="center"/>
        <w:tblLayout w:type="fixed"/>
        <w:tblCellMar>
          <w:top w:w="0" w:type="dxa"/>
          <w:left w:w="0" w:type="dxa"/>
          <w:bottom w:w="0" w:type="dxa"/>
          <w:right w:w="0" w:type="dxa"/>
        </w:tblCellMar>
      </w:tblPr>
      <w:tblGrid>
        <w:gridCol w:w="4643"/>
        <w:gridCol w:w="4643"/>
      </w:tblGrid>
      <w:tr w14:paraId="468AD763">
        <w:tblPrEx>
          <w:tblCellMar>
            <w:top w:w="0" w:type="dxa"/>
            <w:left w:w="0" w:type="dxa"/>
            <w:bottom w:w="0" w:type="dxa"/>
            <w:right w:w="0" w:type="dxa"/>
          </w:tblCellMar>
        </w:tblPrEx>
        <w:trPr>
          <w:jc w:val="center"/>
        </w:trPr>
        <w:tc>
          <w:tcPr>
            <w:tcW w:w="4643" w:type="dxa"/>
            <w:noWrap w:val="0"/>
            <w:vAlign w:val="top"/>
          </w:tcPr>
          <w:p w14:paraId="5AB27149">
            <w:pPr>
              <w:widowControl/>
              <w:adjustRightInd w:val="0"/>
              <w:jc w:val="left"/>
              <w:rPr>
                <w:rFonts w:ascii="宋体" w:cs="宋体"/>
                <w:color w:val="000000"/>
                <w:kern w:val="0"/>
                <w:sz w:val="24"/>
                <w:szCs w:val="24"/>
                <w:highlight w:val="none"/>
                <w:lang w:val="zh-CN"/>
              </w:rPr>
            </w:pPr>
            <w:bookmarkStart w:id="81" w:name="_Toc32439"/>
            <w:bookmarkStart w:id="82" w:name="_Toc15580"/>
            <w:r>
              <w:rPr>
                <w:rFonts w:hint="eastAsia" w:ascii="宋体" w:hAnsi="宋体" w:cs="宋体"/>
                <w:color w:val="000000"/>
                <w:kern w:val="0"/>
                <w:sz w:val="24"/>
                <w:szCs w:val="24"/>
                <w:highlight w:val="none"/>
                <w:lang w:val="zh-CN"/>
              </w:rPr>
              <w:t xml:space="preserve">  </w:t>
            </w:r>
            <w:bookmarkStart w:id="83" w:name="OLE_LINK46"/>
            <w:r>
              <w:rPr>
                <w:rFonts w:hint="eastAsia" w:ascii="宋体" w:hAnsi="宋体" w:cs="宋体"/>
                <w:color w:val="000000"/>
                <w:kern w:val="0"/>
                <w:sz w:val="24"/>
                <w:szCs w:val="24"/>
                <w:highlight w:val="none"/>
                <w:lang w:val="zh-CN"/>
              </w:rPr>
              <w:t>甲方（采购人）：（盖章）</w:t>
            </w:r>
            <w:bookmarkEnd w:id="83"/>
          </w:p>
        </w:tc>
        <w:tc>
          <w:tcPr>
            <w:tcW w:w="4643" w:type="dxa"/>
            <w:noWrap w:val="0"/>
            <w:vAlign w:val="top"/>
          </w:tcPr>
          <w:p w14:paraId="0496FCBD">
            <w:pPr>
              <w:widowControl/>
              <w:adjustRightInd w:val="0"/>
              <w:jc w:val="left"/>
              <w:rPr>
                <w:rFonts w:asci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乙方（供应商）：（盖章）</w:t>
            </w:r>
          </w:p>
        </w:tc>
      </w:tr>
      <w:tr w14:paraId="5AA9B76D">
        <w:tblPrEx>
          <w:tblCellMar>
            <w:top w:w="0" w:type="dxa"/>
            <w:left w:w="0" w:type="dxa"/>
            <w:bottom w:w="0" w:type="dxa"/>
            <w:right w:w="0" w:type="dxa"/>
          </w:tblCellMar>
        </w:tblPrEx>
        <w:trPr>
          <w:jc w:val="center"/>
        </w:trPr>
        <w:tc>
          <w:tcPr>
            <w:tcW w:w="4643" w:type="dxa"/>
            <w:noWrap w:val="0"/>
            <w:vAlign w:val="top"/>
          </w:tcPr>
          <w:p w14:paraId="375DDAB9">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 xml:space="preserve">  代表人签字：</w:t>
            </w:r>
          </w:p>
        </w:tc>
        <w:tc>
          <w:tcPr>
            <w:tcW w:w="4643" w:type="dxa"/>
            <w:noWrap w:val="0"/>
            <w:vAlign w:val="top"/>
          </w:tcPr>
          <w:p w14:paraId="55D9C8FA">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代表人签字</w:t>
            </w:r>
            <w:r>
              <w:rPr>
                <w:rFonts w:hint="eastAsia" w:ascii="宋体" w:hAnsi="宋体" w:cs="宋体"/>
                <w:color w:val="000000"/>
                <w:kern w:val="0"/>
                <w:sz w:val="24"/>
                <w:szCs w:val="24"/>
                <w:highlight w:val="none"/>
              </w:rPr>
              <w:t>：</w:t>
            </w:r>
          </w:p>
        </w:tc>
      </w:tr>
      <w:tr w14:paraId="54A77614">
        <w:tblPrEx>
          <w:tblCellMar>
            <w:top w:w="0" w:type="dxa"/>
            <w:left w:w="0" w:type="dxa"/>
            <w:bottom w:w="0" w:type="dxa"/>
            <w:right w:w="0" w:type="dxa"/>
          </w:tblCellMar>
        </w:tblPrEx>
        <w:trPr>
          <w:jc w:val="center"/>
        </w:trPr>
        <w:tc>
          <w:tcPr>
            <w:tcW w:w="4643" w:type="dxa"/>
            <w:noWrap w:val="0"/>
            <w:vAlign w:val="top"/>
          </w:tcPr>
          <w:p w14:paraId="303EB5CF">
            <w:pPr>
              <w:widowControl/>
              <w:adjustRightInd w:val="0"/>
              <w:jc w:val="left"/>
              <w:rPr>
                <w:rFonts w:ascii="宋体" w:cs="宋体"/>
                <w:color w:val="000000"/>
                <w:kern w:val="0"/>
                <w:sz w:val="24"/>
                <w:szCs w:val="24"/>
                <w:highlight w:val="none"/>
              </w:rPr>
            </w:pPr>
            <w:bookmarkStart w:id="84" w:name="OLE_LINK47"/>
            <w:r>
              <w:rPr>
                <w:rFonts w:hint="eastAsia" w:ascii="宋体" w:hAnsi="宋体" w:cs="宋体"/>
                <w:color w:val="000000"/>
                <w:kern w:val="0"/>
                <w:sz w:val="24"/>
                <w:szCs w:val="24"/>
                <w:highlight w:val="none"/>
                <w:lang w:val="zh-CN"/>
              </w:rPr>
              <w:t xml:space="preserve">  电话：</w:t>
            </w:r>
            <w:bookmarkEnd w:id="84"/>
          </w:p>
        </w:tc>
        <w:tc>
          <w:tcPr>
            <w:tcW w:w="4643" w:type="dxa"/>
            <w:noWrap w:val="0"/>
            <w:vAlign w:val="top"/>
          </w:tcPr>
          <w:p w14:paraId="0660044C">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电话：</w:t>
            </w:r>
          </w:p>
        </w:tc>
      </w:tr>
      <w:tr w14:paraId="24E1970D">
        <w:tblPrEx>
          <w:tblCellMar>
            <w:top w:w="0" w:type="dxa"/>
            <w:left w:w="0" w:type="dxa"/>
            <w:bottom w:w="0" w:type="dxa"/>
            <w:right w:w="0" w:type="dxa"/>
          </w:tblCellMar>
        </w:tblPrEx>
        <w:trPr>
          <w:jc w:val="center"/>
        </w:trPr>
        <w:tc>
          <w:tcPr>
            <w:tcW w:w="4643" w:type="dxa"/>
            <w:noWrap w:val="0"/>
            <w:vAlign w:val="top"/>
          </w:tcPr>
          <w:p w14:paraId="5E1971CA">
            <w:pPr>
              <w:widowControl/>
              <w:adjustRightInd w:val="0"/>
              <w:jc w:val="left"/>
              <w:rPr>
                <w:rFonts w:ascii="宋体" w:cs="宋体"/>
                <w:color w:val="000000"/>
                <w:kern w:val="0"/>
                <w:sz w:val="24"/>
                <w:szCs w:val="24"/>
                <w:highlight w:val="none"/>
              </w:rPr>
            </w:pPr>
            <w:bookmarkStart w:id="85" w:name="OLE_LINK50"/>
            <w:r>
              <w:rPr>
                <w:rFonts w:hint="eastAsia" w:ascii="宋体" w:hAnsi="宋体" w:cs="宋体"/>
                <w:color w:val="000000"/>
                <w:kern w:val="0"/>
                <w:sz w:val="24"/>
                <w:szCs w:val="24"/>
                <w:highlight w:val="none"/>
                <w:lang w:val="zh-CN"/>
              </w:rPr>
              <w:t xml:space="preserve">  开户银行：</w:t>
            </w:r>
            <w:bookmarkEnd w:id="85"/>
          </w:p>
        </w:tc>
        <w:tc>
          <w:tcPr>
            <w:tcW w:w="4643" w:type="dxa"/>
            <w:noWrap w:val="0"/>
            <w:vAlign w:val="top"/>
          </w:tcPr>
          <w:p w14:paraId="610C2F42">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开户银行：</w:t>
            </w:r>
          </w:p>
        </w:tc>
      </w:tr>
      <w:tr w14:paraId="4455AB09">
        <w:tblPrEx>
          <w:tblCellMar>
            <w:top w:w="0" w:type="dxa"/>
            <w:left w:w="0" w:type="dxa"/>
            <w:bottom w:w="0" w:type="dxa"/>
            <w:right w:w="0" w:type="dxa"/>
          </w:tblCellMar>
        </w:tblPrEx>
        <w:trPr>
          <w:jc w:val="center"/>
        </w:trPr>
        <w:tc>
          <w:tcPr>
            <w:tcW w:w="4643" w:type="dxa"/>
            <w:noWrap w:val="0"/>
            <w:vAlign w:val="top"/>
          </w:tcPr>
          <w:p w14:paraId="1BF48885">
            <w:pPr>
              <w:widowControl/>
              <w:adjustRightInd w:val="0"/>
              <w:jc w:val="left"/>
              <w:rPr>
                <w:rFonts w:ascii="宋体" w:cs="宋体"/>
                <w:color w:val="000000"/>
                <w:kern w:val="0"/>
                <w:sz w:val="24"/>
                <w:szCs w:val="24"/>
                <w:highlight w:val="none"/>
              </w:rPr>
            </w:pPr>
            <w:bookmarkStart w:id="86" w:name="OLE_LINK52"/>
            <w:r>
              <w:rPr>
                <w:rFonts w:hint="eastAsia" w:ascii="宋体" w:hAnsi="宋体" w:cs="宋体"/>
                <w:color w:val="000000"/>
                <w:kern w:val="0"/>
                <w:sz w:val="24"/>
                <w:szCs w:val="24"/>
                <w:highlight w:val="none"/>
                <w:lang w:val="zh-CN"/>
              </w:rPr>
              <w:t xml:space="preserve">  账号：</w:t>
            </w:r>
            <w:bookmarkEnd w:id="86"/>
          </w:p>
        </w:tc>
        <w:tc>
          <w:tcPr>
            <w:tcW w:w="4643" w:type="dxa"/>
            <w:noWrap w:val="0"/>
            <w:vAlign w:val="top"/>
          </w:tcPr>
          <w:p w14:paraId="078B749B">
            <w:pPr>
              <w:widowControl/>
              <w:adjustRightInd w:val="0"/>
              <w:jc w:val="left"/>
              <w:rPr>
                <w:rFonts w:ascii="宋体" w:cs="宋体"/>
                <w:color w:val="000000"/>
                <w:kern w:val="0"/>
                <w:sz w:val="24"/>
                <w:szCs w:val="24"/>
                <w:highlight w:val="none"/>
                <w:lang w:val="zh-CN"/>
              </w:rPr>
            </w:pPr>
            <w:r>
              <w:rPr>
                <w:rFonts w:hint="eastAsia" w:ascii="宋体" w:hAnsi="宋体" w:cs="宋体"/>
                <w:color w:val="000000"/>
                <w:kern w:val="0"/>
                <w:sz w:val="24"/>
                <w:szCs w:val="24"/>
                <w:highlight w:val="none"/>
                <w:lang w:val="zh-CN"/>
              </w:rPr>
              <w:t>账号：</w:t>
            </w:r>
          </w:p>
          <w:p w14:paraId="464D8532">
            <w:pPr>
              <w:widowControl/>
              <w:adjustRightInd w:val="0"/>
              <w:jc w:val="left"/>
              <w:rPr>
                <w:rFonts w:ascii="宋体" w:cs="宋体"/>
                <w:color w:val="000000"/>
                <w:kern w:val="0"/>
                <w:sz w:val="24"/>
                <w:szCs w:val="24"/>
                <w:highlight w:val="none"/>
                <w:lang w:val="zh-CN"/>
              </w:rPr>
            </w:pPr>
          </w:p>
        </w:tc>
      </w:tr>
      <w:tr w14:paraId="46E6E6B4">
        <w:tblPrEx>
          <w:tblCellMar>
            <w:top w:w="0" w:type="dxa"/>
            <w:left w:w="0" w:type="dxa"/>
            <w:bottom w:w="0" w:type="dxa"/>
            <w:right w:w="0" w:type="dxa"/>
          </w:tblCellMar>
        </w:tblPrEx>
        <w:trPr>
          <w:jc w:val="center"/>
        </w:trPr>
        <w:tc>
          <w:tcPr>
            <w:tcW w:w="4643" w:type="dxa"/>
            <w:noWrap w:val="0"/>
            <w:vAlign w:val="top"/>
          </w:tcPr>
          <w:p w14:paraId="28B2D941">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 xml:space="preserve">  住所：</w:t>
            </w:r>
          </w:p>
        </w:tc>
        <w:tc>
          <w:tcPr>
            <w:tcW w:w="4643" w:type="dxa"/>
            <w:noWrap w:val="0"/>
            <w:vAlign w:val="top"/>
          </w:tcPr>
          <w:p w14:paraId="5A3E419F">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住所：</w:t>
            </w:r>
          </w:p>
        </w:tc>
      </w:tr>
      <w:tr w14:paraId="5A7FB197">
        <w:tblPrEx>
          <w:tblCellMar>
            <w:top w:w="0" w:type="dxa"/>
            <w:left w:w="0" w:type="dxa"/>
            <w:bottom w:w="0" w:type="dxa"/>
            <w:right w:w="0" w:type="dxa"/>
          </w:tblCellMar>
        </w:tblPrEx>
        <w:trPr>
          <w:jc w:val="center"/>
        </w:trPr>
        <w:tc>
          <w:tcPr>
            <w:tcW w:w="4643" w:type="dxa"/>
            <w:noWrap w:val="0"/>
            <w:vAlign w:val="top"/>
          </w:tcPr>
          <w:p w14:paraId="45D0420E">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 xml:space="preserve">  日期：  年  月   日</w:t>
            </w:r>
          </w:p>
        </w:tc>
        <w:tc>
          <w:tcPr>
            <w:tcW w:w="4643" w:type="dxa"/>
            <w:noWrap w:val="0"/>
            <w:vAlign w:val="top"/>
          </w:tcPr>
          <w:p w14:paraId="6C735D96">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日期：  年  月  日</w:t>
            </w:r>
          </w:p>
        </w:tc>
      </w:tr>
    </w:tbl>
    <w:p w14:paraId="4E169799">
      <w:pPr>
        <w:spacing w:line="360" w:lineRule="auto"/>
        <w:jc w:val="center"/>
        <w:outlineLvl w:val="0"/>
        <w:rPr>
          <w:rFonts w:hint="eastAsia" w:ascii="黑体" w:hAnsi="黑体" w:eastAsia="黑体"/>
          <w:sz w:val="28"/>
          <w:highlight w:val="none"/>
        </w:rPr>
      </w:pPr>
      <w:r>
        <w:rPr>
          <w:rFonts w:ascii="楷体_GB2312" w:eastAsia="楷体_GB2312"/>
          <w:b/>
          <w:sz w:val="32"/>
          <w:szCs w:val="32"/>
          <w:highlight w:val="none"/>
        </w:rPr>
        <w:br w:type="page"/>
      </w:r>
      <w:r>
        <w:rPr>
          <w:rFonts w:hint="eastAsia" w:ascii="黑体" w:hAnsi="黑体" w:eastAsia="黑体"/>
          <w:sz w:val="28"/>
          <w:highlight w:val="none"/>
        </w:rPr>
        <w:t xml:space="preserve"> </w:t>
      </w:r>
      <w:bookmarkStart w:id="87" w:name="_Toc160525505"/>
      <w:r>
        <w:rPr>
          <w:rFonts w:hint="eastAsia" w:ascii="黑体" w:hAnsi="黑体" w:eastAsia="黑体"/>
          <w:sz w:val="28"/>
          <w:highlight w:val="none"/>
        </w:rPr>
        <w:t>合同条款</w:t>
      </w:r>
      <w:bookmarkEnd w:id="81"/>
      <w:bookmarkEnd w:id="82"/>
      <w:bookmarkEnd w:id="87"/>
    </w:p>
    <w:p w14:paraId="5CDB6AC8">
      <w:pPr>
        <w:spacing w:line="360" w:lineRule="auto"/>
        <w:ind w:firstLine="480" w:firstLineChars="200"/>
        <w:rPr>
          <w:rFonts w:hint="eastAsia" w:ascii="宋体" w:hAnsi="宋体"/>
          <w:bCs/>
          <w:sz w:val="24"/>
          <w:highlight w:val="none"/>
        </w:rPr>
      </w:pPr>
      <w:r>
        <w:rPr>
          <w:rFonts w:hint="eastAsia" w:ascii="宋体" w:hAnsi="宋体"/>
          <w:bCs/>
          <w:sz w:val="24"/>
          <w:highlight w:val="none"/>
        </w:rPr>
        <w:t>根据采购项目编号：</w:t>
      </w:r>
      <w:r>
        <w:rPr>
          <w:rFonts w:hint="eastAsia" w:ascii="宋体" w:hAnsi="宋体"/>
          <w:bCs/>
          <w:color w:val="000000"/>
          <w:sz w:val="24"/>
          <w:highlight w:val="none"/>
          <w:lang w:eastAsia="zh-CN"/>
        </w:rPr>
        <w:t>YXGYJT202511015</w:t>
      </w:r>
      <w:r>
        <w:rPr>
          <w:rFonts w:hint="eastAsia" w:ascii="宋体" w:hAnsi="宋体"/>
          <w:bCs/>
          <w:sz w:val="24"/>
          <w:highlight w:val="none"/>
        </w:rPr>
        <w:t>招标文件和该项目的中标通知书及乙方投标文件，</w:t>
      </w:r>
      <w:r>
        <w:rPr>
          <w:rFonts w:hint="eastAsia" w:ascii="宋体" w:hAnsi="宋体"/>
          <w:bCs/>
          <w:sz w:val="24"/>
          <w:highlight w:val="none"/>
          <w:lang w:eastAsia="zh-CN"/>
        </w:rPr>
        <w:t>甲、乙</w:t>
      </w:r>
      <w:r>
        <w:rPr>
          <w:rFonts w:hint="eastAsia" w:ascii="宋体" w:hAnsi="宋体"/>
          <w:bCs/>
          <w:sz w:val="24"/>
          <w:highlight w:val="none"/>
        </w:rPr>
        <w:t>双方就此次中标的设备和相关问题，同意按下列条款规定执行。</w:t>
      </w:r>
    </w:p>
    <w:p w14:paraId="2A47E5D9">
      <w:pPr>
        <w:spacing w:line="360" w:lineRule="auto"/>
        <w:ind w:firstLine="480" w:firstLineChars="200"/>
        <w:rPr>
          <w:rFonts w:hint="eastAsia" w:ascii="宋体" w:hAnsi="宋体"/>
          <w:bCs/>
          <w:sz w:val="24"/>
          <w:highlight w:val="none"/>
        </w:rPr>
      </w:pPr>
      <w:r>
        <w:rPr>
          <w:rFonts w:hint="eastAsia" w:ascii="宋体" w:hAnsi="宋体"/>
          <w:bCs/>
          <w:sz w:val="24"/>
          <w:highlight w:val="none"/>
        </w:rPr>
        <w:t>一、合同内容：甲方向乙方购买</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rPr>
        <w:t>。</w:t>
      </w:r>
    </w:p>
    <w:p w14:paraId="62F4B50B">
      <w:pPr>
        <w:spacing w:line="360" w:lineRule="auto"/>
        <w:ind w:firstLine="480" w:firstLineChars="200"/>
        <w:rPr>
          <w:rFonts w:hint="eastAsia" w:ascii="宋体" w:hAnsi="宋体"/>
          <w:bCs/>
          <w:sz w:val="24"/>
          <w:highlight w:val="none"/>
        </w:rPr>
      </w:pPr>
      <w:r>
        <w:rPr>
          <w:rFonts w:hint="eastAsia" w:ascii="宋体" w:hAnsi="宋体"/>
          <w:bCs/>
          <w:sz w:val="24"/>
          <w:highlight w:val="none"/>
        </w:rPr>
        <w:t>二、价格及支付</w:t>
      </w:r>
    </w:p>
    <w:p w14:paraId="08A085EF">
      <w:pPr>
        <w:spacing w:line="360" w:lineRule="auto"/>
        <w:ind w:firstLine="480" w:firstLineChars="200"/>
        <w:rPr>
          <w:rFonts w:hint="eastAsia" w:eastAsia="宋体"/>
          <w:highlight w:val="none"/>
          <w:lang w:eastAsia="zh-CN"/>
        </w:rPr>
      </w:pPr>
      <w:r>
        <w:rPr>
          <w:rFonts w:hint="eastAsia" w:ascii="宋体" w:hAnsi="宋体"/>
          <w:bCs/>
          <w:sz w:val="24"/>
          <w:highlight w:val="none"/>
        </w:rPr>
        <w:t>1.</w:t>
      </w:r>
      <w:r>
        <w:rPr>
          <w:rFonts w:hint="eastAsia" w:ascii="宋体" w:hAnsi="宋体"/>
          <w:bCs/>
          <w:color w:val="FF0000"/>
          <w:sz w:val="24"/>
          <w:highlight w:val="none"/>
        </w:rPr>
        <w:t>本项目结算价格按投标文件单项报价进行结算</w:t>
      </w:r>
      <w:r>
        <w:rPr>
          <w:rFonts w:hint="eastAsia" w:ascii="宋体" w:hAnsi="宋体"/>
          <w:bCs/>
          <w:sz w:val="24"/>
          <w:highlight w:val="none"/>
        </w:rPr>
        <w:t>，</w:t>
      </w:r>
      <w:r>
        <w:rPr>
          <w:rFonts w:hint="eastAsia" w:ascii="宋体" w:hAnsi="宋体"/>
          <w:bCs/>
          <w:sz w:val="24"/>
          <w:highlight w:val="none"/>
          <w:lang w:val="en-US" w:eastAsia="zh-CN"/>
        </w:rPr>
        <w:t>报价详见合同附件。</w:t>
      </w:r>
      <w:r>
        <w:rPr>
          <w:rFonts w:hint="eastAsia" w:ascii="宋体" w:hAnsi="宋体"/>
          <w:bCs/>
          <w:color w:val="FF0000"/>
          <w:sz w:val="24"/>
          <w:highlight w:val="none"/>
        </w:rPr>
        <w:t>合同总标的额为(大写)</w:t>
      </w:r>
      <w:r>
        <w:rPr>
          <w:rFonts w:hint="eastAsia" w:ascii="宋体" w:hAnsi="宋体"/>
          <w:bCs/>
          <w:color w:val="FF0000"/>
          <w:sz w:val="24"/>
          <w:highlight w:val="none"/>
          <w:u w:val="single"/>
          <w:lang w:val="en-US" w:eastAsia="zh-CN"/>
        </w:rPr>
        <w:t xml:space="preserve">     </w:t>
      </w:r>
      <w:r>
        <w:rPr>
          <w:rFonts w:hint="eastAsia" w:ascii="宋体" w:hAnsi="宋体"/>
          <w:bCs/>
          <w:color w:val="FF0000"/>
          <w:sz w:val="24"/>
          <w:highlight w:val="none"/>
        </w:rPr>
        <w:t>元人民币: (小写￥</w:t>
      </w:r>
      <w:r>
        <w:rPr>
          <w:rFonts w:hint="eastAsia" w:ascii="宋体" w:hAnsi="宋体"/>
          <w:bCs/>
          <w:color w:val="FF0000"/>
          <w:sz w:val="24"/>
          <w:highlight w:val="none"/>
          <w:u w:val="single"/>
          <w:lang w:val="en-US" w:eastAsia="zh-CN"/>
        </w:rPr>
        <w:t xml:space="preserve">     </w:t>
      </w:r>
      <w:r>
        <w:rPr>
          <w:rFonts w:hint="eastAsia" w:ascii="宋体" w:hAnsi="宋体"/>
          <w:bCs/>
          <w:color w:val="FF0000"/>
          <w:sz w:val="24"/>
          <w:highlight w:val="none"/>
        </w:rPr>
        <w:t>元)</w:t>
      </w:r>
      <w:r>
        <w:rPr>
          <w:rFonts w:hint="eastAsia" w:ascii="宋体" w:hAnsi="宋体"/>
          <w:bCs/>
          <w:color w:val="FF0000"/>
          <w:sz w:val="24"/>
          <w:highlight w:val="none"/>
          <w:lang w:eastAsia="zh-CN"/>
        </w:rPr>
        <w:t>，</w:t>
      </w:r>
      <w:r>
        <w:rPr>
          <w:rFonts w:hint="eastAsia" w:ascii="宋体" w:hAnsi="宋体"/>
          <w:bCs/>
          <w:color w:val="FF0000"/>
          <w:sz w:val="24"/>
          <w:highlight w:val="none"/>
        </w:rPr>
        <w:t>以上为含税价。不含税价为￥</w:t>
      </w:r>
      <w:r>
        <w:rPr>
          <w:rFonts w:hint="eastAsia" w:ascii="宋体" w:hAnsi="宋体"/>
          <w:bCs/>
          <w:color w:val="FF0000"/>
          <w:sz w:val="24"/>
          <w:highlight w:val="none"/>
          <w:u w:val="single"/>
        </w:rPr>
        <w:t xml:space="preserve">    </w:t>
      </w:r>
      <w:r>
        <w:rPr>
          <w:rFonts w:hint="eastAsia" w:ascii="宋体" w:hAnsi="宋体"/>
          <w:bCs/>
          <w:color w:val="FF0000"/>
          <w:sz w:val="24"/>
          <w:highlight w:val="none"/>
        </w:rPr>
        <w:t>元，税金为￥</w:t>
      </w:r>
      <w:r>
        <w:rPr>
          <w:rFonts w:hint="eastAsia" w:ascii="宋体" w:hAnsi="宋体"/>
          <w:bCs/>
          <w:color w:val="FF0000"/>
          <w:sz w:val="24"/>
          <w:highlight w:val="none"/>
          <w:u w:val="single"/>
        </w:rPr>
        <w:t xml:space="preserve">     </w:t>
      </w:r>
      <w:r>
        <w:rPr>
          <w:rFonts w:hint="eastAsia" w:ascii="宋体" w:hAnsi="宋体"/>
          <w:bCs/>
          <w:color w:val="FF0000"/>
          <w:sz w:val="24"/>
          <w:highlight w:val="none"/>
        </w:rPr>
        <w:t>元，增值税税率为</w:t>
      </w:r>
      <w:r>
        <w:rPr>
          <w:rFonts w:hint="eastAsia" w:ascii="宋体" w:hAnsi="宋体"/>
          <w:bCs/>
          <w:color w:val="FF0000"/>
          <w:sz w:val="24"/>
          <w:highlight w:val="none"/>
          <w:u w:val="single"/>
        </w:rPr>
        <w:t xml:space="preserve">    </w:t>
      </w:r>
      <w:r>
        <w:rPr>
          <w:rFonts w:hint="eastAsia" w:ascii="宋体" w:hAnsi="宋体"/>
          <w:bCs/>
          <w:color w:val="FF0000"/>
          <w:sz w:val="24"/>
          <w:highlight w:val="none"/>
        </w:rPr>
        <w:t>%。</w:t>
      </w:r>
    </w:p>
    <w:p w14:paraId="298FACB5">
      <w:pPr>
        <w:pStyle w:val="3"/>
        <w:spacing w:line="360" w:lineRule="auto"/>
        <w:ind w:firstLine="480" w:firstLineChars="200"/>
        <w:rPr>
          <w:rFonts w:hint="eastAsia"/>
          <w:highlight w:val="none"/>
        </w:rPr>
      </w:pPr>
      <w:r>
        <w:rPr>
          <w:rFonts w:hint="eastAsia" w:ascii="宋体" w:hAnsi="宋体"/>
          <w:color w:val="000000"/>
          <w:sz w:val="24"/>
          <w:highlight w:val="none"/>
        </w:rPr>
        <w:t>2. 本合同投</w:t>
      </w:r>
      <w:r>
        <w:rPr>
          <w:rFonts w:hint="eastAsia" w:ascii="宋体" w:hAnsi="宋体" w:eastAsia="宋体" w:cs="微软雅黑"/>
          <w:b w:val="0"/>
          <w:bCs/>
          <w:sz w:val="24"/>
          <w:szCs w:val="24"/>
          <w:highlight w:val="none"/>
          <w:lang w:val="en-US" w:eastAsia="zh-CN"/>
        </w:rPr>
        <w:t>标报价已包含维修、配件、人工、调试及售后及中标单位为完成本采购文件规定的内容所需发生的直接成本、间接成本、利润、税金及相关行政费用等一切费用，凡未列入的，将被认为均已包含在投标报价中，乙方不得以其他理由要求增加任何</w:t>
      </w:r>
      <w:r>
        <w:rPr>
          <w:rFonts w:hint="eastAsia" w:ascii="宋体" w:hAnsi="宋体" w:eastAsia="宋体" w:cs="微软雅黑"/>
          <w:b w:val="0"/>
          <w:bCs/>
          <w:sz w:val="24"/>
          <w:szCs w:val="24"/>
          <w:highlight w:val="none"/>
          <w:u w:val="none"/>
          <w:lang w:val="en-US" w:eastAsia="zh-CN"/>
        </w:rPr>
        <w:t>费用</w:t>
      </w:r>
      <w:r>
        <w:rPr>
          <w:rFonts w:hint="eastAsia" w:ascii="ˎ̥" w:hAnsi="ˎ̥" w:cs="宋体"/>
          <w:color w:val="000000"/>
          <w:kern w:val="0"/>
          <w:sz w:val="24"/>
          <w:highlight w:val="none"/>
          <w:u w:val="none"/>
        </w:rPr>
        <w:t>。</w:t>
      </w:r>
    </w:p>
    <w:p w14:paraId="167B0D94">
      <w:pPr>
        <w:spacing w:line="360" w:lineRule="auto"/>
        <w:ind w:firstLine="470" w:firstLineChars="196"/>
        <w:rPr>
          <w:rFonts w:ascii="宋体" w:hAnsi="宋体" w:cs="宋体"/>
          <w:bCs/>
          <w:color w:val="C00000"/>
          <w:sz w:val="24"/>
          <w:szCs w:val="24"/>
          <w:highlight w:val="none"/>
        </w:rPr>
      </w:pPr>
      <w:r>
        <w:rPr>
          <w:rFonts w:hint="eastAsia" w:ascii="宋体" w:hAnsi="宋体"/>
          <w:bCs/>
          <w:sz w:val="24"/>
          <w:highlight w:val="none"/>
        </w:rPr>
        <w:t>3.</w:t>
      </w:r>
      <w:r>
        <w:rPr>
          <w:rFonts w:hint="eastAsia" w:ascii="宋体" w:hAnsi="宋体"/>
          <w:bCs/>
          <w:sz w:val="24"/>
          <w:highlight w:val="none"/>
          <w:lang w:val="en-US" w:eastAsia="zh-CN"/>
        </w:rPr>
        <w:t>服务</w:t>
      </w:r>
      <w:r>
        <w:rPr>
          <w:rFonts w:hint="eastAsia" w:ascii="宋体" w:hAnsi="宋体"/>
          <w:bCs/>
          <w:sz w:val="24"/>
          <w:highlight w:val="none"/>
        </w:rPr>
        <w:t>期限：</w:t>
      </w:r>
      <w:r>
        <w:rPr>
          <w:rFonts w:hint="eastAsia" w:ascii="宋体" w:hAnsi="宋体" w:cs="宋体"/>
          <w:sz w:val="24"/>
          <w:szCs w:val="24"/>
          <w:highlight w:val="none"/>
        </w:rPr>
        <w:t>签订合同后</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日内完成。</w:t>
      </w:r>
    </w:p>
    <w:p w14:paraId="40128E0B">
      <w:pPr>
        <w:spacing w:line="360" w:lineRule="auto"/>
        <w:ind w:firstLine="470" w:firstLineChars="196"/>
        <w:rPr>
          <w:rFonts w:hint="eastAsia" w:ascii="宋体" w:hAnsi="宋体" w:cs="微软雅黑"/>
          <w:b/>
          <w:sz w:val="24"/>
          <w:szCs w:val="24"/>
          <w:highlight w:val="none"/>
        </w:rPr>
      </w:pPr>
      <w:r>
        <w:rPr>
          <w:rFonts w:hint="eastAsia" w:ascii="宋体" w:hAnsi="宋体"/>
          <w:bCs/>
          <w:sz w:val="24"/>
          <w:highlight w:val="none"/>
        </w:rPr>
        <w:t>4.付款步骤：</w:t>
      </w:r>
      <w:r>
        <w:rPr>
          <w:rFonts w:hint="eastAsia" w:ascii="宋体" w:hAnsi="宋体" w:cs="宋体"/>
          <w:sz w:val="24"/>
          <w:szCs w:val="24"/>
          <w:highlight w:val="none"/>
        </w:rPr>
        <w:t>本项目自合同签订之日起至船只年检合格后付至合同价款的95%,剩余款项自合同签订期满一年后一次性无息付清。(由于财政结算等流程问题，特殊情况结算会滞后)</w:t>
      </w:r>
    </w:p>
    <w:p w14:paraId="0F716190">
      <w:pPr>
        <w:spacing w:line="360" w:lineRule="auto"/>
        <w:ind w:firstLine="480" w:firstLineChars="200"/>
        <w:rPr>
          <w:rFonts w:hint="eastAsia" w:ascii="宋体" w:hAnsi="宋体" w:eastAsia="宋体" w:cs="Times New Roman"/>
          <w:bCs/>
          <w:sz w:val="24"/>
          <w:szCs w:val="24"/>
          <w:highlight w:val="none"/>
          <w:lang w:val="zh-CN"/>
        </w:rPr>
      </w:pPr>
      <w:r>
        <w:rPr>
          <w:rFonts w:hint="eastAsia" w:ascii="宋体" w:hAnsi="宋体"/>
          <w:bCs/>
          <w:sz w:val="24"/>
          <w:highlight w:val="none"/>
        </w:rPr>
        <w:t>5.履约保证金的退还：</w:t>
      </w:r>
      <w:r>
        <w:rPr>
          <w:rFonts w:hint="eastAsia" w:ascii="宋体" w:hAnsi="宋体"/>
          <w:bCs/>
          <w:sz w:val="24"/>
          <w:szCs w:val="24"/>
          <w:highlight w:val="none"/>
          <w:lang w:val="zh-CN"/>
        </w:rPr>
        <w:t>于服务</w:t>
      </w:r>
      <w:r>
        <w:rPr>
          <w:rFonts w:hint="eastAsia" w:ascii="宋体" w:hAnsi="宋体" w:eastAsia="宋体" w:cs="Times New Roman"/>
          <w:bCs/>
          <w:sz w:val="24"/>
          <w:szCs w:val="24"/>
          <w:highlight w:val="none"/>
          <w:lang w:val="zh-CN"/>
        </w:rPr>
        <w:t>期满之日起</w:t>
      </w:r>
      <w:r>
        <w:rPr>
          <w:rFonts w:hint="eastAsia" w:ascii="宋体" w:hAnsi="宋体" w:eastAsia="宋体" w:cs="Times New Roman"/>
          <w:bCs/>
          <w:sz w:val="24"/>
          <w:szCs w:val="24"/>
          <w:highlight w:val="none"/>
          <w:lang w:val="en-US" w:eastAsia="zh-CN"/>
        </w:rPr>
        <w:t>三十</w:t>
      </w:r>
      <w:r>
        <w:rPr>
          <w:rFonts w:hint="eastAsia" w:ascii="宋体" w:hAnsi="宋体" w:eastAsia="宋体" w:cs="Times New Roman"/>
          <w:bCs/>
          <w:sz w:val="24"/>
          <w:szCs w:val="24"/>
          <w:highlight w:val="none"/>
          <w:lang w:val="zh-CN"/>
        </w:rPr>
        <w:t>个工作日内无息退还。注：若乙方履约保证金的形式为开具银行保函，需确保保函有效期覆盖合同期。若合同在执行过程中保函即将过期，乙方需提前一个月重新开具银行保函交至甲方，否则甲方将停付进度款。</w:t>
      </w:r>
    </w:p>
    <w:p w14:paraId="4669E357">
      <w:pPr>
        <w:spacing w:line="360" w:lineRule="auto"/>
        <w:ind w:firstLine="480" w:firstLineChars="200"/>
        <w:rPr>
          <w:rFonts w:ascii="宋体"/>
          <w:bCs/>
          <w:sz w:val="24"/>
          <w:szCs w:val="24"/>
          <w:highlight w:val="none"/>
        </w:rPr>
      </w:pPr>
      <w:r>
        <w:rPr>
          <w:rFonts w:hint="eastAsia" w:ascii="宋体" w:hAnsi="宋体"/>
          <w:bCs/>
          <w:sz w:val="24"/>
          <w:highlight w:val="none"/>
          <w:lang w:val="en-US" w:eastAsia="zh-CN"/>
        </w:rPr>
        <w:t>6</w:t>
      </w:r>
      <w:r>
        <w:rPr>
          <w:rFonts w:hint="eastAsia" w:ascii="宋体" w:hAnsi="宋体"/>
          <w:bCs/>
          <w:sz w:val="24"/>
          <w:highlight w:val="none"/>
        </w:rPr>
        <w:t>.付款方式：银行转账。</w:t>
      </w:r>
    </w:p>
    <w:p w14:paraId="440B91CC">
      <w:pPr>
        <w:spacing w:line="360" w:lineRule="auto"/>
        <w:ind w:firstLine="480" w:firstLineChars="200"/>
        <w:rPr>
          <w:rFonts w:ascii="宋体"/>
          <w:bCs/>
          <w:sz w:val="24"/>
          <w:szCs w:val="24"/>
          <w:highlight w:val="none"/>
        </w:rPr>
      </w:pPr>
      <w:r>
        <w:rPr>
          <w:rFonts w:hint="eastAsia" w:ascii="宋体" w:hAnsi="宋体"/>
          <w:bCs/>
          <w:sz w:val="24"/>
          <w:szCs w:val="24"/>
          <w:highlight w:val="none"/>
        </w:rPr>
        <w:t>三、知识</w:t>
      </w:r>
      <w:r>
        <w:rPr>
          <w:rFonts w:hint="eastAsia" w:ascii="宋体" w:hAnsi="宋体"/>
          <w:bCs/>
          <w:sz w:val="24"/>
          <w:highlight w:val="none"/>
        </w:rPr>
        <w:t>产权</w:t>
      </w:r>
    </w:p>
    <w:p w14:paraId="40D40686">
      <w:pPr>
        <w:tabs>
          <w:tab w:val="left" w:pos="945"/>
        </w:tabs>
        <w:spacing w:line="360" w:lineRule="auto"/>
        <w:ind w:firstLine="480" w:firstLineChars="200"/>
        <w:rPr>
          <w:rFonts w:ascii="宋体"/>
          <w:bCs/>
          <w:sz w:val="24"/>
          <w:szCs w:val="24"/>
          <w:highlight w:val="none"/>
        </w:rPr>
      </w:pPr>
      <w:r>
        <w:rPr>
          <w:rFonts w:hint="eastAsia" w:ascii="宋体" w:hAnsi="宋体"/>
          <w:bCs/>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66CA2ED8">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四、质量保证</w:t>
      </w:r>
    </w:p>
    <w:p w14:paraId="2500C2F1">
      <w:pPr>
        <w:tabs>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1、乙方提供的服务</w:t>
      </w:r>
      <w:r>
        <w:rPr>
          <w:rFonts w:hint="eastAsia" w:ascii="宋体" w:hAnsi="宋体"/>
          <w:bCs/>
          <w:sz w:val="24"/>
          <w:szCs w:val="24"/>
          <w:highlight w:val="none"/>
          <w:lang w:val="zh-CN"/>
        </w:rPr>
        <w:t>的技术要求应与招标文件规定的技术要求相一致；若技术要求无特殊说明，则按国家有关部门最新颁布的标准及规范为准</w:t>
      </w:r>
      <w:r>
        <w:rPr>
          <w:rFonts w:hint="eastAsia" w:ascii="宋体" w:hAnsi="宋体"/>
          <w:bCs/>
          <w:sz w:val="24"/>
          <w:szCs w:val="24"/>
          <w:highlight w:val="none"/>
        </w:rPr>
        <w:t>。</w:t>
      </w:r>
    </w:p>
    <w:p w14:paraId="39A6799E">
      <w:pPr>
        <w:spacing w:line="360" w:lineRule="auto"/>
        <w:ind w:left="-141" w:leftChars="-67" w:firstLine="604" w:firstLineChars="252"/>
        <w:rPr>
          <w:rFonts w:ascii="宋体" w:hAnsi="宋体"/>
          <w:color w:val="000000"/>
          <w:kern w:val="0"/>
          <w:sz w:val="24"/>
          <w:szCs w:val="24"/>
          <w:highlight w:val="none"/>
          <w:u w:val="none" w:color="000000"/>
        </w:rPr>
      </w:pPr>
      <w:r>
        <w:rPr>
          <w:rFonts w:ascii="宋体" w:hAnsi="宋体"/>
          <w:bCs/>
          <w:sz w:val="24"/>
          <w:szCs w:val="24"/>
          <w:highlight w:val="none"/>
          <w:lang w:val="zh-CN"/>
        </w:rPr>
        <w:t>2</w:t>
      </w:r>
      <w:r>
        <w:rPr>
          <w:rFonts w:hint="eastAsia" w:ascii="宋体" w:hAnsi="宋体"/>
          <w:bCs/>
          <w:sz w:val="24"/>
          <w:szCs w:val="24"/>
          <w:highlight w:val="none"/>
          <w:lang w:val="zh-CN"/>
        </w:rPr>
        <w:t>、</w:t>
      </w:r>
      <w:r>
        <w:rPr>
          <w:rFonts w:hint="eastAsia" w:ascii="宋体" w:hAnsi="宋体"/>
          <w:color w:val="000000"/>
          <w:kern w:val="0"/>
          <w:sz w:val="24"/>
          <w:szCs w:val="24"/>
          <w:highlight w:val="none"/>
          <w:u w:val="none" w:color="000000"/>
        </w:rPr>
        <w:t>甲方在签订合同后发现乙方存在弄虚作假等行为，甲方有权终止合同，并由乙方支付合同总金额10%的违约金，并在3年内不得参与甲方组织的招投标活动。</w:t>
      </w:r>
    </w:p>
    <w:p w14:paraId="0D946721">
      <w:pPr>
        <w:spacing w:line="360" w:lineRule="auto"/>
        <w:ind w:left="-141" w:leftChars="-67" w:firstLine="604" w:firstLineChars="252"/>
        <w:rPr>
          <w:rFonts w:hint="eastAsia" w:ascii="宋体" w:hAnsi="宋体"/>
          <w:bCs/>
          <w:sz w:val="24"/>
          <w:szCs w:val="24"/>
          <w:highlight w:val="none"/>
        </w:rPr>
      </w:pPr>
      <w:r>
        <w:rPr>
          <w:rFonts w:hint="eastAsia" w:ascii="宋体" w:hAnsi="宋体"/>
          <w:bCs/>
          <w:sz w:val="24"/>
          <w:szCs w:val="24"/>
          <w:highlight w:val="none"/>
        </w:rPr>
        <w:t>五、交货和验收</w:t>
      </w:r>
    </w:p>
    <w:p w14:paraId="4218D6A2">
      <w:pPr>
        <w:spacing w:line="360" w:lineRule="auto"/>
        <w:ind w:left="-141" w:leftChars="-67" w:firstLine="604" w:firstLineChars="252"/>
        <w:rPr>
          <w:rFonts w:hint="eastAsia" w:ascii="宋体" w:hAnsi="宋体" w:cs="宋体"/>
          <w:color w:val="000000"/>
          <w:sz w:val="24"/>
          <w:szCs w:val="24"/>
          <w:highlight w:val="none"/>
        </w:rPr>
      </w:pPr>
      <w:r>
        <w:rPr>
          <w:rFonts w:hint="eastAsia" w:ascii="宋体" w:hAnsi="宋体" w:cs="宋体"/>
          <w:color w:val="000000"/>
          <w:sz w:val="24"/>
          <w:szCs w:val="24"/>
          <w:highlight w:val="none"/>
        </w:rPr>
        <w:t>1、验收标准：根据国家有关规定、招标文件、投标文件以及合同约定的内容，最终船只通过年检。</w:t>
      </w:r>
    </w:p>
    <w:p w14:paraId="44403884">
      <w:pPr>
        <w:spacing w:line="360" w:lineRule="auto"/>
        <w:ind w:left="-141" w:leftChars="-67" w:firstLine="604" w:firstLineChars="252"/>
        <w:rPr>
          <w:rFonts w:hint="eastAsia" w:ascii="宋体" w:hAnsi="宋体" w:cs="宋体"/>
          <w:color w:val="000000"/>
          <w:sz w:val="24"/>
          <w:szCs w:val="24"/>
          <w:highlight w:val="none"/>
        </w:rPr>
      </w:pPr>
      <w:r>
        <w:rPr>
          <w:rFonts w:hint="eastAsia" w:ascii="宋体" w:hAnsi="宋体" w:cs="宋体"/>
          <w:color w:val="000000"/>
          <w:sz w:val="24"/>
          <w:szCs w:val="24"/>
          <w:highlight w:val="none"/>
        </w:rPr>
        <w:t>2、如果任何被检验的服务不符合质量要求，甲方均可以拒绝接受，乙方应及时重新提供服务，且不得影响甲方正常工作，费用由乙方承担，如因更换或重作导致乙方逾期的，乙方还应承担逾期交付的违约责任。本规定并不免除乙方在本合同项下的质量保证义务或其他义务。</w:t>
      </w:r>
    </w:p>
    <w:p w14:paraId="75666DBC">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六、违约责任：</w:t>
      </w:r>
    </w:p>
    <w:p w14:paraId="6EE3AD36">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如延误上述工期，则</w:t>
      </w:r>
      <w:r>
        <w:rPr>
          <w:rFonts w:hint="eastAsia" w:ascii="宋体" w:hAnsi="宋体"/>
          <w:bCs/>
          <w:sz w:val="24"/>
          <w:highlight w:val="none"/>
          <w:lang w:val="en-US" w:eastAsia="zh-CN"/>
        </w:rPr>
        <w:t>乙方</w:t>
      </w:r>
      <w:r>
        <w:rPr>
          <w:rFonts w:hint="eastAsia" w:ascii="宋体" w:hAnsi="宋体"/>
          <w:bCs/>
          <w:sz w:val="24"/>
          <w:highlight w:val="none"/>
          <w:lang w:val="zh-CN"/>
        </w:rPr>
        <w:t>按中标价的</w:t>
      </w:r>
      <w:r>
        <w:rPr>
          <w:rFonts w:hint="eastAsia" w:ascii="宋体" w:hAnsi="宋体"/>
          <w:bCs/>
          <w:sz w:val="24"/>
          <w:highlight w:val="none"/>
          <w:lang w:val="en-US" w:eastAsia="zh-CN"/>
        </w:rPr>
        <w:t>2000元</w:t>
      </w:r>
      <w:r>
        <w:rPr>
          <w:rFonts w:hint="eastAsia" w:ascii="宋体" w:hAnsi="宋体"/>
          <w:bCs/>
          <w:sz w:val="24"/>
          <w:highlight w:val="none"/>
          <w:lang w:val="zh-CN"/>
        </w:rPr>
        <w:t>/天支付违约金给</w:t>
      </w:r>
      <w:r>
        <w:rPr>
          <w:rFonts w:hint="eastAsia" w:ascii="宋体" w:hAnsi="宋体"/>
          <w:bCs/>
          <w:sz w:val="24"/>
          <w:highlight w:val="none"/>
          <w:lang w:val="en-US" w:eastAsia="zh-CN"/>
        </w:rPr>
        <w:t>甲方</w:t>
      </w:r>
      <w:r>
        <w:rPr>
          <w:rFonts w:hint="eastAsia" w:ascii="宋体" w:hAnsi="宋体"/>
          <w:bCs/>
          <w:sz w:val="24"/>
          <w:highlight w:val="none"/>
          <w:lang w:val="zh-CN"/>
        </w:rPr>
        <w:t>。</w:t>
      </w:r>
      <w:r>
        <w:rPr>
          <w:rFonts w:hint="eastAsia" w:ascii="宋体" w:hAnsi="宋体"/>
          <w:bCs/>
          <w:sz w:val="24"/>
          <w:highlight w:val="none"/>
          <w:lang w:val="en-US" w:eastAsia="zh-CN"/>
        </w:rPr>
        <w:t>乙方</w:t>
      </w:r>
      <w:r>
        <w:rPr>
          <w:rFonts w:hint="eastAsia" w:ascii="宋体" w:hAnsi="宋体"/>
          <w:bCs/>
          <w:sz w:val="24"/>
          <w:highlight w:val="none"/>
          <w:lang w:val="zh-CN"/>
        </w:rPr>
        <w:t>逾期超过</w:t>
      </w:r>
      <w:r>
        <w:rPr>
          <w:rFonts w:hint="eastAsia" w:ascii="宋体" w:hAnsi="宋体"/>
          <w:bCs/>
          <w:sz w:val="24"/>
          <w:highlight w:val="none"/>
          <w:lang w:val="en-US" w:eastAsia="zh-CN"/>
        </w:rPr>
        <w:t>10</w:t>
      </w:r>
      <w:r>
        <w:rPr>
          <w:rFonts w:hint="eastAsia" w:ascii="宋体" w:hAnsi="宋体"/>
          <w:bCs/>
          <w:sz w:val="24"/>
          <w:highlight w:val="none"/>
          <w:lang w:val="zh-CN"/>
        </w:rPr>
        <w:t>天以上的视为</w:t>
      </w:r>
      <w:r>
        <w:rPr>
          <w:rFonts w:hint="eastAsia" w:ascii="宋体" w:hAnsi="宋体"/>
          <w:bCs/>
          <w:sz w:val="24"/>
          <w:highlight w:val="none"/>
          <w:lang w:val="en-US" w:eastAsia="zh-CN"/>
        </w:rPr>
        <w:t>乙方</w:t>
      </w:r>
      <w:r>
        <w:rPr>
          <w:rFonts w:hint="eastAsia" w:ascii="宋体" w:hAnsi="宋体"/>
          <w:bCs/>
          <w:sz w:val="24"/>
          <w:highlight w:val="none"/>
          <w:lang w:val="zh-CN"/>
        </w:rPr>
        <w:t>不履行合同，</w:t>
      </w:r>
      <w:r>
        <w:rPr>
          <w:rFonts w:hint="eastAsia" w:ascii="宋体" w:hAnsi="宋体"/>
          <w:bCs/>
          <w:sz w:val="24"/>
          <w:highlight w:val="none"/>
          <w:lang w:val="en-US" w:eastAsia="zh-CN"/>
        </w:rPr>
        <w:t>甲方</w:t>
      </w:r>
      <w:r>
        <w:rPr>
          <w:rFonts w:hint="eastAsia" w:ascii="宋体" w:hAnsi="宋体"/>
          <w:bCs/>
          <w:sz w:val="24"/>
          <w:highlight w:val="none"/>
          <w:lang w:val="zh-CN"/>
        </w:rPr>
        <w:t>有权终止合同，并要求</w:t>
      </w:r>
      <w:r>
        <w:rPr>
          <w:rFonts w:hint="eastAsia" w:ascii="宋体" w:hAnsi="宋体"/>
          <w:bCs/>
          <w:sz w:val="24"/>
          <w:highlight w:val="none"/>
          <w:lang w:val="en-US" w:eastAsia="zh-CN"/>
        </w:rPr>
        <w:t>乙方</w:t>
      </w:r>
      <w:r>
        <w:rPr>
          <w:rFonts w:hint="eastAsia" w:ascii="宋体" w:hAnsi="宋体"/>
          <w:bCs/>
          <w:sz w:val="24"/>
          <w:highlight w:val="none"/>
          <w:lang w:val="zh-CN"/>
        </w:rPr>
        <w:t>支付违约金及扣除相应的履约保证金。</w:t>
      </w:r>
    </w:p>
    <w:p w14:paraId="0D405D14">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乙方不履行合同或履行合同不符合约定的，甲方有权随时解除合同，并要求乙方承担合同总价款10%的违约金。如果甲方因此造成的实际损失超过约定的违约金，则乙方的赔偿额应以甲方的实际损失为准。</w:t>
      </w:r>
    </w:p>
    <w:p w14:paraId="09084CE2">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由于乙方提供服务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39A0F17C">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如遭遇不可抗力事件，遭遇不可抗力的一方应尽快以书面形式将不可抗力的情况和原因通知另一方，并积极采取措施防止损失扩大。因不可抗力造成的损失，甲、乙双方按照法律规定处理。</w:t>
      </w:r>
    </w:p>
    <w:p w14:paraId="1A56B943">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12CC578D">
      <w:pPr>
        <w:spacing w:line="360" w:lineRule="auto"/>
        <w:ind w:firstLine="480" w:firstLineChars="200"/>
        <w:rPr>
          <w:rFonts w:hint="eastAsia" w:ascii="宋体" w:hAnsi="宋体"/>
          <w:bCs/>
          <w:sz w:val="24"/>
          <w:szCs w:val="24"/>
          <w:highlight w:val="none"/>
        </w:rPr>
      </w:pPr>
      <w:r>
        <w:rPr>
          <w:rFonts w:hint="eastAsia" w:ascii="宋体" w:hAnsi="宋体"/>
          <w:bCs/>
          <w:sz w:val="24"/>
          <w:highlight w:val="none"/>
          <w:lang w:val="zh-CN"/>
        </w:rPr>
        <w:t>七、</w:t>
      </w:r>
      <w:r>
        <w:rPr>
          <w:rFonts w:hint="eastAsia" w:ascii="宋体" w:hAnsi="宋体"/>
          <w:bCs/>
          <w:sz w:val="24"/>
          <w:szCs w:val="24"/>
          <w:highlight w:val="none"/>
          <w:lang w:val="zh-CN"/>
        </w:rPr>
        <w:t>争议的解决</w:t>
      </w:r>
    </w:p>
    <w:p w14:paraId="1856FA42">
      <w:pPr>
        <w:numPr>
          <w:ilvl w:val="0"/>
          <w:numId w:val="8"/>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因服务的质量问题发生争议的，应当邀请国家认可的质量检测机构对服务质量进行鉴定。符合标准的，鉴定费由甲方承担；不符合质量标准的，鉴定费由乙方承担。</w:t>
      </w:r>
    </w:p>
    <w:p w14:paraId="0A97B117">
      <w:pPr>
        <w:numPr>
          <w:ilvl w:val="0"/>
          <w:numId w:val="8"/>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因履行本合同引起的或与本合同有关的争议，先协调解决，如协调解决不成，则可向甲方所在地（宜兴）法院起诉。</w:t>
      </w:r>
    </w:p>
    <w:p w14:paraId="1DA067A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八、合同生效及其</w:t>
      </w:r>
      <w:r>
        <w:rPr>
          <w:rFonts w:hint="eastAsia" w:ascii="宋体" w:hAnsi="宋体"/>
          <w:bCs/>
          <w:sz w:val="24"/>
          <w:szCs w:val="24"/>
          <w:highlight w:val="none"/>
          <w:lang w:val="zh-CN"/>
        </w:rPr>
        <w:t>它</w:t>
      </w:r>
    </w:p>
    <w:p w14:paraId="16F2877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合同经甲、乙双方代表签字并加盖公章（或合同章）后即生效。</w:t>
      </w:r>
    </w:p>
    <w:p w14:paraId="2B156EE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合同签订后甲、乙双方即直接产生权利与义务的关系，合同执行过程中出现的问题应按照《中华人民共和国民法典》的规定办理。</w:t>
      </w:r>
    </w:p>
    <w:p w14:paraId="5076031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合同在执行过程中出现的未尽事宜，双方在不违背本合同和招标文件的原则下协商解决，协商结果以书面形式签订补充协议，且补充协议与本合同具有同等效力。</w:t>
      </w:r>
    </w:p>
    <w:p w14:paraId="3C3CE7D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本合同应按照中华人民共和国的现行法律进行解释。</w:t>
      </w:r>
    </w:p>
    <w:p w14:paraId="087D2541">
      <w:pPr>
        <w:pStyle w:val="4"/>
        <w:spacing w:line="360" w:lineRule="auto"/>
        <w:ind w:left="1260"/>
        <w:rPr>
          <w:rFonts w:hint="eastAsia"/>
          <w:highlight w:val="none"/>
        </w:rPr>
      </w:pPr>
    </w:p>
    <w:p w14:paraId="19964D38">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YXGYJT202511015</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玻璃钢船只上岸年检项目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8"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玻璃钢船只上岸年检项目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10"/>
        </w:numPr>
        <w:spacing w:line="360" w:lineRule="auto"/>
        <w:ind w:firstLine="480" w:firstLineChars="200"/>
        <w:rPr>
          <w:rFonts w:hint="eastAsia" w:ascii="宋体" w:hAnsi="宋体"/>
          <w:bCs/>
          <w:color w:val="auto"/>
          <w:sz w:val="24"/>
          <w:highlight w:val="none"/>
          <w:lang w:val="zh-CN"/>
        </w:rPr>
      </w:pPr>
      <w:bookmarkStart w:id="89" w:name="OLE_LINK231"/>
      <w:bookmarkStart w:id="90" w:name="OLE_LINK281"/>
      <w:r>
        <w:rPr>
          <w:rFonts w:hint="eastAsia" w:ascii="宋体" w:hAnsi="宋体"/>
          <w:bCs/>
          <w:color w:val="auto"/>
          <w:sz w:val="24"/>
          <w:highlight w:val="none"/>
          <w:lang w:val="zh-CN"/>
        </w:rPr>
        <w:t>我方不是为本项目提供整体设计、规范编制或者项目管理、监理、检测等服务的供应商。</w:t>
      </w:r>
      <w:bookmarkEnd w:id="89"/>
    </w:p>
    <w:p w14:paraId="069CE64D">
      <w:pPr>
        <w:numPr>
          <w:ilvl w:val="0"/>
          <w:numId w:val="10"/>
        </w:numPr>
        <w:spacing w:line="360" w:lineRule="auto"/>
        <w:ind w:firstLine="480" w:firstLineChars="200"/>
        <w:rPr>
          <w:rFonts w:hint="eastAsia" w:ascii="宋体" w:hAnsi="宋体"/>
          <w:bCs/>
          <w:color w:val="auto"/>
          <w:sz w:val="24"/>
          <w:highlight w:val="none"/>
          <w:lang w:val="zh-CN"/>
        </w:rPr>
      </w:pPr>
      <w:bookmarkStart w:id="91" w:name="OLE_LINK233"/>
      <w:r>
        <w:rPr>
          <w:rFonts w:hint="eastAsia" w:ascii="宋体" w:hAnsi="宋体"/>
          <w:bCs/>
          <w:color w:val="auto"/>
          <w:sz w:val="24"/>
          <w:highlight w:val="none"/>
          <w:lang w:val="zh-CN"/>
        </w:rPr>
        <w:t>关联单位情况说明：</w:t>
      </w:r>
    </w:p>
    <w:tbl>
      <w:tblPr>
        <w:tblStyle w:val="11"/>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247"/>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247"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247"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10"/>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333"/>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92"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333"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333"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513"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333" w:type="dxa"/>
            <w:noWrap w:val="0"/>
            <w:vAlign w:val="center"/>
          </w:tcPr>
          <w:p w14:paraId="73B9AD8A">
            <w:pPr>
              <w:spacing w:line="360" w:lineRule="auto"/>
              <w:jc w:val="center"/>
              <w:rPr>
                <w:rFonts w:hint="eastAsia" w:ascii="宋体" w:hAnsi="宋体"/>
                <w:bCs/>
                <w:color w:val="auto"/>
                <w:sz w:val="24"/>
                <w:highlight w:val="none"/>
                <w:lang w:val="zh-CN"/>
              </w:rPr>
            </w:pPr>
          </w:p>
        </w:tc>
      </w:tr>
      <w:bookmarkEnd w:id="90"/>
      <w:bookmarkEnd w:id="91"/>
      <w:bookmarkEnd w:id="92"/>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8"/>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134" w:right="1134" w:bottom="1134" w:left="1134" w:header="851" w:footer="992" w:gutter="0"/>
          <w:cols w:space="0" w:num="1"/>
          <w:rtlGutter w:val="0"/>
          <w:docGrid w:type="lines" w:linePitch="312" w:charSpace="0"/>
        </w:sectPr>
      </w:pPr>
      <w:bookmarkStart w:id="93" w:name="OLE_LINK146"/>
      <w:bookmarkStart w:id="94"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93"/>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95" w:name="_Toc32423"/>
      <w:r>
        <w:rPr>
          <w:rFonts w:hint="eastAsia" w:ascii="黑体" w:eastAsia="黑体"/>
          <w:bCs/>
          <w:color w:val="auto"/>
          <w:sz w:val="28"/>
          <w:szCs w:val="28"/>
          <w:highlight w:val="none"/>
        </w:rPr>
        <w:t>开标一览表</w:t>
      </w:r>
      <w:bookmarkEnd w:id="95"/>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YXGYJT202511015</w:t>
      </w:r>
    </w:p>
    <w:bookmarkEnd w:id="94"/>
    <w:p w14:paraId="102F40A3">
      <w:pPr>
        <w:ind w:left="1"/>
        <w:jc w:val="center"/>
        <w:rPr>
          <w:rFonts w:ascii="宋体" w:hAnsi="宋体"/>
          <w:color w:val="auto"/>
          <w:sz w:val="24"/>
          <w:szCs w:val="24"/>
          <w:highlight w:val="none"/>
        </w:rPr>
      </w:pPr>
      <w:bookmarkStart w:id="96"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11"/>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640"/>
        <w:gridCol w:w="943"/>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玻璃钢船只上岸年检项目</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lang w:eastAsia="zh-CN"/>
              </w:rPr>
            </w:pPr>
            <w:r>
              <w:rPr>
                <w:rFonts w:hint="eastAsia" w:ascii="宋体" w:hAnsi="宋体" w:eastAsia="宋体" w:cs="Times New Roman"/>
                <w:color w:val="auto"/>
                <w:sz w:val="24"/>
                <w:szCs w:val="28"/>
                <w:highlight w:val="none"/>
              </w:rPr>
              <w:t>1</w:t>
            </w:r>
            <w:r>
              <w:rPr>
                <w:rFonts w:hint="eastAsia" w:ascii="宋体" w:hAnsi="宋体" w:cs="Times New Roman"/>
                <w:color w:val="auto"/>
                <w:sz w:val="24"/>
                <w:szCs w:val="28"/>
                <w:highlight w:val="none"/>
                <w:lang w:val="en-US" w:eastAsia="zh-CN"/>
              </w:rPr>
              <w:t>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4FBB67E6">
      <w:pPr>
        <w:ind w:firstLine="720" w:firstLineChars="300"/>
        <w:rPr>
          <w:rFonts w:hint="eastAsia" w:ascii="宋体" w:hAnsi="宋体"/>
          <w:color w:val="auto"/>
          <w:sz w:val="24"/>
          <w:szCs w:val="24"/>
          <w:highlight w:val="none"/>
        </w:rPr>
      </w:pP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11"/>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11"/>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7" w:name="OLE_LINK15"/>
      <w:r>
        <w:rPr>
          <w:rFonts w:hint="eastAsia" w:ascii="宋体" w:hAnsi="宋体"/>
          <w:color w:val="auto"/>
          <w:szCs w:val="21"/>
          <w:highlight w:val="none"/>
          <w:lang w:val="zh-CN"/>
        </w:rPr>
        <w:t>开标一览表</w:t>
      </w:r>
      <w:bookmarkEnd w:id="97"/>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5"/>
        <w:rPr>
          <w:rFonts w:hint="eastAsia" w:ascii="黑体" w:hAnsi="宋体" w:eastAsia="黑体"/>
          <w:bCs/>
          <w:color w:val="auto"/>
          <w:sz w:val="28"/>
          <w:szCs w:val="28"/>
          <w:highlight w:val="none"/>
        </w:rPr>
      </w:pPr>
    </w:p>
    <w:p w14:paraId="47F8AADA">
      <w:pPr>
        <w:pStyle w:val="6"/>
        <w:rPr>
          <w:rFonts w:hint="eastAsia" w:ascii="黑体" w:hAnsi="宋体" w:eastAsia="黑体"/>
          <w:bCs/>
          <w:color w:val="auto"/>
          <w:sz w:val="28"/>
          <w:szCs w:val="28"/>
          <w:highlight w:val="none"/>
          <w:lang w:val="en-US" w:eastAsia="zh-CN"/>
        </w:rPr>
      </w:pPr>
    </w:p>
    <w:p w14:paraId="16B5905C">
      <w:pPr>
        <w:pStyle w:val="6"/>
        <w:rPr>
          <w:rFonts w:hint="eastAsia" w:ascii="黑体" w:hAnsi="宋体" w:eastAsia="黑体"/>
          <w:bCs/>
          <w:color w:val="auto"/>
          <w:sz w:val="28"/>
          <w:szCs w:val="28"/>
          <w:highlight w:val="none"/>
          <w:lang w:val="en-US" w:eastAsia="zh-CN"/>
        </w:rPr>
      </w:pPr>
    </w:p>
    <w:p w14:paraId="61140958">
      <w:pPr>
        <w:pStyle w:val="6"/>
        <w:rPr>
          <w:rFonts w:hint="eastAsia" w:ascii="黑体" w:hAnsi="宋体" w:eastAsia="黑体"/>
          <w:bCs/>
          <w:color w:val="auto"/>
          <w:sz w:val="28"/>
          <w:szCs w:val="28"/>
          <w:highlight w:val="none"/>
          <w:lang w:val="en-US" w:eastAsia="zh-CN"/>
        </w:rPr>
      </w:pPr>
    </w:p>
    <w:p w14:paraId="2A7ADEA0">
      <w:pPr>
        <w:pStyle w:val="6"/>
        <w:rPr>
          <w:rFonts w:hint="eastAsia" w:ascii="黑体" w:hAnsi="宋体" w:eastAsia="黑体"/>
          <w:bCs/>
          <w:color w:val="auto"/>
          <w:sz w:val="28"/>
          <w:szCs w:val="28"/>
          <w:highlight w:val="none"/>
          <w:lang w:val="en-US" w:eastAsia="zh-CN"/>
        </w:rPr>
      </w:pPr>
    </w:p>
    <w:p w14:paraId="77AF000C">
      <w:pPr>
        <w:pStyle w:val="6"/>
        <w:rPr>
          <w:rFonts w:hint="eastAsia" w:ascii="黑体" w:hAnsi="宋体" w:eastAsia="黑体"/>
          <w:bCs/>
          <w:color w:val="auto"/>
          <w:sz w:val="28"/>
          <w:szCs w:val="28"/>
          <w:highlight w:val="none"/>
          <w:lang w:val="en-US" w:eastAsia="zh-CN"/>
        </w:rPr>
      </w:pPr>
    </w:p>
    <w:p w14:paraId="28D641D1">
      <w:pPr>
        <w:pStyle w:val="6"/>
        <w:rPr>
          <w:rFonts w:hint="eastAsia" w:ascii="黑体" w:hAnsi="宋体" w:eastAsia="黑体"/>
          <w:bCs/>
          <w:color w:val="auto"/>
          <w:sz w:val="28"/>
          <w:szCs w:val="28"/>
          <w:highlight w:val="none"/>
          <w:lang w:val="en-US" w:eastAsia="zh-CN"/>
        </w:rPr>
      </w:pPr>
    </w:p>
    <w:p w14:paraId="5A9CBD1B">
      <w:pPr>
        <w:pStyle w:val="6"/>
        <w:rPr>
          <w:rFonts w:hint="eastAsia" w:ascii="黑体" w:hAnsi="宋体" w:eastAsia="黑体"/>
          <w:bCs/>
          <w:color w:val="auto"/>
          <w:sz w:val="28"/>
          <w:szCs w:val="28"/>
          <w:highlight w:val="none"/>
          <w:lang w:val="en-US" w:eastAsia="zh-CN"/>
        </w:rPr>
      </w:pPr>
    </w:p>
    <w:p w14:paraId="24C3A35D">
      <w:pPr>
        <w:pStyle w:val="6"/>
        <w:rPr>
          <w:rFonts w:hint="eastAsia" w:ascii="黑体" w:hAnsi="宋体" w:eastAsia="黑体"/>
          <w:bCs/>
          <w:color w:val="auto"/>
          <w:sz w:val="28"/>
          <w:szCs w:val="28"/>
          <w:highlight w:val="none"/>
          <w:lang w:val="en-US" w:eastAsia="zh-CN"/>
        </w:rPr>
      </w:pPr>
    </w:p>
    <w:p w14:paraId="173525F7">
      <w:pPr>
        <w:pStyle w:val="6"/>
        <w:numPr>
          <w:ilvl w:val="0"/>
          <w:numId w:val="12"/>
        </w:numPr>
        <w:rPr>
          <w:rFonts w:hint="eastAsia" w:ascii="黑体" w:hAnsi="宋体" w:eastAsia="黑体"/>
          <w:bCs/>
          <w:color w:val="auto"/>
          <w:sz w:val="28"/>
          <w:szCs w:val="28"/>
          <w:highlight w:val="none"/>
          <w:lang w:val="en-US" w:eastAsia="zh-CN"/>
        </w:rPr>
      </w:pPr>
      <w:r>
        <w:rPr>
          <w:rFonts w:hint="eastAsia" w:ascii="黑体" w:hAnsi="宋体" w:eastAsia="黑体"/>
          <w:bCs/>
          <w:color w:val="auto"/>
          <w:sz w:val="28"/>
          <w:szCs w:val="28"/>
          <w:highlight w:val="none"/>
          <w:lang w:val="en-US" w:eastAsia="zh-CN"/>
        </w:rPr>
        <w:t>明细报价表（格式）</w:t>
      </w:r>
    </w:p>
    <w:p w14:paraId="31DD819C">
      <w:pPr>
        <w:numPr>
          <w:ilvl w:val="0"/>
          <w:numId w:val="0"/>
        </w:numPr>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明细报价表</w:t>
      </w:r>
    </w:p>
    <w:p w14:paraId="1B3EC484">
      <w:pPr>
        <w:spacing w:after="156" w:afterLines="5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玻璃钢船只上岸年检项目</w:t>
      </w:r>
      <w:r>
        <w:rPr>
          <w:rFonts w:hint="eastAsia" w:ascii="宋体" w:hAnsi="宋体"/>
          <w:color w:val="auto"/>
          <w:sz w:val="24"/>
          <w:szCs w:val="24"/>
          <w:highlight w:val="none"/>
        </w:rPr>
        <w:t xml:space="preserve">                                     </w:t>
      </w:r>
    </w:p>
    <w:p w14:paraId="5BA90628">
      <w:pPr>
        <w:jc w:val="left"/>
        <w:rPr>
          <w:rFonts w:hint="default" w:ascii="黑体" w:hAnsi="黑体" w:eastAsia="宋体"/>
          <w:color w:val="auto"/>
          <w:sz w:val="28"/>
          <w:szCs w:val="28"/>
          <w:highlight w:val="none"/>
          <w:lang w:val="en-US"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val="en-US" w:eastAsia="zh-CN"/>
        </w:rPr>
        <w:t>YXGYJT202511015</w:t>
      </w:r>
    </w:p>
    <w:p w14:paraId="5ACC9F24">
      <w:pPr>
        <w:numPr>
          <w:ilvl w:val="0"/>
          <w:numId w:val="0"/>
        </w:numPr>
        <w:jc w:val="right"/>
        <w:rPr>
          <w:rFonts w:hint="eastAsia" w:ascii="黑体" w:hAnsi="黑体" w:eastAsia="黑体"/>
          <w:color w:val="auto"/>
          <w:sz w:val="28"/>
          <w:szCs w:val="28"/>
          <w:highlight w:val="none"/>
          <w:lang w:val="en-US" w:eastAsia="zh-CN"/>
        </w:rPr>
      </w:pPr>
      <w:r>
        <w:rPr>
          <w:rFonts w:hint="eastAsia" w:ascii="宋体" w:hAnsi="宋体"/>
          <w:color w:val="auto"/>
          <w:sz w:val="24"/>
          <w:szCs w:val="24"/>
          <w:highlight w:val="none"/>
        </w:rPr>
        <w:t>单位：元</w:t>
      </w:r>
    </w:p>
    <w:tbl>
      <w:tblPr>
        <w:tblStyle w:val="11"/>
        <w:tblW w:w="107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2759"/>
        <w:gridCol w:w="840"/>
        <w:gridCol w:w="720"/>
        <w:gridCol w:w="1230"/>
        <w:gridCol w:w="1725"/>
        <w:gridCol w:w="1725"/>
        <w:gridCol w:w="984"/>
      </w:tblGrid>
      <w:tr w14:paraId="0A31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8D43B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759" w:type="dxa"/>
            <w:tcBorders>
              <w:top w:val="single" w:color="000000" w:sz="8" w:space="0"/>
              <w:left w:val="nil"/>
              <w:bottom w:val="single" w:color="000000" w:sz="8" w:space="0"/>
              <w:right w:val="single" w:color="000000" w:sz="8" w:space="0"/>
            </w:tcBorders>
            <w:shd w:val="clear" w:color="auto" w:fill="auto"/>
            <w:vAlign w:val="center"/>
          </w:tcPr>
          <w:p w14:paraId="5F7A50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840" w:type="dxa"/>
            <w:tcBorders>
              <w:top w:val="single" w:color="000000" w:sz="8" w:space="0"/>
              <w:left w:val="nil"/>
              <w:bottom w:val="single" w:color="000000" w:sz="8" w:space="0"/>
              <w:right w:val="single" w:color="000000" w:sz="8" w:space="0"/>
            </w:tcBorders>
            <w:shd w:val="clear" w:color="auto" w:fill="auto"/>
            <w:noWrap/>
            <w:vAlign w:val="center"/>
          </w:tcPr>
          <w:p w14:paraId="7541A2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20" w:type="dxa"/>
            <w:tcBorders>
              <w:top w:val="single" w:color="000000" w:sz="8" w:space="0"/>
              <w:left w:val="nil"/>
              <w:bottom w:val="single" w:color="000000" w:sz="8" w:space="0"/>
              <w:right w:val="single" w:color="000000" w:sz="8" w:space="0"/>
            </w:tcBorders>
            <w:shd w:val="clear" w:color="auto" w:fill="auto"/>
            <w:noWrap/>
            <w:vAlign w:val="center"/>
          </w:tcPr>
          <w:p w14:paraId="7492F9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30" w:type="dxa"/>
            <w:tcBorders>
              <w:top w:val="single" w:color="000000" w:sz="8" w:space="0"/>
              <w:left w:val="nil"/>
              <w:bottom w:val="single" w:color="000000" w:sz="8" w:space="0"/>
              <w:right w:val="single" w:color="000000" w:sz="8" w:space="0"/>
            </w:tcBorders>
            <w:shd w:val="clear" w:color="auto" w:fill="auto"/>
            <w:noWrap/>
            <w:vAlign w:val="center"/>
          </w:tcPr>
          <w:p w14:paraId="5AE16895">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含税单价（元）</w:t>
            </w:r>
          </w:p>
        </w:tc>
        <w:tc>
          <w:tcPr>
            <w:tcW w:w="1725" w:type="dxa"/>
            <w:tcBorders>
              <w:top w:val="single" w:color="000000" w:sz="8" w:space="0"/>
              <w:left w:val="nil"/>
              <w:bottom w:val="single" w:color="000000" w:sz="8" w:space="0"/>
              <w:right w:val="single" w:color="000000" w:sz="8" w:space="0"/>
            </w:tcBorders>
            <w:shd w:val="clear" w:color="auto" w:fill="auto"/>
            <w:noWrap/>
            <w:vAlign w:val="center"/>
          </w:tcPr>
          <w:p w14:paraId="006D612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含税分项合计金额（元）</w:t>
            </w:r>
          </w:p>
        </w:tc>
        <w:tc>
          <w:tcPr>
            <w:tcW w:w="1725" w:type="dxa"/>
            <w:tcBorders>
              <w:top w:val="single" w:color="000000" w:sz="8" w:space="0"/>
              <w:left w:val="nil"/>
              <w:bottom w:val="single" w:color="000000" w:sz="8" w:space="0"/>
              <w:right w:val="single" w:color="000000" w:sz="8" w:space="0"/>
            </w:tcBorders>
            <w:shd w:val="clear" w:color="auto" w:fill="auto"/>
            <w:noWrap/>
            <w:vAlign w:val="center"/>
          </w:tcPr>
          <w:p w14:paraId="248D3BA8">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不含税分项合计金额（元）</w:t>
            </w:r>
          </w:p>
        </w:tc>
        <w:tc>
          <w:tcPr>
            <w:tcW w:w="984" w:type="dxa"/>
            <w:tcBorders>
              <w:top w:val="single" w:color="000000" w:sz="8" w:space="0"/>
              <w:left w:val="nil"/>
              <w:bottom w:val="single" w:color="000000" w:sz="8" w:space="0"/>
              <w:right w:val="single" w:color="000000" w:sz="8" w:space="0"/>
            </w:tcBorders>
            <w:shd w:val="clear" w:color="auto" w:fill="auto"/>
            <w:noWrap/>
            <w:vAlign w:val="center"/>
          </w:tcPr>
          <w:p w14:paraId="4BE6073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7D0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04B7544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Style w:val="18"/>
                <w:rFonts w:hint="eastAsia" w:ascii="宋体" w:hAnsi="宋体" w:eastAsia="宋体" w:cs="宋体"/>
                <w:sz w:val="24"/>
                <w:szCs w:val="24"/>
                <w:highlight w:val="none"/>
                <w:lang w:val="en-US" w:eastAsia="zh-CN" w:bidi="ar"/>
              </w:rPr>
              <w:t>(一)</w:t>
            </w:r>
          </w:p>
        </w:tc>
        <w:tc>
          <w:tcPr>
            <w:tcW w:w="9983" w:type="dxa"/>
            <w:gridSpan w:val="7"/>
            <w:tcBorders>
              <w:top w:val="nil"/>
              <w:left w:val="nil"/>
              <w:bottom w:val="single" w:color="000000" w:sz="8" w:space="0"/>
              <w:right w:val="single" w:color="000000" w:sz="8" w:space="0"/>
            </w:tcBorders>
            <w:shd w:val="clear" w:color="auto" w:fill="auto"/>
            <w:vAlign w:val="center"/>
          </w:tcPr>
          <w:p w14:paraId="33880782">
            <w:pPr>
              <w:jc w:val="both"/>
              <w:rPr>
                <w:rFonts w:hint="eastAsia" w:ascii="宋体" w:hAnsi="宋体" w:eastAsia="宋体" w:cs="宋体"/>
                <w:i w:val="0"/>
                <w:iCs w:val="0"/>
                <w:color w:val="000000"/>
                <w:sz w:val="24"/>
                <w:szCs w:val="24"/>
                <w:highlight w:val="none"/>
                <w:u w:val="none"/>
              </w:rPr>
            </w:pPr>
            <w:r>
              <w:rPr>
                <w:rStyle w:val="19"/>
                <w:rFonts w:hint="eastAsia" w:ascii="宋体" w:hAnsi="宋体" w:eastAsia="宋体" w:cs="宋体"/>
                <w:sz w:val="24"/>
                <w:szCs w:val="24"/>
                <w:highlight w:val="none"/>
                <w:lang w:val="en-US" w:eastAsia="zh-CN" w:bidi="ar"/>
              </w:rPr>
              <w:t>100方控藻船船检</w:t>
            </w:r>
          </w:p>
        </w:tc>
      </w:tr>
      <w:tr w14:paraId="56C5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5058CF1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 </w:t>
            </w:r>
          </w:p>
        </w:tc>
        <w:tc>
          <w:tcPr>
            <w:tcW w:w="2759" w:type="dxa"/>
            <w:tcBorders>
              <w:top w:val="nil"/>
              <w:left w:val="nil"/>
              <w:bottom w:val="single" w:color="000000" w:sz="8" w:space="0"/>
              <w:right w:val="single" w:color="000000" w:sz="8" w:space="0"/>
            </w:tcBorders>
            <w:shd w:val="clear" w:color="auto" w:fill="auto"/>
            <w:vAlign w:val="center"/>
          </w:tcPr>
          <w:p w14:paraId="7910F114">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船检前维护：①船体上岸清洗，破损处修补；船体底部打磨、喷漆、翻新②根据船检要求，喷船名、船号、船籍港，水位线、载重线及救生圈等喷字③船上电器电路检修；④发动机检修保养</w:t>
            </w:r>
          </w:p>
        </w:tc>
        <w:tc>
          <w:tcPr>
            <w:tcW w:w="840" w:type="dxa"/>
            <w:tcBorders>
              <w:top w:val="nil"/>
              <w:left w:val="nil"/>
              <w:bottom w:val="single" w:color="000000" w:sz="8" w:space="0"/>
              <w:right w:val="single" w:color="000000" w:sz="8" w:space="0"/>
            </w:tcBorders>
            <w:shd w:val="clear" w:color="auto" w:fill="auto"/>
            <w:noWrap/>
            <w:vAlign w:val="center"/>
          </w:tcPr>
          <w:p w14:paraId="2945557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73EE8B6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3</w:t>
            </w:r>
          </w:p>
        </w:tc>
        <w:tc>
          <w:tcPr>
            <w:tcW w:w="1230" w:type="dxa"/>
            <w:tcBorders>
              <w:top w:val="nil"/>
              <w:left w:val="nil"/>
              <w:bottom w:val="single" w:color="000000" w:sz="8" w:space="0"/>
              <w:right w:val="single" w:color="000000" w:sz="8" w:space="0"/>
            </w:tcBorders>
            <w:shd w:val="clear" w:color="auto" w:fill="auto"/>
            <w:noWrap/>
            <w:vAlign w:val="center"/>
          </w:tcPr>
          <w:p w14:paraId="2F920A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1CB79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69804E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57C4A2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568E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1817553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 xml:space="preserve">2 </w:t>
            </w:r>
          </w:p>
        </w:tc>
        <w:tc>
          <w:tcPr>
            <w:tcW w:w="2759" w:type="dxa"/>
            <w:tcBorders>
              <w:top w:val="nil"/>
              <w:left w:val="nil"/>
              <w:bottom w:val="single" w:color="000000" w:sz="8" w:space="0"/>
              <w:right w:val="single" w:color="000000" w:sz="8" w:space="0"/>
            </w:tcBorders>
            <w:shd w:val="clear" w:color="auto" w:fill="auto"/>
            <w:vAlign w:val="center"/>
          </w:tcPr>
          <w:p w14:paraId="074BB6D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坞检费</w:t>
            </w:r>
          </w:p>
        </w:tc>
        <w:tc>
          <w:tcPr>
            <w:tcW w:w="840" w:type="dxa"/>
            <w:tcBorders>
              <w:top w:val="nil"/>
              <w:left w:val="nil"/>
              <w:bottom w:val="single" w:color="000000" w:sz="8" w:space="0"/>
              <w:right w:val="single" w:color="000000" w:sz="8" w:space="0"/>
            </w:tcBorders>
            <w:shd w:val="clear" w:color="auto" w:fill="auto"/>
            <w:noWrap/>
            <w:vAlign w:val="center"/>
          </w:tcPr>
          <w:p w14:paraId="0D34AD6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3A348FE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3</w:t>
            </w:r>
          </w:p>
        </w:tc>
        <w:tc>
          <w:tcPr>
            <w:tcW w:w="1230" w:type="dxa"/>
            <w:tcBorders>
              <w:top w:val="nil"/>
              <w:left w:val="nil"/>
              <w:bottom w:val="single" w:color="000000" w:sz="8" w:space="0"/>
              <w:right w:val="single" w:color="000000" w:sz="8" w:space="0"/>
            </w:tcBorders>
            <w:shd w:val="clear" w:color="auto" w:fill="auto"/>
            <w:noWrap/>
            <w:vAlign w:val="center"/>
          </w:tcPr>
          <w:p w14:paraId="71C84F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4B287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7543CC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43CB764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4E54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67129D5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9983" w:type="dxa"/>
            <w:gridSpan w:val="7"/>
            <w:tcBorders>
              <w:top w:val="nil"/>
              <w:left w:val="nil"/>
              <w:bottom w:val="single" w:color="000000" w:sz="8" w:space="0"/>
              <w:right w:val="single" w:color="000000" w:sz="8" w:space="0"/>
            </w:tcBorders>
            <w:shd w:val="clear" w:color="auto" w:fill="auto"/>
            <w:vAlign w:val="center"/>
          </w:tcPr>
          <w:p w14:paraId="46726C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620型吸藻船船检</w:t>
            </w:r>
          </w:p>
        </w:tc>
      </w:tr>
      <w:tr w14:paraId="02BB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207F81F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1 </w:t>
            </w:r>
          </w:p>
        </w:tc>
        <w:tc>
          <w:tcPr>
            <w:tcW w:w="2759" w:type="dxa"/>
            <w:tcBorders>
              <w:top w:val="nil"/>
              <w:left w:val="nil"/>
              <w:bottom w:val="single" w:color="000000" w:sz="8" w:space="0"/>
              <w:right w:val="single" w:color="000000" w:sz="8" w:space="0"/>
            </w:tcBorders>
            <w:shd w:val="clear" w:color="auto" w:fill="auto"/>
            <w:vAlign w:val="center"/>
          </w:tcPr>
          <w:p w14:paraId="4E833F40">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船检前维护：①船体上岸清洗，破损处修补；栏杆整修；吸藻升降机检修②根据船检要求，喷船名、船号、船籍港，水位线、载重线及救生圈等喷字③发动机检修保养</w:t>
            </w:r>
          </w:p>
        </w:tc>
        <w:tc>
          <w:tcPr>
            <w:tcW w:w="840" w:type="dxa"/>
            <w:tcBorders>
              <w:top w:val="nil"/>
              <w:left w:val="nil"/>
              <w:bottom w:val="single" w:color="000000" w:sz="8" w:space="0"/>
              <w:right w:val="single" w:color="000000" w:sz="8" w:space="0"/>
            </w:tcBorders>
            <w:shd w:val="clear" w:color="auto" w:fill="auto"/>
            <w:noWrap/>
            <w:vAlign w:val="center"/>
          </w:tcPr>
          <w:p w14:paraId="753AC41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2AB7DF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5</w:t>
            </w:r>
          </w:p>
        </w:tc>
        <w:tc>
          <w:tcPr>
            <w:tcW w:w="1230" w:type="dxa"/>
            <w:tcBorders>
              <w:top w:val="nil"/>
              <w:left w:val="nil"/>
              <w:bottom w:val="single" w:color="000000" w:sz="8" w:space="0"/>
              <w:right w:val="single" w:color="000000" w:sz="8" w:space="0"/>
            </w:tcBorders>
            <w:shd w:val="clear" w:color="auto" w:fill="auto"/>
            <w:noWrap/>
            <w:vAlign w:val="center"/>
          </w:tcPr>
          <w:p w14:paraId="1D0144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0AF48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6FF957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7900C3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0C09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61" w:type="dxa"/>
            <w:tcBorders>
              <w:top w:val="nil"/>
              <w:left w:val="single" w:color="000000" w:sz="8" w:space="0"/>
              <w:bottom w:val="single" w:color="000000" w:sz="8" w:space="0"/>
              <w:right w:val="single" w:color="000000" w:sz="8" w:space="0"/>
            </w:tcBorders>
            <w:shd w:val="clear" w:color="auto" w:fill="auto"/>
            <w:noWrap/>
            <w:vAlign w:val="center"/>
          </w:tcPr>
          <w:p w14:paraId="5581BEB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 xml:space="preserve">2 </w:t>
            </w:r>
          </w:p>
        </w:tc>
        <w:tc>
          <w:tcPr>
            <w:tcW w:w="2759" w:type="dxa"/>
            <w:tcBorders>
              <w:top w:val="nil"/>
              <w:left w:val="nil"/>
              <w:bottom w:val="single" w:color="000000" w:sz="8" w:space="0"/>
              <w:right w:val="single" w:color="000000" w:sz="8" w:space="0"/>
            </w:tcBorders>
            <w:shd w:val="clear" w:color="auto" w:fill="auto"/>
            <w:vAlign w:val="center"/>
          </w:tcPr>
          <w:p w14:paraId="498328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坞检费</w:t>
            </w:r>
          </w:p>
        </w:tc>
        <w:tc>
          <w:tcPr>
            <w:tcW w:w="840" w:type="dxa"/>
            <w:tcBorders>
              <w:top w:val="nil"/>
              <w:left w:val="nil"/>
              <w:bottom w:val="single" w:color="000000" w:sz="8" w:space="0"/>
              <w:right w:val="single" w:color="000000" w:sz="8" w:space="0"/>
            </w:tcBorders>
            <w:shd w:val="clear" w:color="auto" w:fill="auto"/>
            <w:noWrap/>
            <w:vAlign w:val="center"/>
          </w:tcPr>
          <w:p w14:paraId="70B318A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Style w:val="20"/>
                <w:rFonts w:hint="eastAsia" w:ascii="宋体" w:hAnsi="宋体" w:eastAsia="宋体" w:cs="宋体"/>
                <w:sz w:val="24"/>
                <w:szCs w:val="24"/>
                <w:highlight w:val="none"/>
                <w:lang w:val="en-US" w:eastAsia="zh-CN" w:bidi="ar"/>
              </w:rPr>
              <w:t>艘</w:t>
            </w:r>
          </w:p>
        </w:tc>
        <w:tc>
          <w:tcPr>
            <w:tcW w:w="720" w:type="dxa"/>
            <w:tcBorders>
              <w:top w:val="nil"/>
              <w:left w:val="nil"/>
              <w:bottom w:val="single" w:color="000000" w:sz="8" w:space="0"/>
              <w:right w:val="single" w:color="000000" w:sz="8" w:space="0"/>
            </w:tcBorders>
            <w:shd w:val="clear" w:color="auto" w:fill="auto"/>
            <w:noWrap/>
            <w:vAlign w:val="center"/>
          </w:tcPr>
          <w:p w14:paraId="0A4D823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5</w:t>
            </w:r>
          </w:p>
        </w:tc>
        <w:tc>
          <w:tcPr>
            <w:tcW w:w="1230" w:type="dxa"/>
            <w:tcBorders>
              <w:top w:val="nil"/>
              <w:left w:val="nil"/>
              <w:bottom w:val="single" w:color="000000" w:sz="8" w:space="0"/>
              <w:right w:val="single" w:color="000000" w:sz="8" w:space="0"/>
            </w:tcBorders>
            <w:shd w:val="clear" w:color="auto" w:fill="auto"/>
            <w:noWrap/>
            <w:vAlign w:val="center"/>
          </w:tcPr>
          <w:p w14:paraId="1E744E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4E7D69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725" w:type="dxa"/>
            <w:tcBorders>
              <w:top w:val="nil"/>
              <w:left w:val="nil"/>
              <w:bottom w:val="single" w:color="000000" w:sz="8" w:space="0"/>
              <w:right w:val="single" w:color="000000" w:sz="8" w:space="0"/>
            </w:tcBorders>
            <w:shd w:val="clear" w:color="auto" w:fill="auto"/>
            <w:noWrap/>
            <w:vAlign w:val="center"/>
          </w:tcPr>
          <w:p w14:paraId="5EA3F8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84" w:type="dxa"/>
            <w:tcBorders>
              <w:top w:val="nil"/>
              <w:left w:val="nil"/>
              <w:bottom w:val="single" w:color="000000" w:sz="8" w:space="0"/>
              <w:right w:val="single" w:color="000000" w:sz="8" w:space="0"/>
            </w:tcBorders>
            <w:shd w:val="clear" w:color="auto" w:fill="auto"/>
            <w:noWrap/>
            <w:vAlign w:val="center"/>
          </w:tcPr>
          <w:p w14:paraId="293021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14:paraId="0D00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310" w:type="dxa"/>
            <w:gridSpan w:val="5"/>
            <w:vMerge w:val="restart"/>
            <w:tcBorders>
              <w:top w:val="nil"/>
              <w:left w:val="single" w:color="000000" w:sz="8" w:space="0"/>
              <w:right w:val="single" w:color="auto" w:sz="4" w:space="0"/>
            </w:tcBorders>
            <w:shd w:val="clear" w:color="auto" w:fill="auto"/>
            <w:vAlign w:val="center"/>
          </w:tcPr>
          <w:p w14:paraId="73CD3D0E">
            <w:pPr>
              <w:jc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总计（含税）</w:t>
            </w:r>
          </w:p>
        </w:tc>
        <w:tc>
          <w:tcPr>
            <w:tcW w:w="4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902EE9">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小写：</w:t>
            </w:r>
          </w:p>
        </w:tc>
      </w:tr>
      <w:tr w14:paraId="2E65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310" w:type="dxa"/>
            <w:gridSpan w:val="5"/>
            <w:vMerge w:val="continue"/>
            <w:tcBorders>
              <w:left w:val="single" w:color="000000" w:sz="8" w:space="0"/>
              <w:bottom w:val="single" w:color="000000" w:sz="8" w:space="0"/>
              <w:right w:val="single" w:color="auto" w:sz="4" w:space="0"/>
            </w:tcBorders>
            <w:shd w:val="clear" w:color="auto" w:fill="auto"/>
            <w:vAlign w:val="center"/>
          </w:tcPr>
          <w:p w14:paraId="4901CD74">
            <w:pPr>
              <w:jc w:val="center"/>
              <w:rPr>
                <w:rFonts w:hint="eastAsia" w:ascii="宋体" w:hAnsi="宋体" w:eastAsia="宋体" w:cs="宋体"/>
                <w:b/>
                <w:bCs/>
                <w:i w:val="0"/>
                <w:iCs w:val="0"/>
                <w:color w:val="000000"/>
                <w:kern w:val="0"/>
                <w:sz w:val="24"/>
                <w:szCs w:val="24"/>
                <w:highlight w:val="none"/>
                <w:u w:val="none"/>
                <w:lang w:val="en-US" w:eastAsia="zh-CN" w:bidi="ar"/>
              </w:rPr>
            </w:pPr>
          </w:p>
        </w:tc>
        <w:tc>
          <w:tcPr>
            <w:tcW w:w="44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7FEC48">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大写：</w:t>
            </w:r>
          </w:p>
        </w:tc>
      </w:tr>
    </w:tbl>
    <w:p w14:paraId="520607B7">
      <w:pPr>
        <w:spacing w:line="360" w:lineRule="auto"/>
        <w:ind w:left="5460" w:hanging="5460" w:hangingChars="2275"/>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                              </w:t>
      </w:r>
    </w:p>
    <w:p w14:paraId="6AB859F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779D0B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7865BF96">
      <w:pPr>
        <w:spacing w:line="360" w:lineRule="auto"/>
        <w:ind w:left="5460" w:hanging="5460" w:hangingChars="2275"/>
        <w:jc w:val="center"/>
        <w:rPr>
          <w:rFonts w:hint="eastAsia" w:ascii="宋体" w:hAnsi="宋体"/>
          <w:bCs/>
          <w:color w:val="auto"/>
          <w:sz w:val="24"/>
          <w:highlight w:val="none"/>
          <w:lang w:val="zh-CN"/>
        </w:rPr>
      </w:pPr>
    </w:p>
    <w:p w14:paraId="02EAC983">
      <w:pPr>
        <w:spacing w:line="360" w:lineRule="auto"/>
        <w:rPr>
          <w:rFonts w:hint="eastAsia" w:ascii="宋体" w:hAnsi="宋体"/>
          <w:bCs/>
          <w:color w:val="auto"/>
          <w:szCs w:val="21"/>
          <w:highlight w:val="none"/>
        </w:rPr>
      </w:pPr>
      <w:bookmarkStart w:id="98" w:name="OLE_LINK149"/>
      <w:r>
        <w:rPr>
          <w:rFonts w:hint="eastAsia" w:ascii="宋体" w:hAnsi="宋体"/>
          <w:bCs/>
          <w:color w:val="auto"/>
          <w:szCs w:val="21"/>
          <w:highlight w:val="none"/>
        </w:rPr>
        <w:t xml:space="preserve">注： </w:t>
      </w:r>
    </w:p>
    <w:p w14:paraId="56461351">
      <w:pPr>
        <w:spacing w:line="360" w:lineRule="auto"/>
        <w:ind w:firstLine="421"/>
        <w:rPr>
          <w:rFonts w:hint="eastAsia" w:ascii="宋体" w:hAnsi="宋体"/>
          <w:bCs/>
          <w:color w:val="auto"/>
          <w:szCs w:val="21"/>
          <w:highlight w:val="none"/>
        </w:rPr>
      </w:pPr>
      <w:r>
        <w:rPr>
          <w:rFonts w:hint="eastAsia" w:ascii="宋体" w:hAnsi="宋体"/>
          <w:bCs/>
          <w:color w:val="auto"/>
          <w:szCs w:val="21"/>
          <w:highlight w:val="none"/>
        </w:rPr>
        <w:t>（1）投标人应当根据“第三章 项目技术要求和有关说明”的内容详细填写明细报价表，须包括本次采购的所有细项；“明细报价表”合计金额应与“开标一览表”报价一致。</w:t>
      </w:r>
    </w:p>
    <w:p w14:paraId="3AB764F7">
      <w:pPr>
        <w:spacing w:line="360" w:lineRule="auto"/>
        <w:ind w:firstLine="421"/>
        <w:rPr>
          <w:rFonts w:hint="eastAsia" w:ascii="宋体" w:hAnsi="宋体"/>
          <w:color w:val="auto"/>
          <w:szCs w:val="21"/>
          <w:highlight w:val="none"/>
          <w:lang w:val="zh-CN"/>
        </w:rPr>
      </w:pPr>
      <w:r>
        <w:rPr>
          <w:rFonts w:hint="eastAsia" w:ascii="宋体" w:hAnsi="宋体"/>
          <w:b w:val="0"/>
          <w:bCs/>
          <w:color w:val="auto"/>
          <w:szCs w:val="21"/>
          <w:highlight w:val="none"/>
          <w:lang w:val="zh-CN"/>
        </w:rPr>
        <w:t>（</w:t>
      </w:r>
      <w:r>
        <w:rPr>
          <w:rFonts w:hint="eastAsia" w:ascii="宋体" w:hAnsi="宋体"/>
          <w:b w:val="0"/>
          <w:bCs/>
          <w:color w:val="auto"/>
          <w:szCs w:val="21"/>
          <w:highlight w:val="none"/>
        </w:rPr>
        <w:t>2</w:t>
      </w:r>
      <w:r>
        <w:rPr>
          <w:rFonts w:hint="eastAsia" w:ascii="宋体" w:hAnsi="宋体"/>
          <w:b w:val="0"/>
          <w:bCs/>
          <w:color w:val="auto"/>
          <w:szCs w:val="21"/>
          <w:highlight w:val="none"/>
          <w:lang w:val="zh-CN"/>
        </w:rPr>
        <w:t>）</w:t>
      </w:r>
      <w:r>
        <w:rPr>
          <w:rFonts w:hint="eastAsia" w:ascii="宋体" w:hAnsi="宋体"/>
          <w:bCs/>
          <w:color w:val="auto"/>
          <w:szCs w:val="21"/>
          <w:highlight w:val="none"/>
        </w:rPr>
        <w:t>表格不够可自行延长。</w:t>
      </w:r>
      <w:bookmarkEnd w:id="98"/>
    </w:p>
    <w:p w14:paraId="03C937FA">
      <w:pPr>
        <w:rPr>
          <w:rFonts w:hint="default" w:ascii="黑体" w:hAnsi="宋体" w:eastAsia="黑体"/>
          <w:bCs/>
          <w:color w:val="auto"/>
          <w:sz w:val="28"/>
          <w:szCs w:val="28"/>
          <w:highlight w:val="none"/>
          <w:lang w:val="en-US" w:eastAsia="zh-CN"/>
        </w:rPr>
        <w:sectPr>
          <w:pgSz w:w="11906" w:h="16838"/>
          <w:pgMar w:top="1134" w:right="1134" w:bottom="1134" w:left="1134" w:header="851" w:footer="992" w:gutter="0"/>
          <w:cols w:space="0" w:num="1"/>
          <w:rtlGutter w:val="0"/>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96"/>
    </w:p>
    <w:p w14:paraId="5EFF80E8">
      <w:pPr>
        <w:ind w:firstLine="480" w:firstLineChars="200"/>
        <w:rPr>
          <w:rFonts w:ascii="黑体" w:eastAsia="黑体"/>
          <w:bCs/>
          <w:color w:val="auto"/>
          <w:sz w:val="36"/>
          <w:highlight w:val="none"/>
        </w:rPr>
      </w:pPr>
      <w:bookmarkStart w:id="99"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江苏宜公投蓝藻资源开发有限公司玻璃钢船只上岸年检项目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YXGYJT202511015</w:t>
      </w:r>
      <w:r>
        <w:rPr>
          <w:rFonts w:hint="eastAsia" w:ascii="宋体"/>
          <w:bCs/>
          <w:color w:val="auto"/>
          <w:sz w:val="24"/>
          <w:szCs w:val="24"/>
          <w:highlight w:val="none"/>
        </w:rPr>
        <w:t>）采购活动前三年内在经营活动中没有重大违法记录；同时，投标时不存在</w:t>
      </w:r>
      <w:bookmarkStart w:id="100" w:name="OLE_LINK242"/>
      <w:r>
        <w:rPr>
          <w:rFonts w:hint="eastAsia" w:ascii="宋体"/>
          <w:bCs/>
          <w:color w:val="auto"/>
          <w:sz w:val="24"/>
          <w:szCs w:val="24"/>
          <w:highlight w:val="none"/>
        </w:rPr>
        <w:t>有效期限</w:t>
      </w:r>
      <w:bookmarkEnd w:id="100"/>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YXGYJT202511015</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3970" b="1079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15240" b="952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none"/>
          <w:lang w:val="zh-CN"/>
        </w:rPr>
        <w:t>，</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江苏宜公投蓝藻资源开发有限公司玻璃钢船只上岸年检项目</w:t>
      </w:r>
      <w:r>
        <w:rPr>
          <w:rFonts w:hint="eastAsia" w:ascii="宋体" w:hAnsi="宋体"/>
          <w:color w:val="auto"/>
          <w:sz w:val="24"/>
          <w:szCs w:val="21"/>
          <w:highlight w:val="none"/>
          <w:lang w:val="zh-CN"/>
        </w:rPr>
        <w:t>（YXGYJT202511015）的投标、参与开标、谈判、签约等具体工作，并签署全部有关的文件、协议及合同。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901315" cy="1741805"/>
                <wp:effectExtent l="4445" t="4445" r="5080" b="6350"/>
                <wp:wrapNone/>
                <wp:docPr id="5" name="文本框 5"/>
                <wp:cNvGraphicFramePr/>
                <a:graphic xmlns:a="http://schemas.openxmlformats.org/drawingml/2006/main">
                  <a:graphicData uri="http://schemas.microsoft.com/office/word/2010/wordprocessingShape">
                    <wps:wsp>
                      <wps:cNvSpPr txBox="1"/>
                      <wps:spPr>
                        <a:xfrm>
                          <a:off x="0" y="0"/>
                          <a:ext cx="2901315" cy="1741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37.15pt;width:228.45pt;z-index:251661312;mso-width-relative:page;mso-height-relative:page;" fillcolor="#FFFFFF" filled="t" stroked="t" coordsize="21600,21600" o:gfxdata="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SOli2gAAAAoBAAAPAAAAAAAAAAEA&#10;IAAAACIAAABkcnMvZG93bnJldi54bWxQSwECFAAUAAAACACHTuJAlnb6Xg0CAAA3BAAADgAAAAAA&#10;AAABACAAAAApAQAAZHJzL2Uyb0RvYy54bWxQSwUGAAAAAAYABgBZAQAAqAU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2E02CDED">
      <w:pPr>
        <w:tabs>
          <w:tab w:val="left" w:pos="255"/>
        </w:tabs>
        <w:spacing w:line="240" w:lineRule="auto"/>
        <w:ind w:left="420" w:leftChars="200" w:firstLine="480" w:firstLineChars="200"/>
        <w:rPr>
          <w:rFonts w:hint="eastAsia" w:ascii="宋体" w:hAnsi="宋体"/>
          <w:color w:val="auto"/>
          <w:sz w:val="24"/>
          <w:szCs w:val="21"/>
          <w:highlight w:val="none"/>
          <w:lang w:val="zh-CN"/>
        </w:rPr>
      </w:pPr>
    </w:p>
    <w:p w14:paraId="30F27D6E">
      <w:pPr>
        <w:tabs>
          <w:tab w:val="left" w:pos="255"/>
        </w:tabs>
        <w:spacing w:line="24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⑥良好的信用记录：未被“信用中国”网站列入失信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1BDA21F6">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9"/>
    </w:p>
    <w:p w14:paraId="73D94C1B">
      <w:pPr>
        <w:spacing w:line="360" w:lineRule="auto"/>
        <w:jc w:val="center"/>
        <w:rPr>
          <w:rFonts w:hint="eastAsia" w:ascii="宋体" w:hAnsi="宋体"/>
          <w:bCs/>
          <w:color w:val="auto"/>
          <w:sz w:val="24"/>
          <w:highlight w:val="none"/>
          <w:lang w:val="zh-CN"/>
        </w:rPr>
      </w:pPr>
    </w:p>
    <w:p w14:paraId="50B0E615">
      <w:pPr>
        <w:pStyle w:val="10"/>
        <w:rPr>
          <w:rFonts w:hint="eastAsia" w:ascii="宋体" w:hAnsi="宋体"/>
          <w:bCs/>
          <w:color w:val="auto"/>
          <w:sz w:val="24"/>
          <w:highlight w:val="none"/>
          <w:lang w:val="zh-CN"/>
        </w:rPr>
      </w:pPr>
    </w:p>
    <w:p w14:paraId="63E9FF03">
      <w:pPr>
        <w:pStyle w:val="10"/>
        <w:rPr>
          <w:rFonts w:hint="eastAsia" w:ascii="宋体" w:hAnsi="宋体"/>
          <w:bCs/>
          <w:color w:val="auto"/>
          <w:sz w:val="24"/>
          <w:highlight w:val="none"/>
          <w:lang w:val="zh-CN"/>
        </w:rPr>
      </w:pPr>
    </w:p>
    <w:p w14:paraId="6FC65B5C">
      <w:pPr>
        <w:pStyle w:val="10"/>
        <w:rPr>
          <w:rFonts w:hint="eastAsia" w:ascii="宋体" w:hAnsi="宋体"/>
          <w:bCs/>
          <w:color w:val="auto"/>
          <w:sz w:val="24"/>
          <w:highlight w:val="none"/>
          <w:lang w:val="zh-CN"/>
        </w:rPr>
      </w:pPr>
    </w:p>
    <w:p w14:paraId="72BB1FCD">
      <w:pPr>
        <w:pStyle w:val="10"/>
        <w:rPr>
          <w:rFonts w:hint="eastAsia" w:ascii="宋体" w:hAnsi="宋体"/>
          <w:bCs/>
          <w:color w:val="auto"/>
          <w:sz w:val="24"/>
          <w:highlight w:val="none"/>
          <w:lang w:val="zh-CN"/>
        </w:rPr>
      </w:pPr>
    </w:p>
    <w:p w14:paraId="16096C55">
      <w:pPr>
        <w:pStyle w:val="10"/>
        <w:rPr>
          <w:rFonts w:hint="eastAsia" w:ascii="宋体" w:hAnsi="宋体"/>
          <w:bCs/>
          <w:color w:val="auto"/>
          <w:sz w:val="24"/>
          <w:highlight w:val="none"/>
          <w:lang w:val="zh-CN"/>
        </w:rPr>
      </w:pPr>
    </w:p>
    <w:p w14:paraId="0CB1F98E">
      <w:pPr>
        <w:pStyle w:val="10"/>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6C55DE37">
      <w:pPr>
        <w:spacing w:line="360" w:lineRule="auto"/>
        <w:jc w:val="center"/>
        <w:rPr>
          <w:rFonts w:hint="eastAsia" w:ascii="宋体" w:hAnsi="宋体"/>
          <w:bCs/>
          <w:color w:val="auto"/>
          <w:sz w:val="24"/>
          <w:highlight w:val="none"/>
          <w:lang w:val="zh-CN"/>
        </w:rPr>
      </w:pPr>
    </w:p>
    <w:p w14:paraId="178BB1DB">
      <w:pPr>
        <w:spacing w:line="360" w:lineRule="auto"/>
        <w:jc w:val="center"/>
        <w:rPr>
          <w:rFonts w:hint="eastAsia" w:ascii="宋体" w:hAnsi="宋体"/>
          <w:bCs/>
          <w:color w:val="auto"/>
          <w:sz w:val="24"/>
          <w:highlight w:val="none"/>
          <w:lang w:val="zh-CN"/>
        </w:rPr>
      </w:pPr>
    </w:p>
    <w:p w14:paraId="1DEECCB6">
      <w:pPr>
        <w:spacing w:line="360" w:lineRule="auto"/>
        <w:jc w:val="center"/>
        <w:rPr>
          <w:rFonts w:hint="eastAsia" w:ascii="宋体" w:hAnsi="宋体"/>
          <w:bCs/>
          <w:color w:val="auto"/>
          <w:sz w:val="24"/>
          <w:highlight w:val="none"/>
          <w:lang w:val="zh-CN"/>
        </w:rPr>
      </w:pPr>
    </w:p>
    <w:p w14:paraId="550D1BCB">
      <w:pPr>
        <w:spacing w:line="360" w:lineRule="auto"/>
        <w:jc w:val="center"/>
        <w:rPr>
          <w:rFonts w:hint="eastAsia" w:ascii="宋体" w:hAnsi="宋体"/>
          <w:bCs/>
          <w:color w:val="auto"/>
          <w:sz w:val="24"/>
          <w:highlight w:val="none"/>
          <w:lang w:val="zh-CN"/>
        </w:rPr>
      </w:pPr>
    </w:p>
    <w:p w14:paraId="310EEFA8">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玻璃钢船只上岸年检项目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YXGYJT202511015</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652"/>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652"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652"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652"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652"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9"/>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9"/>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9"/>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71E6477E">
      <w:pPr>
        <w:rPr>
          <w:rFonts w:hint="eastAsia" w:ascii="黑体" w:hAnsi="宋体" w:eastAsia="黑体"/>
          <w:bCs/>
          <w:color w:val="auto"/>
          <w:sz w:val="24"/>
          <w:szCs w:val="24"/>
          <w:highlight w:val="none"/>
          <w:lang w:val="zh-CN"/>
        </w:rPr>
      </w:pPr>
    </w:p>
    <w:p w14:paraId="3D0E4D5A">
      <w:pPr>
        <w:rPr>
          <w:rFonts w:hint="eastAsia" w:ascii="黑体" w:hAnsi="宋体" w:eastAsia="黑体"/>
          <w:bCs/>
          <w:color w:val="auto"/>
          <w:sz w:val="24"/>
          <w:szCs w:val="24"/>
          <w:highlight w:val="none"/>
          <w:lang w:val="zh-CN"/>
        </w:rPr>
      </w:pPr>
    </w:p>
    <w:p w14:paraId="4AAC9CCA">
      <w:pPr>
        <w:rPr>
          <w:rFonts w:hint="eastAsia" w:ascii="黑体" w:hAnsi="宋体" w:eastAsia="黑体"/>
          <w:bCs/>
          <w:color w:val="auto"/>
          <w:sz w:val="24"/>
          <w:szCs w:val="24"/>
          <w:highlight w:val="none"/>
          <w:lang w:val="zh-CN"/>
        </w:rPr>
      </w:pPr>
    </w:p>
    <w:p w14:paraId="441B7973">
      <w:pPr>
        <w:rPr>
          <w:rFonts w:hint="eastAsia" w:ascii="黑体" w:hAnsi="宋体" w:eastAsia="黑体"/>
          <w:bCs/>
          <w:color w:val="auto"/>
          <w:sz w:val="24"/>
          <w:szCs w:val="24"/>
          <w:highlight w:val="none"/>
          <w:lang w:val="zh-CN"/>
        </w:rPr>
      </w:pPr>
    </w:p>
    <w:p w14:paraId="28C0E04F">
      <w:pPr>
        <w:rPr>
          <w:rFonts w:hint="eastAsia" w:ascii="黑体" w:hAnsi="宋体" w:eastAsia="黑体"/>
          <w:bCs/>
          <w:color w:val="auto"/>
          <w:sz w:val="24"/>
          <w:szCs w:val="24"/>
          <w:highlight w:val="none"/>
          <w:lang w:val="zh-CN"/>
        </w:rPr>
      </w:pPr>
    </w:p>
    <w:p w14:paraId="470E2D19">
      <w:pPr>
        <w:pStyle w:val="9"/>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p w14:paraId="1E5C424C">
      <w:pPr>
        <w:rPr>
          <w:highlight w:val="none"/>
        </w:rPr>
      </w:pPr>
    </w:p>
    <w:p w14:paraId="23FB8181">
      <w:pPr>
        <w:rPr>
          <w:highlight w:val="none"/>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5"/>
      <w:framePr w:wrap="around" w:vAnchor="text" w:hAnchor="margin" w:xAlign="center" w:yAlign="top"/>
      <w:pBdr>
        <w:between w:val="none" w:color="auto" w:sz="0" w:space="0"/>
      </w:pBdr>
    </w:pPr>
    <w:r>
      <w:fldChar w:fldCharType="begin"/>
    </w:r>
    <w:r>
      <w:rPr>
        <w:rStyle w:val="13"/>
      </w:rPr>
      <w:instrText xml:space="preserve"> PAGE  </w:instrText>
    </w:r>
    <w:r>
      <w:fldChar w:fldCharType="separate"/>
    </w:r>
    <w:r>
      <w:rPr>
        <w:rStyle w:val="13"/>
      </w:rPr>
      <w:t>- 3 -</w:t>
    </w:r>
    <w:r>
      <w:fldChar w:fldCharType="end"/>
    </w:r>
  </w:p>
  <w:p w14:paraId="23EDB66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5"/>
                          </w:pPr>
                          <w:r>
                            <w:fldChar w:fldCharType="begin"/>
                          </w:r>
                          <w:r>
                            <w:rPr>
                              <w:rStyle w:val="13"/>
                            </w:rPr>
                            <w:instrText xml:space="preserve"> PAGE  </w:instrText>
                          </w:r>
                          <w:r>
                            <w:fldChar w:fldCharType="separate"/>
                          </w:r>
                          <w:r>
                            <w:rPr>
                              <w:rStyle w:val="13"/>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5"/>
                    </w:pPr>
                    <w:r>
                      <w:fldChar w:fldCharType="begin"/>
                    </w:r>
                    <w:r>
                      <w:rPr>
                        <w:rStyle w:val="13"/>
                      </w:rPr>
                      <w:instrText xml:space="preserve"> PAGE  </w:instrText>
                    </w:r>
                    <w:r>
                      <w:fldChar w:fldCharType="separate"/>
                    </w:r>
                    <w:r>
                      <w:rPr>
                        <w:rStyle w:val="13"/>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7"/>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7"/>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6B47"/>
    <w:multiLevelType w:val="singleLevel"/>
    <w:tmpl w:val="968D6B47"/>
    <w:lvl w:ilvl="0" w:tentative="0">
      <w:start w:val="2"/>
      <w:numFmt w:val="decimal"/>
      <w:lvlText w:val="%1."/>
      <w:lvlJc w:val="left"/>
      <w:pPr>
        <w:tabs>
          <w:tab w:val="left" w:pos="312"/>
        </w:tabs>
      </w:pPr>
    </w:lvl>
  </w:abstractNum>
  <w:abstractNum w:abstractNumId="1">
    <w:nsid w:val="E76B116E"/>
    <w:multiLevelType w:val="singleLevel"/>
    <w:tmpl w:val="E76B116E"/>
    <w:lvl w:ilvl="0" w:tentative="0">
      <w:start w:val="1"/>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4">
    <w:nsid w:val="23FA2401"/>
    <w:multiLevelType w:val="singleLevel"/>
    <w:tmpl w:val="23FA2401"/>
    <w:lvl w:ilvl="0" w:tentative="0">
      <w:start w:val="17"/>
      <w:numFmt w:val="decimal"/>
      <w:suff w:val="nothing"/>
      <w:lvlText w:val="%1、"/>
      <w:lvlJc w:val="left"/>
    </w:lvl>
  </w:abstractNum>
  <w:abstractNum w:abstractNumId="5">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6">
    <w:nsid w:val="54F62922"/>
    <w:multiLevelType w:val="singleLevel"/>
    <w:tmpl w:val="54F62922"/>
    <w:lvl w:ilvl="0" w:tentative="0">
      <w:start w:val="1"/>
      <w:numFmt w:val="decimal"/>
      <w:lvlText w:val="%1."/>
      <w:lvlJc w:val="left"/>
      <w:pPr>
        <w:ind w:left="425" w:hanging="425"/>
      </w:pPr>
      <w:rPr>
        <w:rFonts w:hint="default"/>
      </w:rPr>
    </w:lvl>
  </w:abstractNum>
  <w:abstractNum w:abstractNumId="7">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8">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9">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0">
    <w:nsid w:val="65895542"/>
    <w:multiLevelType w:val="singleLevel"/>
    <w:tmpl w:val="65895542"/>
    <w:lvl w:ilvl="0" w:tentative="0">
      <w:start w:val="1"/>
      <w:numFmt w:val="decimal"/>
      <w:suff w:val="nothing"/>
      <w:lvlText w:val="%1．"/>
      <w:lvlJc w:val="left"/>
      <w:pPr>
        <w:ind w:left="0" w:firstLine="400"/>
      </w:pPr>
      <w:rPr>
        <w:rFonts w:hint="default"/>
      </w:rPr>
    </w:lvl>
  </w:abstractNum>
  <w:abstractNum w:abstractNumId="11">
    <w:nsid w:val="784F5223"/>
    <w:multiLevelType w:val="singleLevel"/>
    <w:tmpl w:val="784F5223"/>
    <w:lvl w:ilvl="0" w:tentative="0">
      <w:start w:val="1"/>
      <w:numFmt w:val="chineseCounting"/>
      <w:suff w:val="space"/>
      <w:lvlText w:val="第%1章"/>
      <w:lvlJc w:val="left"/>
      <w:rPr>
        <w:rFonts w:hint="eastAsia"/>
      </w:rPr>
    </w:lvl>
  </w:abstractNum>
  <w:num w:numId="1">
    <w:abstractNumId w:val="11"/>
  </w:num>
  <w:num w:numId="2">
    <w:abstractNumId w:val="9"/>
  </w:num>
  <w:num w:numId="3">
    <w:abstractNumId w:val="4"/>
  </w:num>
  <w:num w:numId="4">
    <w:abstractNumId w:val="7"/>
  </w:num>
  <w:num w:numId="5">
    <w:abstractNumId w:val="5"/>
  </w:num>
  <w:num w:numId="6">
    <w:abstractNumId w:val="1"/>
  </w:num>
  <w:num w:numId="7">
    <w:abstractNumId w:val="10"/>
  </w:num>
  <w:num w:numId="8">
    <w:abstractNumId w:val="2"/>
  </w:num>
  <w:num w:numId="9">
    <w:abstractNumId w:val="6"/>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1AB2"/>
    <w:rsid w:val="030C0B5C"/>
    <w:rsid w:val="09B83CCF"/>
    <w:rsid w:val="0DD80920"/>
    <w:rsid w:val="118F7657"/>
    <w:rsid w:val="144B666B"/>
    <w:rsid w:val="1BEA3211"/>
    <w:rsid w:val="28AF00DD"/>
    <w:rsid w:val="36A25084"/>
    <w:rsid w:val="3D1854D0"/>
    <w:rsid w:val="3F1A0FCD"/>
    <w:rsid w:val="45F60406"/>
    <w:rsid w:val="493E3221"/>
    <w:rsid w:val="4B754225"/>
    <w:rsid w:val="4BC230A1"/>
    <w:rsid w:val="5BB92AFD"/>
    <w:rsid w:val="62944560"/>
    <w:rsid w:val="6C2E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TOC Heading1"/>
    <w:next w:val="1"/>
    <w:qFormat/>
    <w:uiPriority w:val="0"/>
    <w:pPr>
      <w:wordWrap w:val="0"/>
    </w:pPr>
    <w:rPr>
      <w:rFonts w:ascii="Times New Roman" w:hAnsi="Times New Roman" w:eastAsia="宋体" w:cs="Times New Roman"/>
      <w:sz w:val="3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able of figures"/>
    <w:basedOn w:val="1"/>
    <w:next w:val="1"/>
    <w:unhideWhenUsed/>
    <w:qFormat/>
    <w:uiPriority w:val="99"/>
    <w:pPr>
      <w:ind w:left="200" w:leftChars="200" w:hanging="200" w:hangingChars="200"/>
    </w:pPr>
  </w:style>
  <w:style w:type="paragraph" w:styleId="10">
    <w:name w:val="Body Text First Indent"/>
    <w:basedOn w:val="3"/>
    <w:qFormat/>
    <w:uiPriority w:val="0"/>
    <w:pPr>
      <w:spacing w:after="120"/>
      <w:ind w:firstLine="420" w:firstLineChars="100"/>
    </w:pPr>
    <w:rPr>
      <w:sz w:val="21"/>
    </w:rPr>
  </w:style>
  <w:style w:type="character" w:styleId="13">
    <w:name w:val="page number"/>
    <w:qFormat/>
    <w:uiPriority w:val="0"/>
  </w:style>
  <w:style w:type="character" w:styleId="14">
    <w:name w:val="FollowedHyperlink"/>
    <w:qFormat/>
    <w:uiPriority w:val="0"/>
    <w:rPr>
      <w:color w:val="auto"/>
      <w:u w:val="none"/>
    </w:rPr>
  </w:style>
  <w:style w:type="paragraph" w:customStyle="1" w:styleId="15">
    <w:name w:val="普通文字"/>
    <w:basedOn w:val="1"/>
    <w:next w:val="1"/>
    <w:qFormat/>
    <w:uiPriority w:val="0"/>
    <w:rPr>
      <w:rFonts w:ascii="宋体"/>
      <w:kern w:val="0"/>
      <w:sz w:val="24"/>
      <w:u w:val="none" w:color="000000"/>
    </w:rPr>
  </w:style>
  <w:style w:type="paragraph" w:customStyle="1" w:styleId="16">
    <w:name w:val="首行缩进"/>
    <w:basedOn w:val="1"/>
    <w:qFormat/>
    <w:uiPriority w:val="0"/>
    <w:pPr>
      <w:ind w:firstLine="480"/>
      <w:jc w:val="left"/>
    </w:pPr>
    <w:rPr>
      <w:rFonts w:ascii="宋体" w:hAnsi="宋体" w:cs="Calibri"/>
      <w:szCs w:val="21"/>
    </w:rPr>
  </w:style>
  <w:style w:type="character" w:customStyle="1" w:styleId="17">
    <w:name w:val="NormalCharacter"/>
    <w:qFormat/>
    <w:uiPriority w:val="0"/>
    <w:rPr>
      <w:kern w:val="2"/>
      <w:sz w:val="21"/>
      <w:lang w:val="en-US" w:eastAsia="zh-CN" w:bidi="ar-SA"/>
    </w:rPr>
  </w:style>
  <w:style w:type="character" w:customStyle="1" w:styleId="18">
    <w:name w:val="font31"/>
    <w:basedOn w:val="12"/>
    <w:qFormat/>
    <w:uiPriority w:val="0"/>
    <w:rPr>
      <w:rFonts w:ascii="宋体" w:hAnsi="宋体" w:eastAsia="宋体" w:cs="宋体"/>
      <w:b/>
      <w:bCs/>
      <w:color w:val="000000"/>
      <w:sz w:val="20"/>
      <w:szCs w:val="20"/>
      <w:u w:val="none"/>
    </w:rPr>
  </w:style>
  <w:style w:type="character" w:customStyle="1" w:styleId="19">
    <w:name w:val="font41"/>
    <w:basedOn w:val="12"/>
    <w:qFormat/>
    <w:uiPriority w:val="0"/>
    <w:rPr>
      <w:rFonts w:ascii="宋体" w:hAnsi="宋体" w:eastAsia="宋体" w:cs="宋体"/>
      <w:color w:val="000000"/>
      <w:sz w:val="20"/>
      <w:szCs w:val="20"/>
      <w:u w:val="none"/>
    </w:rPr>
  </w:style>
  <w:style w:type="character" w:customStyle="1" w:styleId="20">
    <w:name w:val="font21"/>
    <w:basedOn w:val="12"/>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17961</Words>
  <Characters>18990</Characters>
  <Lines>0</Lines>
  <Paragraphs>0</Paragraphs>
  <TotalTime>0</TotalTime>
  <ScaleCrop>false</ScaleCrop>
  <LinksUpToDate>false</LinksUpToDate>
  <CharactersWithSpaces>20162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2025-11-09T14:16:00Z</dcterms:created>
  <dc:creator>沈凌烨</dc:creator>
  <cp:lastModifiedBy>鸿成-曹敏</cp:lastModifiedBy>
  <cp:lastPrinted>2025-12-16T14:03:00Z</cp:lastPrinted>
  <dcterms:modified xsi:type="dcterms:W3CDTF">2025-12-18T08:40:12Z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eyJoZGlkIjoiMmQ1YjMwMWFlNGExMWU5ODZhMDQ4YTg4NDQ4MjAwNjciLCJ1c2VySWQiOiIyNzU2NzM4MTgifQ==</vt:lpwstr>
  </property>
  <property fmtid="{D5CDD505-2E9C-101B-9397-08002B2CF9AE}" pid="4" name="ICV">
    <vt:lpwstr>ACBBE0EDBEDE4431BF678777196B940B_13</vt:lpwstr>
  </property>
</Properties>
</file>