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DCD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color w:val="auto"/>
          <w:sz w:val="36"/>
          <w:szCs w:val="36"/>
          <w:highlight w:val="none"/>
          <w:lang w:eastAsia="zh-CN"/>
        </w:rPr>
      </w:pPr>
      <w:r>
        <w:rPr>
          <w:rFonts w:hint="eastAsia" w:ascii="宋体" w:hAnsi="宋体"/>
          <w:b/>
          <w:bCs/>
          <w:color w:val="auto"/>
          <w:sz w:val="36"/>
          <w:szCs w:val="36"/>
          <w:highlight w:val="none"/>
          <w:lang w:eastAsia="zh-CN"/>
        </w:rPr>
        <w:t>太湖内源污染治理（太湖西岸宜兴近岸区域）2025-2026年度工程涉航技术评价采购服务项目</w:t>
      </w:r>
    </w:p>
    <w:p w14:paraId="57DE8233">
      <w:pPr>
        <w:jc w:val="center"/>
        <w:rPr>
          <w:rFonts w:hint="eastAsia" w:ascii="宋体" w:hAnsi="宋体"/>
          <w:b/>
          <w:bCs/>
          <w:color w:val="auto"/>
          <w:sz w:val="32"/>
          <w:szCs w:val="32"/>
          <w:highlight w:val="none"/>
        </w:rPr>
      </w:pPr>
    </w:p>
    <w:p w14:paraId="6E5F9732">
      <w:pPr>
        <w:jc w:val="center"/>
        <w:rPr>
          <w:rFonts w:hint="eastAsia" w:ascii="黑体" w:hAnsi="黑体" w:eastAsia="黑体"/>
          <w:b/>
          <w:bCs/>
          <w:color w:val="auto"/>
          <w:sz w:val="96"/>
          <w:szCs w:val="96"/>
          <w:highlight w:val="none"/>
        </w:rPr>
      </w:pPr>
    </w:p>
    <w:p w14:paraId="6E187BD3">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D219A28">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63ED3D5">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3C8721CD">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3203AF84">
      <w:pPr>
        <w:rPr>
          <w:rFonts w:hint="eastAsia" w:ascii="宋体" w:hAnsi="宋体"/>
          <w:b/>
          <w:bCs/>
          <w:color w:val="auto"/>
          <w:sz w:val="28"/>
          <w:szCs w:val="28"/>
          <w:highlight w:val="none"/>
        </w:rPr>
      </w:pPr>
    </w:p>
    <w:p w14:paraId="7C0DCDF5">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YXGYJT202511021</w:t>
      </w:r>
    </w:p>
    <w:p w14:paraId="28385D4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0D85AD1E">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太湖内源污染治理（太湖西岸宜兴近岸区域）2025-2026年度工程涉航技术评价采购服务项目</w:t>
      </w:r>
    </w:p>
    <w:p w14:paraId="2D7325C8">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5FF490AB">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eastAsia="zh-CN"/>
        </w:rPr>
        <w:t>十</w:t>
      </w:r>
      <w:r>
        <w:rPr>
          <w:rFonts w:hint="eastAsia" w:ascii="宋体" w:hAnsi="宋体"/>
          <w:color w:val="auto"/>
          <w:sz w:val="32"/>
          <w:highlight w:val="none"/>
          <w:lang w:val="en-US" w:eastAsia="zh-CN"/>
        </w:rPr>
        <w:t>二</w:t>
      </w:r>
      <w:r>
        <w:rPr>
          <w:rFonts w:hint="eastAsia" w:ascii="宋体" w:hAnsi="宋体"/>
          <w:color w:val="auto"/>
          <w:sz w:val="32"/>
          <w:highlight w:val="none"/>
        </w:rPr>
        <w:t>月</w:t>
      </w:r>
    </w:p>
    <w:p w14:paraId="25B7B1E5">
      <w:pPr>
        <w:rPr>
          <w:rStyle w:val="14"/>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638EC73B">
      <w:pPr>
        <w:jc w:val="center"/>
        <w:rPr>
          <w:rStyle w:val="14"/>
          <w:rFonts w:eastAsia="黑体"/>
          <w:bCs/>
          <w:color w:val="auto"/>
          <w:sz w:val="48"/>
          <w:highlight w:val="none"/>
        </w:rPr>
      </w:pPr>
      <w:r>
        <w:rPr>
          <w:rStyle w:val="14"/>
          <w:rFonts w:hint="eastAsia" w:eastAsia="黑体"/>
          <w:bCs/>
          <w:color w:val="auto"/>
          <w:sz w:val="48"/>
          <w:highlight w:val="none"/>
        </w:rPr>
        <w:t>目     录</w:t>
      </w:r>
    </w:p>
    <w:p w14:paraId="38AC4BAF">
      <w:pPr>
        <w:jc w:val="center"/>
        <w:rPr>
          <w:rFonts w:ascii="黑体" w:eastAsia="黑体"/>
          <w:bCs/>
          <w:color w:val="auto"/>
          <w:sz w:val="30"/>
          <w:highlight w:val="none"/>
        </w:rPr>
      </w:pPr>
    </w:p>
    <w:p w14:paraId="3F27CC39">
      <w:pPr>
        <w:jc w:val="center"/>
        <w:rPr>
          <w:rFonts w:ascii="黑体" w:eastAsia="黑体"/>
          <w:bCs/>
          <w:color w:val="auto"/>
          <w:sz w:val="30"/>
          <w:highlight w:val="none"/>
        </w:rPr>
      </w:pPr>
    </w:p>
    <w:p w14:paraId="0E256AC3">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p>
    <w:p w14:paraId="1C4D4883">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p>
    <w:p w14:paraId="6ED9D568">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p>
    <w:p w14:paraId="5A66B0C2">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p>
    <w:p w14:paraId="15ECB6F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p>
    <w:p w14:paraId="367B6750">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19C119D2">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2A284EBE">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3D4971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太湖内源污染治理（太湖西岸宜兴近岸区域）2025-2026年度工程涉航技术评价采购服务项目</w:t>
      </w:r>
      <w:r>
        <w:rPr>
          <w:rFonts w:hint="eastAsia" w:ascii="宋体" w:hAnsi="宋体"/>
          <w:bCs/>
          <w:color w:val="auto"/>
          <w:sz w:val="24"/>
          <w:szCs w:val="24"/>
          <w:highlight w:val="none"/>
        </w:rPr>
        <w:t>进行公开招标，欢迎你单位参加投标并提请注意下列附表中的相关事项：</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632F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6B088D2">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4B6C5918">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03AE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B339C2D">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2C0DDBD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26280CC3">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：YXGYJT202511021</w:t>
            </w:r>
          </w:p>
          <w:p w14:paraId="2146BD69">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采购代理机构：江苏鸿成工程项目管理有限公司 </w:t>
            </w:r>
          </w:p>
          <w:p w14:paraId="6E441CD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太湖内源污染治理（太湖西岸宜兴近岸区域）2025-2026年度工程涉航技术评价采购服务项目</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2CE7BE7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w:t>
            </w:r>
            <w:r>
              <w:rPr>
                <w:rFonts w:hint="eastAsia" w:ascii="宋体" w:hAnsi="宋体"/>
                <w:bCs/>
                <w:color w:val="auto"/>
                <w:sz w:val="24"/>
                <w:szCs w:val="24"/>
                <w:highlight w:val="none"/>
              </w:rPr>
              <w:t xml:space="preserve">（代理）                                   </w:t>
            </w:r>
          </w:p>
          <w:p w14:paraId="46AA575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2145A30C">
            <w:pPr>
              <w:snapToGrid w:val="0"/>
              <w:spacing w:line="400" w:lineRule="exact"/>
              <w:jc w:val="left"/>
              <w:rPr>
                <w:rFonts w:hint="eastAsia" w:ascii="宋体" w:hAnsi="宋体"/>
                <w:bCs/>
                <w:color w:val="auto"/>
                <w:sz w:val="24"/>
                <w:szCs w:val="24"/>
                <w:highlight w:val="none"/>
              </w:rPr>
            </w:pPr>
            <w:r>
              <w:rPr>
                <w:rFonts w:ascii="宋体" w:hAnsi="宋体"/>
                <w:bCs/>
                <w:color w:val="auto"/>
                <w:sz w:val="24"/>
                <w:szCs w:val="24"/>
                <w:highlight w:val="none"/>
              </w:rPr>
              <w:t>本项目预算</w:t>
            </w:r>
            <w:r>
              <w:rPr>
                <w:rFonts w:hint="eastAsia" w:ascii="宋体" w:hAnsi="宋体"/>
                <w:bCs/>
                <w:color w:val="auto"/>
                <w:sz w:val="24"/>
                <w:szCs w:val="24"/>
                <w:highlight w:val="none"/>
              </w:rPr>
              <w:t>及最高限价</w:t>
            </w:r>
            <w:r>
              <w:rPr>
                <w:rFonts w:ascii="宋体" w:hAnsi="宋体"/>
                <w:bCs/>
                <w:color w:val="auto"/>
                <w:sz w:val="24"/>
                <w:szCs w:val="24"/>
                <w:highlight w:val="none"/>
              </w:rPr>
              <w:t>为：</w:t>
            </w:r>
            <w:r>
              <w:rPr>
                <w:rFonts w:hint="eastAsia" w:ascii="宋体" w:hAnsi="宋体"/>
                <w:bCs/>
                <w:color w:val="auto"/>
                <w:sz w:val="24"/>
                <w:szCs w:val="24"/>
                <w:highlight w:val="none"/>
                <w:lang w:val="en-US" w:eastAsia="zh-CN"/>
              </w:rPr>
              <w:t>38</w:t>
            </w:r>
            <w:r>
              <w:rPr>
                <w:rFonts w:hint="eastAsia" w:ascii="宋体" w:hAnsi="宋体"/>
                <w:bCs/>
                <w:color w:val="auto"/>
                <w:sz w:val="24"/>
                <w:szCs w:val="24"/>
                <w:highlight w:val="none"/>
              </w:rPr>
              <w:t>万元</w:t>
            </w:r>
            <w:r>
              <w:rPr>
                <w:rFonts w:hint="eastAsia" w:ascii="宋体" w:hAnsi="宋体"/>
                <w:bCs/>
                <w:color w:val="auto"/>
                <w:sz w:val="24"/>
                <w:szCs w:val="24"/>
                <w:highlight w:val="none"/>
                <w:lang w:eastAsia="zh-CN"/>
              </w:rPr>
              <w:t>；</w:t>
            </w:r>
          </w:p>
        </w:tc>
      </w:tr>
      <w:tr w14:paraId="2DB1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154F4D71">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039420D">
            <w:pPr>
              <w:pStyle w:val="15"/>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76C9A266">
            <w:pPr>
              <w:snapToGrid w:val="0"/>
              <w:spacing w:line="400" w:lineRule="exact"/>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2.1投标人参加本次采购活动应具备下列资格条件：</w:t>
            </w:r>
          </w:p>
          <w:p w14:paraId="072C9E2F">
            <w:pPr>
              <w:snapToGrid w:val="0"/>
              <w:spacing w:line="400" w:lineRule="exact"/>
              <w:rPr>
                <w:rFonts w:hint="eastAsia" w:ascii="宋体" w:hAnsi="宋体" w:cs="Times New Roman"/>
                <w:bCs/>
                <w:color w:val="auto"/>
                <w:sz w:val="24"/>
                <w:szCs w:val="24"/>
                <w:highlight w:val="none"/>
                <w:lang w:val="zh-CN"/>
              </w:rPr>
            </w:pPr>
            <w:r>
              <w:rPr>
                <w:rFonts w:hint="eastAsia" w:ascii="宋体" w:hAnsi="宋体" w:cs="Times New Roman"/>
                <w:bCs/>
                <w:color w:val="auto"/>
                <w:sz w:val="24"/>
                <w:szCs w:val="24"/>
                <w:highlight w:val="none"/>
                <w:lang w:val="zh-CN"/>
              </w:rPr>
              <w:t>①具有独立承担民事责任的能力；</w:t>
            </w:r>
          </w:p>
          <w:p w14:paraId="3625FE18">
            <w:pPr>
              <w:snapToGrid w:val="0"/>
              <w:spacing w:line="400" w:lineRule="exact"/>
              <w:rPr>
                <w:rFonts w:hint="eastAsia" w:ascii="宋体" w:hAnsi="宋体" w:cs="Times New Roman"/>
                <w:bCs/>
                <w:color w:val="auto"/>
                <w:sz w:val="24"/>
                <w:szCs w:val="24"/>
                <w:highlight w:val="none"/>
                <w:lang w:val="zh-CN"/>
              </w:rPr>
            </w:pPr>
            <w:r>
              <w:rPr>
                <w:rFonts w:hint="eastAsia" w:ascii="宋体" w:hAnsi="宋体" w:cs="Times New Roman"/>
                <w:bCs/>
                <w:color w:val="auto"/>
                <w:sz w:val="24"/>
                <w:szCs w:val="24"/>
                <w:highlight w:val="none"/>
                <w:lang w:val="zh-CN"/>
              </w:rPr>
              <w:t>②具有良好的商业信誉和健全的财务会计制度；</w:t>
            </w:r>
          </w:p>
          <w:p w14:paraId="5702B387">
            <w:pPr>
              <w:snapToGrid w:val="0"/>
              <w:spacing w:line="400" w:lineRule="exact"/>
              <w:rPr>
                <w:rFonts w:hint="eastAsia" w:ascii="宋体" w:hAnsi="宋体" w:cs="Times New Roman"/>
                <w:bCs/>
                <w:color w:val="auto"/>
                <w:sz w:val="24"/>
                <w:szCs w:val="24"/>
                <w:highlight w:val="none"/>
                <w:lang w:val="zh-CN"/>
              </w:rPr>
            </w:pPr>
            <w:r>
              <w:rPr>
                <w:rFonts w:hint="eastAsia" w:ascii="宋体" w:hAnsi="宋体" w:cs="Times New Roman"/>
                <w:bCs/>
                <w:color w:val="auto"/>
                <w:sz w:val="24"/>
                <w:szCs w:val="24"/>
                <w:highlight w:val="none"/>
                <w:lang w:val="zh-CN"/>
              </w:rPr>
              <w:t>③有依法缴纳税收和社会保障资金的良好记录；</w:t>
            </w:r>
          </w:p>
          <w:p w14:paraId="6A8A7550">
            <w:pPr>
              <w:snapToGrid w:val="0"/>
              <w:spacing w:line="400" w:lineRule="exact"/>
              <w:rPr>
                <w:rFonts w:hint="eastAsia" w:ascii="宋体" w:hAnsi="宋体" w:cs="Times New Roman"/>
                <w:bCs/>
                <w:color w:val="auto"/>
                <w:sz w:val="24"/>
                <w:szCs w:val="24"/>
                <w:highlight w:val="none"/>
                <w:lang w:val="zh-CN"/>
              </w:rPr>
            </w:pPr>
            <w:r>
              <w:rPr>
                <w:rFonts w:hint="eastAsia" w:ascii="宋体" w:hAnsi="宋体" w:cs="Times New Roman"/>
                <w:bCs/>
                <w:color w:val="auto"/>
                <w:sz w:val="24"/>
                <w:szCs w:val="24"/>
                <w:highlight w:val="none"/>
                <w:lang w:val="zh-CN"/>
              </w:rPr>
              <w:t>④具有履行合同所必需的设备和专业技术能力；</w:t>
            </w:r>
          </w:p>
          <w:p w14:paraId="395C4735">
            <w:pPr>
              <w:snapToGrid w:val="0"/>
              <w:spacing w:line="400" w:lineRule="exact"/>
              <w:rPr>
                <w:rFonts w:hint="eastAsia" w:ascii="宋体" w:hAnsi="宋体" w:cs="Times New Roman"/>
                <w:bCs/>
                <w:color w:val="auto"/>
                <w:sz w:val="24"/>
                <w:szCs w:val="24"/>
                <w:highlight w:val="none"/>
                <w:lang w:val="zh-CN"/>
              </w:rPr>
            </w:pPr>
            <w:r>
              <w:rPr>
                <w:rFonts w:hint="eastAsia" w:ascii="宋体" w:hAnsi="宋体" w:cs="Times New Roman"/>
                <w:bCs/>
                <w:color w:val="auto"/>
                <w:sz w:val="24"/>
                <w:szCs w:val="24"/>
                <w:highlight w:val="none"/>
                <w:lang w:val="zh-CN"/>
              </w:rPr>
              <w:t>⑤不接受联合体，不接受中标后分包；</w:t>
            </w:r>
          </w:p>
          <w:p w14:paraId="16B1E6D5">
            <w:pPr>
              <w:snapToGrid w:val="0"/>
              <w:spacing w:line="400" w:lineRule="exact"/>
              <w:rPr>
                <w:rFonts w:hint="eastAsia" w:ascii="宋体" w:hAnsi="宋体" w:cs="Times New Roman"/>
                <w:bCs/>
                <w:color w:val="auto"/>
                <w:sz w:val="24"/>
                <w:szCs w:val="24"/>
                <w:highlight w:val="none"/>
                <w:lang w:val="zh-CN"/>
              </w:rPr>
            </w:pPr>
            <w:r>
              <w:rPr>
                <w:rFonts w:hint="eastAsia" w:ascii="宋体" w:hAnsi="宋体" w:cs="Times New Roman"/>
                <w:bCs/>
                <w:color w:val="auto"/>
                <w:sz w:val="24"/>
                <w:szCs w:val="24"/>
                <w:highlight w:val="none"/>
                <w:lang w:val="zh-CN"/>
              </w:rPr>
              <w:t>⑥良好的信用记录；投标截止时间之前，未被“信用中国”网站、“中国政府采购网”网站列入失信</w:t>
            </w:r>
            <w:r>
              <w:rPr>
                <w:rFonts w:hint="eastAsia" w:ascii="宋体" w:hAnsi="宋体" w:cs="Times New Roman"/>
                <w:bCs/>
                <w:color w:val="auto"/>
                <w:sz w:val="24"/>
                <w:szCs w:val="24"/>
                <w:highlight w:val="none"/>
                <w:lang w:val="en-US" w:eastAsia="zh-CN"/>
              </w:rPr>
              <w:t>被</w:t>
            </w:r>
            <w:r>
              <w:rPr>
                <w:rFonts w:hint="eastAsia" w:ascii="宋体" w:hAnsi="宋体" w:cs="Times New Roman"/>
                <w:bCs/>
                <w:color w:val="auto"/>
                <w:sz w:val="24"/>
                <w:szCs w:val="24"/>
                <w:highlight w:val="none"/>
                <w:lang w:val="zh-CN"/>
              </w:rPr>
              <w:t>执行人、重大税收违法</w:t>
            </w:r>
            <w:r>
              <w:rPr>
                <w:rFonts w:hint="eastAsia" w:ascii="宋体" w:hAnsi="宋体" w:cs="Times New Roman"/>
                <w:bCs/>
                <w:color w:val="auto"/>
                <w:sz w:val="24"/>
                <w:szCs w:val="24"/>
                <w:highlight w:val="none"/>
                <w:lang w:val="en-US" w:eastAsia="zh-CN"/>
              </w:rPr>
              <w:t>失信主体</w:t>
            </w:r>
            <w:r>
              <w:rPr>
                <w:rFonts w:hint="eastAsia" w:ascii="宋体" w:hAnsi="宋体" w:cs="Times New Roman"/>
                <w:bCs/>
                <w:color w:val="auto"/>
                <w:sz w:val="24"/>
                <w:szCs w:val="24"/>
                <w:highlight w:val="none"/>
                <w:lang w:val="zh-CN"/>
              </w:rPr>
              <w:t>名单、政府采购严重违法失信行为记录名单；</w:t>
            </w:r>
          </w:p>
          <w:p w14:paraId="7F688217">
            <w:pPr>
              <w:snapToGrid w:val="0"/>
              <w:spacing w:line="400" w:lineRule="exact"/>
              <w:rPr>
                <w:rFonts w:hint="eastAsia" w:ascii="宋体" w:hAnsi="宋体" w:cs="Times New Roman"/>
                <w:bCs/>
                <w:color w:val="auto"/>
                <w:sz w:val="24"/>
                <w:szCs w:val="24"/>
                <w:highlight w:val="none"/>
                <w:lang w:val="zh-CN"/>
              </w:rPr>
            </w:pPr>
            <w:r>
              <w:rPr>
                <w:rFonts w:hint="eastAsia" w:ascii="宋体" w:hAnsi="宋体" w:cs="Times New Roman"/>
                <w:bCs/>
                <w:color w:val="auto"/>
                <w:sz w:val="24"/>
                <w:szCs w:val="24"/>
                <w:highlight w:val="none"/>
                <w:lang w:val="zh-CN"/>
              </w:rPr>
              <w:t>⑦投标人应具有类似项目涉航技术评价相关业绩；（开标时提供合同原件）</w:t>
            </w:r>
          </w:p>
          <w:p w14:paraId="0F62C0E1">
            <w:pPr>
              <w:snapToGrid w:val="0"/>
              <w:spacing w:line="400" w:lineRule="exact"/>
              <w:rPr>
                <w:rFonts w:hint="eastAsia"/>
                <w:highlight w:val="none"/>
                <w:lang w:val="zh-CN"/>
              </w:rPr>
            </w:pPr>
            <w:r>
              <w:rPr>
                <w:rFonts w:hint="eastAsia" w:ascii="宋体" w:hAnsi="宋体" w:cs="Times New Roman"/>
                <w:bCs/>
                <w:color w:val="auto"/>
                <w:sz w:val="24"/>
                <w:szCs w:val="24"/>
                <w:highlight w:val="none"/>
                <w:lang w:val="en-US" w:eastAsia="zh-CN"/>
              </w:rPr>
              <w:t>⑧</w:t>
            </w:r>
            <w:r>
              <w:rPr>
                <w:rFonts w:hint="eastAsia" w:ascii="宋体" w:hAnsi="宋体" w:cs="Times New Roman"/>
                <w:bCs/>
                <w:color w:val="auto"/>
                <w:sz w:val="24"/>
                <w:szCs w:val="24"/>
                <w:highlight w:val="none"/>
                <w:lang w:val="zh-CN"/>
              </w:rPr>
              <w:t>投标人应在全国投资项目在线审批监管平台备案（备案专业水运（含港口河海工程））；或具有工程咨询协会颁发的乙级及以上资信证书，业务范围包含水运（含港口河海工程）；</w:t>
            </w:r>
          </w:p>
        </w:tc>
      </w:tr>
      <w:tr w14:paraId="2E2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2522E298">
            <w:pPr>
              <w:snapToGrid w:val="0"/>
              <w:spacing w:line="400" w:lineRule="exact"/>
              <w:rPr>
                <w:color w:val="auto"/>
                <w:highlight w:val="none"/>
              </w:rPr>
            </w:pPr>
          </w:p>
        </w:tc>
        <w:tc>
          <w:tcPr>
            <w:tcW w:w="516" w:type="dxa"/>
            <w:vMerge w:val="continue"/>
            <w:noWrap w:val="0"/>
            <w:vAlign w:val="top"/>
          </w:tcPr>
          <w:p w14:paraId="20D138AD">
            <w:pPr>
              <w:snapToGrid w:val="0"/>
              <w:spacing w:line="400" w:lineRule="exact"/>
              <w:rPr>
                <w:color w:val="auto"/>
                <w:highlight w:val="none"/>
              </w:rPr>
            </w:pPr>
          </w:p>
        </w:tc>
        <w:tc>
          <w:tcPr>
            <w:tcW w:w="7682" w:type="dxa"/>
            <w:gridSpan w:val="3"/>
            <w:noWrap w:val="0"/>
            <w:vAlign w:val="top"/>
          </w:tcPr>
          <w:p w14:paraId="56420BB7">
            <w:pPr>
              <w:pStyle w:val="15"/>
              <w:ind w:left="240" w:hanging="240" w:hangingChars="100"/>
              <w:jc w:val="left"/>
              <w:rPr>
                <w:rFonts w:hint="eastAsia" w:hAnsi="宋体" w:cs="宋体"/>
                <w:color w:val="auto"/>
                <w:szCs w:val="24"/>
                <w:highlight w:val="none"/>
              </w:rPr>
            </w:pPr>
            <w:r>
              <w:rPr>
                <w:rFonts w:hint="eastAsia" w:hAnsi="宋体" w:cs="宋体"/>
                <w:color w:val="auto"/>
                <w:szCs w:val="24"/>
                <w:highlight w:val="none"/>
              </w:rPr>
              <w:t>2.2</w:t>
            </w:r>
            <w:r>
              <w:rPr>
                <w:rFonts w:hint="eastAsia" w:hAnsi="宋体" w:cs="宋体"/>
                <w:color w:val="auto"/>
                <w:szCs w:val="24"/>
                <w:highlight w:val="none"/>
                <w:lang w:val="zh-CN"/>
              </w:rPr>
              <w:t>投标保证金：</w:t>
            </w:r>
            <w:r>
              <w:rPr>
                <w:rFonts w:hint="eastAsia" w:hAnsi="宋体" w:cs="宋体"/>
                <w:color w:val="auto"/>
                <w:szCs w:val="24"/>
                <w:highlight w:val="none"/>
              </w:rPr>
              <w:t>采购人根据项目的实际情况，要求投标人</w:t>
            </w:r>
            <w:r>
              <w:rPr>
                <w:rFonts w:hint="eastAsia" w:hAnsi="宋体" w:cs="宋体"/>
                <w:color w:val="auto"/>
                <w:szCs w:val="24"/>
                <w:highlight w:val="none"/>
              </w:rPr>
              <w:t>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12月4</w:t>
            </w:r>
            <w:r>
              <w:rPr>
                <w:rFonts w:hint="eastAsia" w:hAnsi="宋体" w:cs="宋体"/>
                <w:color w:val="auto"/>
                <w:szCs w:val="24"/>
                <w:highlight w:val="none"/>
              </w:rPr>
              <w:t>日至202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12</w:t>
            </w:r>
            <w:r>
              <w:rPr>
                <w:rFonts w:hint="eastAsia" w:hAnsi="宋体" w:cs="宋体"/>
                <w:color w:val="auto"/>
                <w:szCs w:val="24"/>
                <w:highlight w:val="none"/>
              </w:rPr>
              <w:t>月</w:t>
            </w:r>
            <w:r>
              <w:rPr>
                <w:rFonts w:hint="eastAsia" w:hAnsi="宋体" w:cs="宋体"/>
                <w:color w:val="auto"/>
                <w:szCs w:val="24"/>
                <w:highlight w:val="none"/>
                <w:lang w:val="en-US" w:eastAsia="zh-CN"/>
              </w:rPr>
              <w:t>12</w:t>
            </w:r>
            <w:r>
              <w:rPr>
                <w:rFonts w:hint="eastAsia" w:hAnsi="宋体" w:cs="宋体"/>
                <w:color w:val="auto"/>
                <w:szCs w:val="24"/>
                <w:highlight w:val="none"/>
              </w:rPr>
              <w:t>日</w:t>
            </w:r>
            <w:r>
              <w:rPr>
                <w:rFonts w:hint="eastAsia" w:hAnsi="宋体" w:cs="宋体"/>
                <w:color w:val="auto"/>
                <w:szCs w:val="24"/>
                <w:highlight w:val="none"/>
                <w:lang w:val="en-US" w:eastAsia="zh-CN"/>
              </w:rPr>
              <w:t>上</w:t>
            </w:r>
            <w:r>
              <w:rPr>
                <w:rFonts w:hint="eastAsia" w:hAnsi="宋体" w:cs="宋体"/>
                <w:color w:val="auto"/>
                <w:szCs w:val="24"/>
                <w:highlight w:val="none"/>
              </w:rPr>
              <w:t>午</w:t>
            </w:r>
            <w:r>
              <w:rPr>
                <w:rFonts w:hint="eastAsia" w:hAnsi="宋体" w:cs="宋体"/>
                <w:color w:val="auto"/>
                <w:szCs w:val="24"/>
                <w:highlight w:val="none"/>
                <w:lang w:val="en-US" w:eastAsia="zh-CN"/>
              </w:rPr>
              <w:t>8:50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金柒仟</w:t>
            </w:r>
            <w:r>
              <w:rPr>
                <w:rFonts w:hint="eastAsia" w:hAnsi="宋体" w:cs="宋体"/>
                <w:color w:val="auto"/>
                <w:szCs w:val="24"/>
                <w:highlight w:val="none"/>
              </w:rPr>
              <w:t>元</w:t>
            </w:r>
            <w:r>
              <w:rPr>
                <w:rFonts w:hint="eastAsia" w:hAnsi="宋体" w:cs="宋体"/>
                <w:color w:val="auto"/>
                <w:szCs w:val="24"/>
                <w:highlight w:val="none"/>
              </w:rPr>
              <w:t>人民币。交纳投标保证金的单位名称必须与参加投标的投标人名称一致：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94"/>
              <w:gridCol w:w="903"/>
              <w:gridCol w:w="2221"/>
            </w:tblGrid>
            <w:tr w14:paraId="532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420" w:type="dxa"/>
                  <w:noWrap w:val="0"/>
                  <w:vAlign w:val="center"/>
                </w:tcPr>
                <w:p w14:paraId="626F9731">
                  <w:pPr>
                    <w:jc w:val="center"/>
                    <w:rPr>
                      <w:rFonts w:hAnsi="宋体"/>
                      <w:bCs/>
                      <w:color w:val="auto"/>
                      <w:szCs w:val="21"/>
                      <w:highlight w:val="none"/>
                      <w:lang w:val="zh-CN"/>
                    </w:rPr>
                  </w:pPr>
                  <w:r>
                    <w:rPr>
                      <w:rFonts w:hint="eastAsia"/>
                      <w:color w:val="auto"/>
                      <w:szCs w:val="21"/>
                      <w:highlight w:val="none"/>
                    </w:rPr>
                    <w:t>交纳投标保证金账户名称</w:t>
                  </w:r>
                </w:p>
              </w:tc>
              <w:tc>
                <w:tcPr>
                  <w:tcW w:w="2794" w:type="dxa"/>
                  <w:noWrap w:val="0"/>
                  <w:vAlign w:val="center"/>
                </w:tcPr>
                <w:p w14:paraId="1E3155E1">
                  <w:pPr>
                    <w:jc w:val="center"/>
                    <w:rPr>
                      <w:rFonts w:hint="eastAsia" w:hAnsi="宋体"/>
                      <w:bCs/>
                      <w:color w:val="auto"/>
                      <w:szCs w:val="21"/>
                      <w:highlight w:val="none"/>
                      <w:lang w:val="zh-CN"/>
                    </w:rPr>
                  </w:pPr>
                  <w:r>
                    <w:rPr>
                      <w:rFonts w:hint="eastAsia"/>
                      <w:color w:val="auto"/>
                      <w:sz w:val="22"/>
                      <w:szCs w:val="18"/>
                      <w:highlight w:val="none"/>
                    </w:rPr>
                    <w:t>宜兴市公用环保集团有限公司</w:t>
                  </w:r>
                </w:p>
              </w:tc>
              <w:tc>
                <w:tcPr>
                  <w:tcW w:w="903" w:type="dxa"/>
                  <w:vMerge w:val="restart"/>
                  <w:noWrap w:val="0"/>
                  <w:vAlign w:val="center"/>
                </w:tcPr>
                <w:p w14:paraId="163811F1">
                  <w:pPr>
                    <w:jc w:val="center"/>
                    <w:rPr>
                      <w:rFonts w:hAnsi="宋体"/>
                      <w:bCs/>
                      <w:color w:val="auto"/>
                      <w:szCs w:val="21"/>
                      <w:highlight w:val="none"/>
                      <w:lang w:val="zh-CN"/>
                    </w:rPr>
                  </w:pPr>
                  <w:r>
                    <w:rPr>
                      <w:rFonts w:hint="eastAsia" w:hAnsi="宋体"/>
                      <w:bCs/>
                      <w:color w:val="auto"/>
                      <w:szCs w:val="21"/>
                      <w:highlight w:val="none"/>
                      <w:lang w:val="zh-CN"/>
                    </w:rPr>
                    <w:t>交纳</w:t>
                  </w:r>
                </w:p>
                <w:p w14:paraId="09234B92">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221" w:type="dxa"/>
                  <w:vMerge w:val="restart"/>
                  <w:noWrap w:val="0"/>
                  <w:vAlign w:val="center"/>
                </w:tcPr>
                <w:p w14:paraId="53E1E9FC">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0B0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noWrap w:val="0"/>
                  <w:vAlign w:val="center"/>
                </w:tcPr>
                <w:p w14:paraId="1ACB5499">
                  <w:pPr>
                    <w:jc w:val="center"/>
                    <w:rPr>
                      <w:color w:val="auto"/>
                      <w:szCs w:val="21"/>
                      <w:highlight w:val="none"/>
                    </w:rPr>
                  </w:pPr>
                  <w:r>
                    <w:rPr>
                      <w:rFonts w:hint="eastAsia" w:hAnsi="宋体"/>
                      <w:bCs/>
                      <w:color w:val="auto"/>
                      <w:szCs w:val="21"/>
                      <w:highlight w:val="none"/>
                      <w:lang w:val="zh-CN"/>
                    </w:rPr>
                    <w:t>开户银行</w:t>
                  </w:r>
                </w:p>
              </w:tc>
              <w:tc>
                <w:tcPr>
                  <w:tcW w:w="2794" w:type="dxa"/>
                  <w:noWrap w:val="0"/>
                  <w:vAlign w:val="center"/>
                </w:tcPr>
                <w:p w14:paraId="4C85514A">
                  <w:pPr>
                    <w:jc w:val="center"/>
                    <w:rPr>
                      <w:rFonts w:ascii="宋体" w:hAnsi="宋体"/>
                      <w:bCs/>
                      <w:color w:val="auto"/>
                      <w:sz w:val="24"/>
                      <w:szCs w:val="21"/>
                      <w:highlight w:val="none"/>
                    </w:rPr>
                  </w:pPr>
                  <w:r>
                    <w:rPr>
                      <w:rFonts w:hint="eastAsia"/>
                      <w:color w:val="auto"/>
                      <w:highlight w:val="none"/>
                    </w:rPr>
                    <w:t>光大银行宜兴支行</w:t>
                  </w:r>
                </w:p>
              </w:tc>
              <w:tc>
                <w:tcPr>
                  <w:tcW w:w="903" w:type="dxa"/>
                  <w:vMerge w:val="continue"/>
                  <w:noWrap w:val="0"/>
                  <w:vAlign w:val="center"/>
                </w:tcPr>
                <w:p w14:paraId="1E7EADFE">
                  <w:pPr>
                    <w:jc w:val="center"/>
                    <w:rPr>
                      <w:rFonts w:hAnsi="宋体"/>
                      <w:bCs/>
                      <w:color w:val="auto"/>
                      <w:szCs w:val="21"/>
                      <w:highlight w:val="none"/>
                      <w:lang w:val="zh-CN"/>
                    </w:rPr>
                  </w:pPr>
                </w:p>
              </w:tc>
              <w:tc>
                <w:tcPr>
                  <w:tcW w:w="2221" w:type="dxa"/>
                  <w:vMerge w:val="continue"/>
                  <w:noWrap w:val="0"/>
                  <w:vAlign w:val="center"/>
                </w:tcPr>
                <w:p w14:paraId="6B715F7F">
                  <w:pPr>
                    <w:jc w:val="center"/>
                    <w:rPr>
                      <w:color w:val="auto"/>
                      <w:szCs w:val="21"/>
                      <w:highlight w:val="none"/>
                    </w:rPr>
                  </w:pPr>
                </w:p>
              </w:tc>
            </w:tr>
            <w:tr w14:paraId="114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20" w:type="dxa"/>
                  <w:noWrap w:val="0"/>
                  <w:vAlign w:val="center"/>
                </w:tcPr>
                <w:p w14:paraId="606A7F75">
                  <w:pPr>
                    <w:jc w:val="center"/>
                    <w:rPr>
                      <w:color w:val="auto"/>
                      <w:szCs w:val="21"/>
                      <w:highlight w:val="none"/>
                    </w:rPr>
                  </w:pPr>
                  <w:r>
                    <w:rPr>
                      <w:rFonts w:hint="eastAsia" w:hAnsi="宋体"/>
                      <w:bCs/>
                      <w:color w:val="auto"/>
                      <w:szCs w:val="21"/>
                      <w:highlight w:val="none"/>
                      <w:lang w:val="zh-CN"/>
                    </w:rPr>
                    <w:t>账号</w:t>
                  </w:r>
                </w:p>
              </w:tc>
              <w:tc>
                <w:tcPr>
                  <w:tcW w:w="2794" w:type="dxa"/>
                  <w:noWrap w:val="0"/>
                  <w:vAlign w:val="center"/>
                </w:tcPr>
                <w:p w14:paraId="103FC5E2">
                  <w:pPr>
                    <w:jc w:val="center"/>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51610188000320979</w:t>
                  </w:r>
                </w:p>
              </w:tc>
              <w:tc>
                <w:tcPr>
                  <w:tcW w:w="903" w:type="dxa"/>
                  <w:vMerge w:val="continue"/>
                  <w:noWrap w:val="0"/>
                  <w:vAlign w:val="center"/>
                </w:tcPr>
                <w:p w14:paraId="70F75B1A">
                  <w:pPr>
                    <w:jc w:val="center"/>
                    <w:rPr>
                      <w:rFonts w:hAnsi="宋体"/>
                      <w:bCs/>
                      <w:color w:val="auto"/>
                      <w:szCs w:val="21"/>
                      <w:highlight w:val="none"/>
                      <w:lang w:val="zh-CN"/>
                    </w:rPr>
                  </w:pPr>
                </w:p>
              </w:tc>
              <w:tc>
                <w:tcPr>
                  <w:tcW w:w="2221" w:type="dxa"/>
                  <w:vMerge w:val="continue"/>
                  <w:noWrap w:val="0"/>
                  <w:vAlign w:val="center"/>
                </w:tcPr>
                <w:p w14:paraId="7896C9EC">
                  <w:pPr>
                    <w:jc w:val="center"/>
                    <w:rPr>
                      <w:color w:val="auto"/>
                      <w:szCs w:val="21"/>
                      <w:highlight w:val="none"/>
                    </w:rPr>
                  </w:pPr>
                </w:p>
              </w:tc>
            </w:tr>
          </w:tbl>
          <w:p w14:paraId="58372D62">
            <w:pPr>
              <w:snapToGrid w:val="0"/>
              <w:spacing w:line="400" w:lineRule="exact"/>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6FF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4C9FFA29">
            <w:pPr>
              <w:snapToGrid w:val="0"/>
              <w:spacing w:line="400" w:lineRule="exact"/>
              <w:rPr>
                <w:color w:val="auto"/>
                <w:highlight w:val="none"/>
              </w:rPr>
            </w:pPr>
          </w:p>
        </w:tc>
        <w:tc>
          <w:tcPr>
            <w:tcW w:w="516" w:type="dxa"/>
            <w:vMerge w:val="continue"/>
            <w:noWrap w:val="0"/>
            <w:vAlign w:val="top"/>
          </w:tcPr>
          <w:p w14:paraId="72D1D289">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1B1A0F34">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2.3拒绝下述供应商参加本次采购活动：</w:t>
            </w:r>
          </w:p>
          <w:p w14:paraId="2A1B9B63">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①</w:t>
            </w:r>
            <w:r>
              <w:rPr>
                <w:rFonts w:hint="eastAsia" w:ascii="宋体"/>
                <w:color w:val="auto"/>
                <w:kern w:val="0"/>
                <w:sz w:val="24"/>
                <w:highlight w:val="none"/>
                <w:u w:val="none" w:color="000000"/>
              </w:rPr>
              <w:t>供应商单位</w:t>
            </w:r>
            <w:r>
              <w:rPr>
                <w:rFonts w:hint="eastAsia" w:ascii="宋体"/>
                <w:color w:val="auto"/>
                <w:kern w:val="0"/>
                <w:sz w:val="24"/>
                <w:highlight w:val="none"/>
                <w:u w:val="none" w:color="000000"/>
                <w:lang w:val="zh-CN"/>
              </w:rPr>
              <w:t>负责人为同一人或者存在直接控股、管理关系的不同供应商，不得参加同一合同项下的采购活动，否则相关投标将被认定为无效投标；</w:t>
            </w:r>
          </w:p>
          <w:p w14:paraId="1FF065DC">
            <w:pPr>
              <w:pStyle w:val="4"/>
              <w:ind w:left="0" w:leftChars="0"/>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②凡为采购项目提供整体设计、规范编制或者项目管理、监理、检测等服务的供应商，不得再参加本项目的采购活动，否则其投标将被认定为无效投标。</w:t>
            </w:r>
          </w:p>
        </w:tc>
      </w:tr>
      <w:bookmarkEnd w:id="5"/>
      <w:tr w14:paraId="122B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36BF133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7C37606B">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1F83ED9">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32E0D720">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292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1FA6AFE8">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B996B45">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详见采购公告</w:t>
            </w:r>
          </w:p>
          <w:p w14:paraId="14DC5C7B">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4D81DB7C">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投标地点及开标地点：宜兴市公用环保集团有限公司二楼开标室</w:t>
            </w:r>
          </w:p>
        </w:tc>
      </w:tr>
      <w:tr w14:paraId="38A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022DB381">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42C6">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7865DDD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1CC6A474">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01453AE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rPr>
              <w:t>刘先生</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梁先生</w:t>
            </w:r>
          </w:p>
          <w:p w14:paraId="257F2D9F">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rPr>
              <w:t>0510-80718867</w:t>
            </w:r>
            <w:r>
              <w:rPr>
                <w:rFonts w:hint="eastAsia" w:ascii="宋体" w:hAnsi="宋体"/>
                <w:color w:val="auto"/>
                <w:sz w:val="24"/>
                <w:szCs w:val="28"/>
                <w:highlight w:val="none"/>
                <w:lang w:eastAsia="zh-CN"/>
              </w:rPr>
              <w:t>、</w:t>
            </w:r>
            <w:r>
              <w:rPr>
                <w:rFonts w:hint="eastAsia" w:ascii="宋体" w:hAnsi="宋体"/>
                <w:color w:val="auto"/>
                <w:sz w:val="24"/>
                <w:szCs w:val="28"/>
                <w:highlight w:val="none"/>
              </w:rPr>
              <w:t>0510-80718</w:t>
            </w:r>
            <w:r>
              <w:rPr>
                <w:rFonts w:hint="eastAsia" w:ascii="宋体" w:hAnsi="宋体"/>
                <w:color w:val="auto"/>
                <w:sz w:val="24"/>
                <w:szCs w:val="28"/>
                <w:highlight w:val="none"/>
                <w:lang w:val="en-US" w:eastAsia="zh-CN"/>
              </w:rPr>
              <w:t>723</w:t>
            </w:r>
          </w:p>
          <w:p w14:paraId="0FD1E66A">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4C4A21E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7E8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4AE78E3B">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C09C7D3">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125DE3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133C3640">
            <w:pPr>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 xml:space="preserve">朱先生   </w:t>
            </w:r>
          </w:p>
          <w:p w14:paraId="6BD3B099">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sz w:val="24"/>
                <w:szCs w:val="24"/>
                <w:highlight w:val="none"/>
                <w:lang w:val="en-US" w:eastAsia="zh-CN"/>
              </w:rPr>
              <w:t>15396870200</w:t>
            </w:r>
            <w:r>
              <w:rPr>
                <w:rFonts w:hint="eastAsia" w:ascii="宋体" w:hAnsi="宋体"/>
                <w:bCs/>
                <w:color w:val="auto"/>
                <w:sz w:val="24"/>
                <w:szCs w:val="24"/>
                <w:highlight w:val="none"/>
                <w:lang w:val="en-US" w:eastAsia="zh-CN"/>
              </w:rPr>
              <w:t xml:space="preserve"> </w:t>
            </w:r>
          </w:p>
          <w:p w14:paraId="5ADF1319">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6DBE114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3D02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68DF4D7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7A41C5C1">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6B3047FD">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1069E1C8">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2944EEB8">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00F9A949">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059CA867">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030673CD">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1D9D49E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74D5255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E9A036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4600C62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12720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05AA2DF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0F49353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6EAECED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ED2F1D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816C0F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199F158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在递交投标文件时收取</w:t>
      </w:r>
      <w:r>
        <w:rPr>
          <w:rFonts w:hint="eastAsia" w:ascii="宋体" w:hAnsi="宋体"/>
          <w:bCs/>
          <w:color w:val="auto"/>
          <w:sz w:val="24"/>
          <w:szCs w:val="24"/>
          <w:highlight w:val="none"/>
        </w:rPr>
        <w:t>。</w:t>
      </w:r>
    </w:p>
    <w:p w14:paraId="4013CE1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2.4本项目招标代理服务费</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评审费</w:t>
      </w:r>
      <w:r>
        <w:rPr>
          <w:rFonts w:hint="eastAsia" w:ascii="宋体" w:hAnsi="宋体"/>
          <w:b/>
          <w:color w:val="auto"/>
          <w:sz w:val="24"/>
          <w:szCs w:val="24"/>
          <w:highlight w:val="none"/>
        </w:rPr>
        <w:t>由中标供应商支付</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招标代理服务费收费标准按</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中标金额*1.5%</w:t>
      </w:r>
      <w:r>
        <w:rPr>
          <w:rFonts w:hint="eastAsia" w:ascii="宋体" w:hAnsi="宋体"/>
          <w:b/>
          <w:color w:val="auto"/>
          <w:sz w:val="24"/>
          <w:szCs w:val="24"/>
          <w:highlight w:val="none"/>
        </w:rPr>
        <w:t>计取。评审费收费标准: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7FAF2B3">
      <w:pPr>
        <w:pStyle w:val="9"/>
        <w:rPr>
          <w:rFonts w:hint="default" w:eastAsia="宋体"/>
          <w:highlight w:val="none"/>
          <w:lang w:val="en-US" w:eastAsia="zh-CN"/>
        </w:rPr>
      </w:pPr>
      <w:r>
        <w:rPr>
          <w:rFonts w:hint="eastAsia" w:ascii="宋体" w:hAnsi="宋体"/>
          <w:b/>
          <w:color w:val="auto"/>
          <w:sz w:val="24"/>
          <w:szCs w:val="24"/>
          <w:highlight w:val="none"/>
          <w:lang w:val="en-US" w:eastAsia="zh-CN"/>
        </w:rPr>
        <w:t xml:space="preserve"> </w:t>
      </w:r>
      <w:r>
        <w:rPr>
          <w:rFonts w:hint="eastAsia" w:ascii="宋体" w:hAnsi="宋体"/>
          <w:b/>
          <w:color w:val="0000FF"/>
          <w:sz w:val="24"/>
          <w:szCs w:val="24"/>
          <w:highlight w:val="none"/>
          <w:lang w:val="en-US" w:eastAsia="zh-CN"/>
        </w:rPr>
        <w:t xml:space="preserve"> 2.5上述两项费用均由成交供应商在领取中标通知书时一次性付清，供应商必须将该部分费用考虑在报价内。</w:t>
      </w:r>
    </w:p>
    <w:p w14:paraId="2CDC9F6D">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612B4F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21E9B3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1A45D1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12637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551FDA2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19AE8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573A50C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525EA94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109"/>
      <w:bookmarkStart w:id="10" w:name="OLE_LINK28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07209D7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77F23038">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12A98665">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614CD2D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05A462B9">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242097D2">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0496869">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76B0CF70">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2330427C">
      <w:pPr>
        <w:tabs>
          <w:tab w:val="left" w:pos="0"/>
          <w:tab w:val="left" w:pos="255"/>
        </w:tabs>
        <w:spacing w:line="360" w:lineRule="auto"/>
        <w:ind w:firstLine="480" w:firstLineChars="200"/>
        <w:rPr>
          <w:rFonts w:hint="eastAsia"/>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2.2明细报价</w:t>
      </w:r>
      <w:r>
        <w:rPr>
          <w:rFonts w:hint="eastAsia" w:ascii="宋体" w:hAnsi="宋体"/>
          <w:color w:val="auto"/>
          <w:sz w:val="24"/>
          <w:szCs w:val="24"/>
          <w:highlight w:val="none"/>
          <w:lang w:val="zh-CN"/>
        </w:rPr>
        <w:t>表</w:t>
      </w:r>
      <w:r>
        <w:rPr>
          <w:rFonts w:hint="eastAsia" w:ascii="宋体" w:hAnsi="宋体"/>
          <w:color w:val="auto"/>
          <w:sz w:val="24"/>
          <w:szCs w:val="21"/>
          <w:highlight w:val="none"/>
          <w:lang w:val="zh-CN"/>
        </w:rPr>
        <w:t>；</w:t>
      </w:r>
    </w:p>
    <w:p w14:paraId="5B16CA19">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46E00EE0">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32131DBA">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639F856E">
      <w:pPr>
        <w:pStyle w:val="15"/>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234F790B">
      <w:pPr>
        <w:pStyle w:val="15"/>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6969AC51">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170EAA7F">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126DC74B">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5DF15038">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AAE37BC">
      <w:pPr>
        <w:tabs>
          <w:tab w:val="left" w:pos="0"/>
          <w:tab w:val="left" w:pos="255"/>
        </w:tabs>
        <w:spacing w:line="360" w:lineRule="auto"/>
        <w:ind w:firstLine="480" w:firstLineChars="200"/>
        <w:rPr>
          <w:rFonts w:hint="eastAsia" w:ascii="宋体" w:hAnsi="宋体" w:cs="Times New Roman"/>
          <w:color w:val="auto"/>
          <w:sz w:val="24"/>
          <w:szCs w:val="21"/>
          <w:highlight w:val="none"/>
        </w:rPr>
      </w:pPr>
      <w:r>
        <w:rPr>
          <w:rFonts w:hint="eastAsia" w:ascii="宋体" w:hAnsi="宋体" w:cs="Times New Roman"/>
          <w:color w:val="auto"/>
          <w:sz w:val="24"/>
          <w:szCs w:val="21"/>
          <w:highlight w:val="none"/>
        </w:rPr>
        <w:t>7.</w:t>
      </w:r>
      <w:r>
        <w:rPr>
          <w:rFonts w:hint="eastAsia" w:ascii="宋体" w:hAnsi="宋体" w:cs="Times New Roman"/>
          <w:color w:val="auto"/>
          <w:sz w:val="24"/>
          <w:szCs w:val="21"/>
          <w:highlight w:val="none"/>
          <w:lang w:val="en-US" w:eastAsia="zh-CN"/>
        </w:rPr>
        <w:t>3</w:t>
      </w:r>
      <w:r>
        <w:rPr>
          <w:rFonts w:hint="eastAsia" w:ascii="宋体" w:hAnsi="宋体" w:cs="Times New Roman"/>
          <w:color w:val="auto"/>
          <w:sz w:val="24"/>
          <w:szCs w:val="21"/>
          <w:highlight w:val="none"/>
        </w:rPr>
        <w:t>.9良好的信用记录：</w:t>
      </w:r>
      <w:r>
        <w:rPr>
          <w:rFonts w:hint="eastAsia" w:ascii="宋体" w:hAnsi="宋体" w:cs="Times New Roman"/>
          <w:color w:val="auto"/>
          <w:sz w:val="24"/>
          <w:szCs w:val="21"/>
          <w:highlight w:val="none"/>
          <w:lang w:val="zh-CN"/>
        </w:rPr>
        <w:t>投标截止时间之前，未被“信用中国”网站、“中国政府采购网”网站列入失信</w:t>
      </w:r>
      <w:r>
        <w:rPr>
          <w:rFonts w:hint="eastAsia" w:ascii="宋体" w:hAnsi="宋体" w:cs="Times New Roman"/>
          <w:color w:val="auto"/>
          <w:sz w:val="24"/>
          <w:szCs w:val="21"/>
          <w:highlight w:val="none"/>
          <w:lang w:val="en-US" w:eastAsia="zh-CN"/>
        </w:rPr>
        <w:t>被</w:t>
      </w:r>
      <w:r>
        <w:rPr>
          <w:rFonts w:hint="eastAsia" w:ascii="宋体" w:hAnsi="宋体" w:cs="Times New Roman"/>
          <w:color w:val="auto"/>
          <w:sz w:val="24"/>
          <w:szCs w:val="21"/>
          <w:highlight w:val="none"/>
          <w:lang w:val="zh-CN"/>
        </w:rPr>
        <w:t>执行人、重大税收违法</w:t>
      </w:r>
      <w:r>
        <w:rPr>
          <w:rFonts w:hint="eastAsia" w:ascii="宋体" w:hAnsi="宋体" w:cs="Times New Roman"/>
          <w:color w:val="auto"/>
          <w:sz w:val="24"/>
          <w:szCs w:val="21"/>
          <w:highlight w:val="none"/>
          <w:lang w:val="en-US" w:eastAsia="zh-CN"/>
        </w:rPr>
        <w:t>失信主体</w:t>
      </w:r>
      <w:r>
        <w:rPr>
          <w:rFonts w:hint="eastAsia" w:ascii="宋体" w:hAnsi="宋体" w:cs="Times New Roman"/>
          <w:color w:val="auto"/>
          <w:sz w:val="24"/>
          <w:szCs w:val="21"/>
          <w:highlight w:val="none"/>
          <w:lang w:val="zh-CN"/>
        </w:rPr>
        <w:t>名单、政府采购严重违法失信行为记录名单；</w:t>
      </w:r>
      <w:r>
        <w:rPr>
          <w:rFonts w:hint="eastAsia" w:ascii="宋体" w:hAnsi="宋体" w:cs="Times New Roman"/>
          <w:color w:val="auto"/>
          <w:sz w:val="24"/>
          <w:szCs w:val="21"/>
          <w:highlight w:val="none"/>
        </w:rPr>
        <w:t>（若投标人企业信息已录入以上网站的，无需提供相关证明材料；若投标人企业信息未录入以上网站的，须在投标文件中提供无不良信用记录承诺书）</w:t>
      </w:r>
    </w:p>
    <w:p w14:paraId="4C1BEDDB">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7.3.10</w:t>
      </w:r>
      <w:r>
        <w:rPr>
          <w:rFonts w:hint="eastAsia" w:ascii="宋体" w:hAnsi="宋体" w:eastAsia="宋体" w:cs="宋体"/>
          <w:color w:val="auto"/>
          <w:sz w:val="24"/>
          <w:szCs w:val="24"/>
          <w:highlight w:val="none"/>
          <w:lang w:val="zh-CN"/>
        </w:rPr>
        <w:t>投标人应具有类似项目涉航技术评价相关业绩</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lang w:val="zh-CN"/>
        </w:rPr>
        <w:t>；</w:t>
      </w:r>
      <w:r>
        <w:rPr>
          <w:rFonts w:hint="eastAsia" w:ascii="宋体" w:hAnsi="宋体" w:eastAsia="宋体" w:cs="宋体"/>
          <w:b/>
          <w:bCs/>
          <w:color w:val="auto"/>
          <w:sz w:val="24"/>
          <w:szCs w:val="24"/>
          <w:highlight w:val="none"/>
          <w:lang w:val="zh-CN"/>
        </w:rPr>
        <w:t>（开标时提供</w:t>
      </w:r>
      <w:r>
        <w:rPr>
          <w:rFonts w:hint="eastAsia" w:ascii="宋体" w:hAnsi="宋体" w:cs="宋体"/>
          <w:b/>
          <w:bCs/>
          <w:color w:val="auto"/>
          <w:sz w:val="24"/>
          <w:szCs w:val="24"/>
          <w:highlight w:val="none"/>
          <w:lang w:val="en-US" w:eastAsia="zh-CN"/>
        </w:rPr>
        <w:t>合同</w:t>
      </w:r>
      <w:r>
        <w:rPr>
          <w:rFonts w:hint="eastAsia" w:ascii="宋体" w:hAnsi="宋体" w:eastAsia="宋体" w:cs="宋体"/>
          <w:b/>
          <w:bCs/>
          <w:color w:val="auto"/>
          <w:sz w:val="24"/>
          <w:szCs w:val="24"/>
          <w:highlight w:val="none"/>
          <w:lang w:val="zh-CN"/>
        </w:rPr>
        <w:t>原件）</w:t>
      </w:r>
    </w:p>
    <w:p w14:paraId="382CA64E">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7.3.11</w:t>
      </w:r>
      <w:r>
        <w:rPr>
          <w:rFonts w:hint="eastAsia" w:ascii="宋体" w:hAnsi="宋体" w:eastAsia="宋体" w:cs="宋体"/>
          <w:color w:val="auto"/>
          <w:sz w:val="24"/>
          <w:szCs w:val="24"/>
          <w:highlight w:val="none"/>
          <w:lang w:val="zh-CN"/>
        </w:rPr>
        <w:t>投标人应在全国投资项目在线审批监管平台备案（备案专业水运（含港口河海工程））；或具有工程咨询协会颁发的乙级及以上资信证书</w:t>
      </w:r>
      <w:r>
        <w:rPr>
          <w:rFonts w:hint="eastAsia" w:ascii="宋体" w:hAnsi="宋体" w:eastAsia="宋体" w:cs="宋体"/>
          <w:color w:val="auto"/>
          <w:sz w:val="24"/>
          <w:szCs w:val="24"/>
          <w:highlight w:val="none"/>
          <w:lang w:val="zh-CN"/>
        </w:rPr>
        <w:t>复印件</w:t>
      </w:r>
      <w:r>
        <w:rPr>
          <w:rFonts w:hint="eastAsia" w:ascii="宋体" w:hAnsi="宋体" w:eastAsia="宋体" w:cs="宋体"/>
          <w:color w:val="auto"/>
          <w:sz w:val="24"/>
          <w:szCs w:val="24"/>
          <w:highlight w:val="none"/>
          <w:lang w:val="zh-CN"/>
        </w:rPr>
        <w:t>，业务范围包含水运（含港口河海工程）；</w:t>
      </w:r>
      <w:r>
        <w:rPr>
          <w:rFonts w:hint="eastAsia" w:ascii="宋体" w:hAnsi="宋体" w:eastAsia="宋体" w:cs="宋体"/>
          <w:b/>
          <w:bCs/>
          <w:color w:val="auto"/>
          <w:sz w:val="24"/>
          <w:szCs w:val="24"/>
          <w:highlight w:val="none"/>
          <w:lang w:val="zh-CN"/>
        </w:rPr>
        <w:t>（开标时提供平台备案截图或资信证书原件）</w:t>
      </w:r>
    </w:p>
    <w:p w14:paraId="06B5935D">
      <w:pPr>
        <w:tabs>
          <w:tab w:val="left" w:pos="420"/>
          <w:tab w:val="left" w:pos="945"/>
          <w:tab w:val="left" w:pos="1155"/>
        </w:tabs>
        <w:spacing w:line="360" w:lineRule="auto"/>
        <w:ind w:firstLine="480" w:firstLineChars="2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6ED1783">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120BDC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8ACFD85">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bookmarkEnd w:id="16"/>
    <w:bookmarkEnd w:id="17"/>
    <w:bookmarkEnd w:id="18"/>
    <w:bookmarkEnd w:id="19"/>
    <w:p w14:paraId="33C57D35">
      <w:pPr>
        <w:tabs>
          <w:tab w:val="left" w:pos="0"/>
          <w:tab w:val="left" w:pos="255"/>
        </w:tabs>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7技术参数及相关要求偏离表</w:t>
      </w:r>
    </w:p>
    <w:p w14:paraId="5F2095D0">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7.8</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AA59AEC">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要求采购人提供的配合（如有自拟并自行添加）</w:t>
      </w:r>
    </w:p>
    <w:p w14:paraId="72AB9DF4">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p w14:paraId="144868E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7</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4720F7C4">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2248"/>
      <w:bookmarkStart w:id="32" w:name="_Toc23231"/>
      <w:bookmarkStart w:id="33" w:name="_Toc19624"/>
      <w:bookmarkStart w:id="34" w:name="_Toc515647770"/>
      <w:bookmarkStart w:id="35" w:name="_Toc520356155"/>
      <w:r>
        <w:rPr>
          <w:rFonts w:hint="eastAsia" w:ascii="宋体" w:hAnsi="宋体"/>
          <w:b/>
          <w:color w:val="auto"/>
          <w:sz w:val="24"/>
          <w:szCs w:val="24"/>
          <w:highlight w:val="none"/>
        </w:rPr>
        <w:t>投标报价</w:t>
      </w:r>
      <w:bookmarkEnd w:id="31"/>
      <w:bookmarkEnd w:id="32"/>
      <w:bookmarkEnd w:id="33"/>
      <w:bookmarkEnd w:id="34"/>
      <w:bookmarkEnd w:id="35"/>
    </w:p>
    <w:bookmarkEnd w:id="30"/>
    <w:p w14:paraId="3A264D08">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4B3A457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74E8EC4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4547DE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2838BF9D">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27B29D9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1AE62B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16EF428F">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38F0564B">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0C055569">
      <w:pPr>
        <w:pStyle w:val="16"/>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6CFE56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3AFE66C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7D6DDF9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6414DB5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5BDA884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92741C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4D66CB1D">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9D858C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485A16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380ABA8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246D23A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3625AD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5573B2B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C6996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7FCA3076">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40141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5DAF7E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406273D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10FD774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2666B97">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D50D8B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7B46B9DE">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3C5483B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6B74695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7A0B1BC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3D42AC78">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0A3F49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5EC38388">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4003C01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228F775">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69A5FFB2">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6592558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7585721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1878B34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p>
    <w:p w14:paraId="3EC779E0">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6CF934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258E2354">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4FF9BDF5">
      <w:pPr>
        <w:numPr>
          <w:ilvl w:val="0"/>
          <w:numId w:val="2"/>
        </w:numPr>
        <w:spacing w:line="360" w:lineRule="auto"/>
        <w:ind w:firstLine="354" w:firstLineChars="147"/>
        <w:rPr>
          <w:rFonts w:hint="eastAsia" w:ascii="宋体" w:hAnsi="宋体" w:cs="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6CC0DC0E">
      <w:pPr>
        <w:numPr>
          <w:ilvl w:val="0"/>
          <w:numId w:val="3"/>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D043B9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547614E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1B50EF8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2D9AB32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0702BF4C">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005451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3141DCA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0B3B671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0D696F9B">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38CEA5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23A598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2AFC174">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577763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0B97E2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12248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1F28A4E5">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2A876E3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65548A2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17A7C723">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56074A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6DEC8374">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55A44B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5450180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68D23F81">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10752810">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1A7FFA61">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1A74446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5240A545">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D08F7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16FCC63C">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24696B0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428298B7">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46A2DF22">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75759D1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34FB0AE3">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094B823B">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20.6</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119C8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0F731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评审过程中出现下列情形之一的，评标委员会应当启动异常低价投标（响应）审查程序：</w:t>
      </w:r>
    </w:p>
    <w:p w14:paraId="5683CEA5">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①投标（响应）报价低于采购项目预算50%的，即投标（响应）报价&lt;采购项目预算×50%；</w:t>
      </w:r>
    </w:p>
    <w:p w14:paraId="18A97D8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②投标（响应）报价低于采购项目最高限价45%的，即投标（响应）报价&lt;采购项目最高限价×45%；</w:t>
      </w:r>
    </w:p>
    <w:p w14:paraId="123F0466">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③评标委员会认定的供应商报价过低、有可能影响产品质量或者不能诚信履约的其他情形。</w:t>
      </w:r>
    </w:p>
    <w:p w14:paraId="436DF30F">
      <w:pPr>
        <w:spacing w:line="360" w:lineRule="auto"/>
        <w:ind w:firstLine="480" w:firstLineChars="200"/>
        <w:rPr>
          <w:rFonts w:hint="eastAsia" w:ascii="宋体" w:hAnsi="宋体"/>
          <w:bCs/>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933491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w:t>
      </w:r>
      <w:r>
        <w:rPr>
          <w:rFonts w:hint="eastAsia" w:ascii="宋体" w:hAnsi="宋体"/>
          <w:bCs/>
          <w:color w:val="auto"/>
          <w:sz w:val="24"/>
          <w:highlight w:val="none"/>
          <w:lang w:val="en-US" w:eastAsia="zh-CN"/>
        </w:rPr>
        <w:t>7</w:t>
      </w:r>
      <w:r>
        <w:rPr>
          <w:rFonts w:hint="eastAsia" w:ascii="宋体" w:hAnsi="宋体"/>
          <w:bCs/>
          <w:color w:val="auto"/>
          <w:sz w:val="24"/>
          <w:highlight w:val="none"/>
        </w:rPr>
        <w:t xml:space="preserve">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4E46135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w:t>
      </w:r>
      <w:r>
        <w:rPr>
          <w:rFonts w:hint="eastAsia" w:ascii="宋体" w:hAnsi="宋体"/>
          <w:bCs/>
          <w:color w:val="auto"/>
          <w:sz w:val="24"/>
          <w:highlight w:val="none"/>
          <w:lang w:val="en-US" w:eastAsia="zh-CN"/>
        </w:rPr>
        <w:t>8</w:t>
      </w:r>
      <w:r>
        <w:rPr>
          <w:rFonts w:hint="eastAsia" w:ascii="宋体" w:hAnsi="宋体"/>
          <w:bCs/>
          <w:color w:val="auto"/>
          <w:sz w:val="24"/>
          <w:highlight w:val="none"/>
        </w:rPr>
        <w:t xml:space="preserve">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4EDA9BE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0C20556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418D2BC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5B2BF88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7FB7294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449EC2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2965EE1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39B44FD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5667B06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3886A92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3B5DB4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074229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1931D70">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7C1F48A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5FF5A3E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zh-CN"/>
        </w:rPr>
        <w:t>联系办理退还事宜。</w:t>
      </w:r>
    </w:p>
    <w:p w14:paraId="1AD5A1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767C47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652F3DB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EAC165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69B7579F">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15721D6E">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3DD9C2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55B64FA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518D7A8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D3B81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中标供应商应于中标通知书发出之日起30日内，按照招标文件确定的事项与采购人签订采购合同；</w:t>
      </w:r>
    </w:p>
    <w:p w14:paraId="77CCCC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1CEDF3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3F8141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E4CB19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33ED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1766" w:type="dxa"/>
            <w:noWrap w:val="0"/>
            <w:vAlign w:val="center"/>
          </w:tcPr>
          <w:p w14:paraId="7E1F14B2">
            <w:pPr>
              <w:spacing w:line="360" w:lineRule="auto"/>
              <w:jc w:val="center"/>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260" w:type="dxa"/>
            <w:noWrap w:val="0"/>
            <w:vAlign w:val="center"/>
          </w:tcPr>
          <w:p w14:paraId="37A5D9C2">
            <w:pPr>
              <w:jc w:val="center"/>
              <w:rPr>
                <w:rFonts w:hint="eastAsia" w:ascii="Times New Roman" w:hAnsi="Times New Roman" w:eastAsia="宋体" w:cs="Times New Roman"/>
                <w:color w:val="auto"/>
                <w:szCs w:val="21"/>
                <w:highlight w:val="none"/>
                <w:lang w:val="zh-CN" w:eastAsia="zh-CN"/>
              </w:rPr>
            </w:pPr>
            <w:r>
              <w:rPr>
                <w:rFonts w:hint="eastAsia" w:hAnsi="宋体" w:cs="Times New Roman"/>
                <w:bCs/>
                <w:color w:val="auto"/>
                <w:szCs w:val="21"/>
                <w:highlight w:val="none"/>
                <w:lang w:val="en-US" w:eastAsia="zh-CN"/>
              </w:rPr>
              <w:t>江苏宜公投蓝藻资源开发有限公司</w:t>
            </w:r>
          </w:p>
        </w:tc>
        <w:tc>
          <w:tcPr>
            <w:tcW w:w="1134" w:type="dxa"/>
            <w:vMerge w:val="restart"/>
            <w:noWrap w:val="0"/>
            <w:vAlign w:val="center"/>
          </w:tcPr>
          <w:p w14:paraId="1BA49BEA">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46AF4F2F">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50428BFA">
            <w:pPr>
              <w:spacing w:line="360" w:lineRule="auto"/>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009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9DE57C9">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1244B273">
            <w:pPr>
              <w:jc w:val="center"/>
              <w:rPr>
                <w:rFonts w:hint="eastAsia" w:hAnsi="宋体" w:cs="Times New Roman"/>
                <w:bCs/>
                <w:color w:val="auto"/>
                <w:szCs w:val="21"/>
                <w:highlight w:val="none"/>
                <w:lang w:val="zh-CN" w:eastAsia="zh-CN"/>
              </w:rPr>
            </w:pPr>
            <w:r>
              <w:rPr>
                <w:rFonts w:hint="eastAsia" w:hAnsi="宋体" w:cs="Times New Roman"/>
                <w:bCs/>
                <w:color w:val="auto"/>
                <w:szCs w:val="21"/>
                <w:highlight w:val="none"/>
                <w:lang w:val="en-US" w:eastAsia="zh-CN"/>
              </w:rPr>
              <w:t>中国银行宜兴周铁支行</w:t>
            </w:r>
          </w:p>
        </w:tc>
        <w:tc>
          <w:tcPr>
            <w:tcW w:w="1134" w:type="dxa"/>
            <w:vMerge w:val="continue"/>
            <w:noWrap w:val="0"/>
            <w:vAlign w:val="center"/>
          </w:tcPr>
          <w:p w14:paraId="58C4C528">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21657C9A">
            <w:pPr>
              <w:spacing w:line="360" w:lineRule="auto"/>
              <w:jc w:val="center"/>
              <w:rPr>
                <w:rFonts w:hint="eastAsia" w:ascii="宋体" w:hAnsi="宋体"/>
                <w:bCs/>
                <w:color w:val="auto"/>
                <w:szCs w:val="21"/>
                <w:highlight w:val="none"/>
                <w:lang w:val="zh-CN"/>
              </w:rPr>
            </w:pPr>
          </w:p>
        </w:tc>
      </w:tr>
      <w:tr w14:paraId="335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4CEEA911">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5DA2070B">
            <w:pPr>
              <w:jc w:val="center"/>
              <w:rPr>
                <w:rFonts w:hint="eastAsia" w:hAnsi="宋体" w:cs="Times New Roman"/>
                <w:bCs/>
                <w:color w:val="auto"/>
                <w:szCs w:val="21"/>
                <w:highlight w:val="none"/>
                <w:lang w:val="zh-CN" w:eastAsia="zh-CN"/>
              </w:rPr>
            </w:pPr>
            <w:r>
              <w:rPr>
                <w:rFonts w:hint="eastAsia" w:hAnsi="宋体" w:cs="Times New Roman"/>
                <w:bCs/>
                <w:color w:val="auto"/>
                <w:szCs w:val="21"/>
                <w:highlight w:val="none"/>
                <w:lang w:val="en-US" w:eastAsia="zh-CN"/>
              </w:rPr>
              <w:t>519674450517</w:t>
            </w:r>
          </w:p>
        </w:tc>
        <w:tc>
          <w:tcPr>
            <w:tcW w:w="1134" w:type="dxa"/>
            <w:vMerge w:val="continue"/>
            <w:noWrap w:val="0"/>
            <w:vAlign w:val="center"/>
          </w:tcPr>
          <w:p w14:paraId="52FB40B0">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0DA1EAAF">
            <w:pPr>
              <w:spacing w:line="360" w:lineRule="auto"/>
              <w:jc w:val="center"/>
              <w:rPr>
                <w:rFonts w:hint="eastAsia" w:ascii="宋体" w:hAnsi="宋体"/>
                <w:bCs/>
                <w:color w:val="auto"/>
                <w:szCs w:val="21"/>
                <w:highlight w:val="none"/>
                <w:lang w:val="zh-CN"/>
              </w:rPr>
            </w:pPr>
          </w:p>
        </w:tc>
      </w:tr>
      <w:bookmarkEnd w:id="65"/>
    </w:tbl>
    <w:p w14:paraId="460931C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299F4D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rPr>
        <w:t>宜兴市公用环保集团有限公司及其所有下属子公司的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6244970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469E7A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48553712">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39643F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6328082F">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71AD89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432852C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18C6D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FD1F14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733EC1A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0E24720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4D4FC40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79FF358">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3248DBB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2C6BA4E2">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6D75D31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15800F7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3BF6699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463A9E6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F7E83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32A18C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34FD73CE">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2C4B12D9">
      <w:pPr>
        <w:spacing w:line="360" w:lineRule="auto"/>
        <w:ind w:firstLine="480" w:firstLineChars="200"/>
        <w:jc w:val="left"/>
        <w:rPr>
          <w:rFonts w:hint="eastAsia" w:ascii="宋体" w:hAnsi="宋体" w:eastAsia="宋体" w:cs="Times New Roman"/>
          <w:color w:val="auto"/>
          <w:sz w:val="24"/>
          <w:szCs w:val="24"/>
          <w:highlight w:val="none"/>
          <w:lang w:eastAsia="zh-CN"/>
        </w:rPr>
        <w:sectPr>
          <w:headerReference r:id="rId5" w:type="default"/>
          <w:footerReference r:id="rId6" w:type="default"/>
          <w:pgSz w:w="11906" w:h="16838"/>
          <w:pgMar w:top="1417" w:right="1701" w:bottom="1417" w:left="1701" w:header="851" w:footer="992" w:gutter="0"/>
          <w:cols w:space="720" w:num="1"/>
          <w:docGrid w:type="lines" w:linePitch="312" w:charSpace="0"/>
        </w:sect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30976"/>
      <w:bookmarkStart w:id="77" w:name="_Toc25105"/>
    </w:p>
    <w:p w14:paraId="15363A13">
      <w:pPr>
        <w:spacing w:line="360" w:lineRule="auto"/>
        <w:jc w:val="center"/>
        <w:rPr>
          <w:rFonts w:hint="eastAsia" w:ascii="黑体" w:hAnsi="黑体" w:eastAsia="黑体"/>
          <w:color w:val="auto"/>
          <w:sz w:val="28"/>
          <w:highlight w:val="none"/>
        </w:rPr>
      </w:pPr>
      <w:bookmarkStart w:id="78" w:name="_Toc12653"/>
      <w:r>
        <w:rPr>
          <w:rFonts w:hint="eastAsia" w:ascii="黑体" w:hAnsi="黑体" w:eastAsia="黑体"/>
          <w:color w:val="auto"/>
          <w:sz w:val="28"/>
          <w:highlight w:val="none"/>
        </w:rPr>
        <w:t>第三章 项目技术要求和有关说明</w:t>
      </w:r>
      <w:bookmarkEnd w:id="78"/>
    </w:p>
    <w:p w14:paraId="1C158710">
      <w:pPr>
        <w:pStyle w:val="17"/>
        <w:keepNext w:val="0"/>
        <w:keepLines w:val="0"/>
        <w:pageBreakBefore w:val="0"/>
        <w:widowControl w:val="0"/>
        <w:kinsoku/>
        <w:wordWrap/>
        <w:overflowPunct/>
        <w:topLinePunct w:val="0"/>
        <w:autoSpaceDE/>
        <w:autoSpaceDN/>
        <w:bidi w:val="0"/>
        <w:adjustRightInd/>
        <w:snapToGrid w:val="0"/>
        <w:spacing w:after="20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江苏宜公投蓝藻资源开发有限公司太湖内源污染治理（太湖西岸宜兴近岸区域）2025-2026年度工程涉航技术评价采购服务项目</w:t>
      </w:r>
      <w:r>
        <w:rPr>
          <w:rFonts w:hint="eastAsia" w:ascii="宋体" w:hAnsi="宋体"/>
          <w:color w:val="auto"/>
          <w:sz w:val="24"/>
          <w:szCs w:val="24"/>
          <w:highlight w:val="none"/>
        </w:rPr>
        <w:t>采购。具体要求如下，投标人须提供满足以下要求的服务，不得有负偏离。</w:t>
      </w:r>
    </w:p>
    <w:p w14:paraId="5FAA65C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一、项目概况（包含但不限于以下内容）</w:t>
      </w:r>
    </w:p>
    <w:p w14:paraId="0C834A5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太湖内源污染治理（太湖西岸宜兴近岸区域）2025-2026年度工程</w:t>
      </w:r>
      <w:r>
        <w:rPr>
          <w:rFonts w:hint="eastAsia" w:ascii="宋体" w:hAnsi="宋体" w:eastAsia="宋体" w:cs="Times New Roman"/>
          <w:kern w:val="2"/>
          <w:sz w:val="24"/>
          <w:szCs w:val="24"/>
          <w:highlight w:val="none"/>
          <w:lang w:val="en-US" w:eastAsia="zh-CN" w:bidi="ar-SA"/>
        </w:rPr>
        <w:t>主要建设内容为:对宜兴市太湖西岸水域进行生态清淤，清淤面积约7.95k㎡，清淤方量325.22万㎡，采用环保绞吸式挖泥船进行底泥清淤，工程清淤底泥通过管道输送至陆上固化场进行固化处理。根据施工进度安排，湖区底泥清淤配置4艘350mh环保绞吸挖泥船，并配置相应数量的接力泵船和排泥管线，组成清淤生产线。本工程底泥固结推荐采用土工管袋工艺和板框压滤工艺，固化场主要就近布置在西沿岸大堤内侧葛渎港南侧场地、邾渎港南侧场地、师渎港南侧场地、洋溪港北固化场、茭渎港南侧场地、大浦港南侧场地、后港河北侧场地和林庄港北侧场地共8块场地，并根据需要设置多处临时转运点。涉航设施至少包括以下内容：</w:t>
      </w:r>
    </w:p>
    <w:p w14:paraId="2C7013D3">
      <w:pPr>
        <w:adjustRightInd w:val="0"/>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表1  工程沿线设计河湖情况统计表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3241"/>
        <w:gridCol w:w="1826"/>
        <w:gridCol w:w="1423"/>
        <w:gridCol w:w="1482"/>
      </w:tblGrid>
      <w:tr w14:paraId="0C96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44D728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484" w:type="dxa"/>
            <w:vAlign w:val="center"/>
          </w:tcPr>
          <w:p w14:paraId="31183B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设施名称</w:t>
            </w:r>
          </w:p>
        </w:tc>
        <w:tc>
          <w:tcPr>
            <w:tcW w:w="1957" w:type="dxa"/>
            <w:vAlign w:val="center"/>
          </w:tcPr>
          <w:p w14:paraId="010431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航道名称</w:t>
            </w:r>
          </w:p>
        </w:tc>
        <w:tc>
          <w:tcPr>
            <w:tcW w:w="1515" w:type="dxa"/>
            <w:vAlign w:val="center"/>
          </w:tcPr>
          <w:p w14:paraId="3B6BC1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航道等级</w:t>
            </w:r>
          </w:p>
        </w:tc>
        <w:tc>
          <w:tcPr>
            <w:tcW w:w="1556" w:type="dxa"/>
            <w:vAlign w:val="center"/>
          </w:tcPr>
          <w:p w14:paraId="4B032DD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6954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0F1A4F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484" w:type="dxa"/>
            <w:vAlign w:val="center"/>
          </w:tcPr>
          <w:p w14:paraId="04261E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穿越芜申线湖区段航道排泥管（入湖位置</w:t>
            </w:r>
            <w:r>
              <w:rPr>
                <w:rFonts w:hint="default"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w:t>
            </w:r>
          </w:p>
        </w:tc>
        <w:tc>
          <w:tcPr>
            <w:tcW w:w="1957" w:type="dxa"/>
            <w:vAlign w:val="center"/>
          </w:tcPr>
          <w:p w14:paraId="585344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芜申线湖区段</w:t>
            </w:r>
          </w:p>
        </w:tc>
        <w:tc>
          <w:tcPr>
            <w:tcW w:w="1515" w:type="dxa"/>
            <w:vAlign w:val="center"/>
          </w:tcPr>
          <w:p w14:paraId="581E54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五级</w:t>
            </w:r>
          </w:p>
        </w:tc>
        <w:tc>
          <w:tcPr>
            <w:tcW w:w="1556" w:type="dxa"/>
            <w:vMerge w:val="restart"/>
            <w:vAlign w:val="center"/>
          </w:tcPr>
          <w:p w14:paraId="05E277C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方案存在调整可能性，</w:t>
            </w:r>
            <w:r>
              <w:rPr>
                <w:rFonts w:hint="eastAsia" w:ascii="宋体" w:hAnsi="宋体" w:eastAsia="宋体" w:cs="宋体"/>
                <w:i w:val="0"/>
                <w:iCs w:val="0"/>
                <w:color w:val="000000"/>
                <w:kern w:val="0"/>
                <w:sz w:val="24"/>
                <w:szCs w:val="24"/>
                <w:highlight w:val="none"/>
                <w:u w:val="none"/>
                <w:lang w:val="en-US" w:eastAsia="zh-CN" w:bidi="ar"/>
              </w:rPr>
              <w:t>评价内容包括并不限于本表所示范围。</w:t>
            </w:r>
          </w:p>
        </w:tc>
      </w:tr>
      <w:tr w14:paraId="411F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322A26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484" w:type="dxa"/>
            <w:vAlign w:val="center"/>
          </w:tcPr>
          <w:p w14:paraId="195DF3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穿越芜申线湖区段航道排泥管（湖区位置</w:t>
            </w:r>
            <w:r>
              <w:rPr>
                <w:rFonts w:hint="default"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w:t>
            </w:r>
          </w:p>
        </w:tc>
        <w:tc>
          <w:tcPr>
            <w:tcW w:w="1957" w:type="dxa"/>
            <w:vAlign w:val="center"/>
          </w:tcPr>
          <w:p w14:paraId="7C943E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芜申线湖区段</w:t>
            </w:r>
          </w:p>
        </w:tc>
        <w:tc>
          <w:tcPr>
            <w:tcW w:w="1515" w:type="dxa"/>
            <w:vAlign w:val="center"/>
          </w:tcPr>
          <w:p w14:paraId="7196B2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五级</w:t>
            </w:r>
          </w:p>
        </w:tc>
        <w:tc>
          <w:tcPr>
            <w:tcW w:w="1556" w:type="dxa"/>
            <w:vMerge w:val="continue"/>
            <w:vAlign w:val="center"/>
          </w:tcPr>
          <w:p w14:paraId="530EF9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326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1DA2CD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3484" w:type="dxa"/>
            <w:vAlign w:val="center"/>
          </w:tcPr>
          <w:p w14:paraId="1DEF42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芜申线沿河排泥管</w:t>
            </w:r>
          </w:p>
        </w:tc>
        <w:tc>
          <w:tcPr>
            <w:tcW w:w="1957" w:type="dxa"/>
            <w:vAlign w:val="center"/>
          </w:tcPr>
          <w:p w14:paraId="12DFC5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芜申线</w:t>
            </w:r>
          </w:p>
        </w:tc>
        <w:tc>
          <w:tcPr>
            <w:tcW w:w="1515" w:type="dxa"/>
            <w:vAlign w:val="center"/>
          </w:tcPr>
          <w:p w14:paraId="50557B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五级</w:t>
            </w:r>
          </w:p>
        </w:tc>
        <w:tc>
          <w:tcPr>
            <w:tcW w:w="1556" w:type="dxa"/>
            <w:vMerge w:val="continue"/>
            <w:vAlign w:val="center"/>
          </w:tcPr>
          <w:p w14:paraId="0E2865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AB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0811DE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3484" w:type="dxa"/>
            <w:vAlign w:val="center"/>
          </w:tcPr>
          <w:p w14:paraId="1230FD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施荡河埋航道排泥管</w:t>
            </w:r>
          </w:p>
        </w:tc>
        <w:tc>
          <w:tcPr>
            <w:tcW w:w="1957" w:type="dxa"/>
            <w:vAlign w:val="center"/>
          </w:tcPr>
          <w:p w14:paraId="083E29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湖洋渚河</w:t>
            </w:r>
          </w:p>
        </w:tc>
        <w:tc>
          <w:tcPr>
            <w:tcW w:w="1515" w:type="dxa"/>
            <w:vAlign w:val="center"/>
          </w:tcPr>
          <w:p w14:paraId="0BAE8C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等外级</w:t>
            </w:r>
          </w:p>
        </w:tc>
        <w:tc>
          <w:tcPr>
            <w:tcW w:w="1556" w:type="dxa"/>
            <w:vMerge w:val="continue"/>
            <w:vAlign w:val="center"/>
          </w:tcPr>
          <w:p w14:paraId="1B117B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337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7E60C5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3484" w:type="dxa"/>
            <w:vAlign w:val="center"/>
          </w:tcPr>
          <w:p w14:paraId="7A3FD3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施荡河新设临时转运点</w:t>
            </w:r>
          </w:p>
        </w:tc>
        <w:tc>
          <w:tcPr>
            <w:tcW w:w="1957" w:type="dxa"/>
            <w:vAlign w:val="center"/>
          </w:tcPr>
          <w:p w14:paraId="264369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施荡河</w:t>
            </w:r>
          </w:p>
        </w:tc>
        <w:tc>
          <w:tcPr>
            <w:tcW w:w="1515" w:type="dxa"/>
            <w:vAlign w:val="center"/>
          </w:tcPr>
          <w:p w14:paraId="73399E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等外级</w:t>
            </w:r>
          </w:p>
        </w:tc>
        <w:tc>
          <w:tcPr>
            <w:tcW w:w="1556" w:type="dxa"/>
            <w:vMerge w:val="continue"/>
            <w:vAlign w:val="center"/>
          </w:tcPr>
          <w:p w14:paraId="7C518D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4CBD8859">
      <w:pPr>
        <w:spacing w:line="360" w:lineRule="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服务内容</w:t>
      </w:r>
    </w:p>
    <w:p w14:paraId="2DA104A1">
      <w:pPr>
        <w:spacing w:line="42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1、项目地址：宜兴市。</w:t>
      </w:r>
    </w:p>
    <w:p w14:paraId="4ACFC80C">
      <w:pPr>
        <w:spacing w:line="42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w:t>
      </w:r>
      <w:r>
        <w:rPr>
          <w:rFonts w:hint="eastAsia" w:ascii="宋体" w:hAnsi="宋体"/>
          <w:sz w:val="24"/>
          <w:szCs w:val="24"/>
          <w:highlight w:val="none"/>
        </w:rPr>
        <w:t>、招标范围及内容：</w:t>
      </w:r>
      <w:r>
        <w:rPr>
          <w:rFonts w:hint="eastAsia" w:ascii="宋体" w:hAnsi="宋体"/>
          <w:bCs/>
          <w:sz w:val="24"/>
          <w:szCs w:val="24"/>
          <w:highlight w:val="none"/>
          <w:lang w:eastAsia="zh-CN"/>
        </w:rPr>
        <w:t>太湖内源污染治理（太湖西岸宜兴近岸区域）2025-2026年度工程</w:t>
      </w:r>
      <w:r>
        <w:rPr>
          <w:rFonts w:hint="eastAsia" w:ascii="宋体" w:hAnsi="宋体"/>
          <w:sz w:val="24"/>
          <w:szCs w:val="24"/>
          <w:highlight w:val="none"/>
        </w:rPr>
        <w:t>涉航技术评价报告编制工作，主要工作内容为：编制《</w:t>
      </w:r>
      <w:r>
        <w:rPr>
          <w:rFonts w:hint="eastAsia" w:ascii="宋体" w:hAnsi="宋体"/>
          <w:bCs/>
          <w:sz w:val="24"/>
          <w:szCs w:val="24"/>
          <w:highlight w:val="none"/>
          <w:lang w:eastAsia="zh-CN"/>
        </w:rPr>
        <w:t>太湖内源污染治理（太湖西岸宜兴近岸区域）2025-2026年度工程</w:t>
      </w:r>
      <w:r>
        <w:rPr>
          <w:rFonts w:hint="eastAsia" w:ascii="宋体" w:hAnsi="宋体"/>
          <w:sz w:val="24"/>
          <w:szCs w:val="24"/>
          <w:highlight w:val="none"/>
        </w:rPr>
        <w:t>涉航技术评价报告》，经评审后获得相关部门的</w:t>
      </w:r>
      <w:r>
        <w:rPr>
          <w:rFonts w:hint="eastAsia"/>
          <w:sz w:val="24"/>
          <w:highlight w:val="none"/>
        </w:rPr>
        <w:t>准予交通运输行政确认决定书</w:t>
      </w:r>
      <w:r>
        <w:rPr>
          <w:rFonts w:hint="eastAsia" w:ascii="宋体" w:hAnsi="宋体"/>
          <w:sz w:val="24"/>
          <w:szCs w:val="24"/>
          <w:highlight w:val="none"/>
        </w:rPr>
        <w:t>（注：具体评估内容以审批部门要求为准）</w:t>
      </w:r>
      <w:r>
        <w:rPr>
          <w:rFonts w:hint="eastAsia"/>
          <w:sz w:val="24"/>
          <w:highlight w:val="none"/>
        </w:rPr>
        <w:t>。</w:t>
      </w:r>
    </w:p>
    <w:p w14:paraId="6552A995">
      <w:pPr>
        <w:spacing w:line="420" w:lineRule="exact"/>
        <w:ind w:firstLine="480" w:firstLineChars="200"/>
        <w:jc w:val="left"/>
        <w:rPr>
          <w:color w:val="auto"/>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、项目的基本要求：符合国家、江苏省、宜兴市相关主管部门及本行业相关规范和技术标准。</w:t>
      </w:r>
    </w:p>
    <w:p w14:paraId="090A27B8">
      <w:pPr>
        <w:pStyle w:val="26"/>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b/>
          <w:bCs/>
          <w:sz w:val="24"/>
          <w:highlight w:val="none"/>
        </w:rPr>
      </w:pPr>
      <w:r>
        <w:rPr>
          <w:rFonts w:hint="eastAsia" w:ascii="宋体" w:hAnsi="宋体"/>
          <w:b/>
          <w:bCs/>
          <w:sz w:val="24"/>
          <w:highlight w:val="none"/>
          <w:lang w:val="en-US" w:eastAsia="zh-CN"/>
        </w:rPr>
        <w:t>三</w:t>
      </w:r>
      <w:r>
        <w:rPr>
          <w:rFonts w:hint="eastAsia" w:ascii="宋体" w:hAnsi="宋体"/>
          <w:b/>
          <w:bCs/>
          <w:sz w:val="24"/>
          <w:highlight w:val="none"/>
          <w:lang w:eastAsia="zh-CN"/>
        </w:rPr>
        <w:t>、</w:t>
      </w:r>
      <w:r>
        <w:rPr>
          <w:rFonts w:hint="eastAsia" w:ascii="宋体" w:hAnsi="宋体"/>
          <w:b/>
          <w:bCs/>
          <w:sz w:val="24"/>
          <w:highlight w:val="none"/>
          <w:lang w:val="en-US" w:eastAsia="zh-CN"/>
        </w:rPr>
        <w:t>商务要求</w:t>
      </w:r>
    </w:p>
    <w:p w14:paraId="1D759F05">
      <w:pPr>
        <w:pStyle w:val="26"/>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1、服务期限：中标后，中标供应商在接到采购人通知后须于</w:t>
      </w:r>
      <w:r>
        <w:rPr>
          <w:rFonts w:hint="eastAsia" w:ascii="宋体" w:hAnsi="宋体" w:eastAsia="宋体" w:cs="Times New Roman"/>
          <w:kern w:val="2"/>
          <w:sz w:val="24"/>
          <w:szCs w:val="24"/>
          <w:highlight w:val="none"/>
          <w:lang w:val="en-US" w:eastAsia="zh-CN" w:bidi="ar-SA"/>
        </w:rPr>
        <w:t>45日</w:t>
      </w:r>
      <w:r>
        <w:rPr>
          <w:rFonts w:hint="eastAsia" w:ascii="宋体" w:hAnsi="宋体" w:eastAsia="宋体" w:cs="Times New Roman"/>
          <w:kern w:val="2"/>
          <w:sz w:val="24"/>
          <w:szCs w:val="24"/>
          <w:highlight w:val="none"/>
          <w:lang w:val="en-US" w:eastAsia="zh-CN" w:bidi="ar-SA"/>
        </w:rPr>
        <w:t>内完成：相关报告的编制及取得相关部门的准予交通运输行政确认决定书（注：具体评估内容以审批部门要求为准）。</w:t>
      </w:r>
    </w:p>
    <w:p w14:paraId="3CD8AD05">
      <w:pPr>
        <w:pStyle w:val="26"/>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2、递交地点：采购单位指定地点。</w:t>
      </w:r>
    </w:p>
    <w:p w14:paraId="4850D7C2">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w:t>
      </w:r>
      <w:r>
        <w:rPr>
          <w:rFonts w:hint="eastAsia"/>
          <w:sz w:val="24"/>
          <w:szCs w:val="24"/>
          <w:highlight w:val="none"/>
        </w:rPr>
        <w:t>验收标准</w:t>
      </w:r>
      <w:r>
        <w:rPr>
          <w:rFonts w:hint="eastAsia"/>
          <w:sz w:val="24"/>
          <w:szCs w:val="24"/>
          <w:highlight w:val="none"/>
          <w:lang w:eastAsia="zh-CN"/>
        </w:rPr>
        <w:t>：</w:t>
      </w:r>
      <w:r>
        <w:rPr>
          <w:rFonts w:hint="eastAsia"/>
          <w:sz w:val="24"/>
          <w:szCs w:val="24"/>
          <w:highlight w:val="none"/>
          <w:lang w:val="en-US" w:eastAsia="zh-CN"/>
        </w:rPr>
        <w:t>中标供应商</w:t>
      </w:r>
      <w:r>
        <w:rPr>
          <w:rFonts w:hint="eastAsia"/>
          <w:sz w:val="24"/>
          <w:szCs w:val="24"/>
          <w:highlight w:val="none"/>
        </w:rPr>
        <w:t>提供的报告内容应符合国家相关部门的要求，并得到相关政府职能部门的认可，以确保</w:t>
      </w:r>
      <w:r>
        <w:rPr>
          <w:rFonts w:hint="eastAsia"/>
          <w:sz w:val="24"/>
          <w:szCs w:val="24"/>
          <w:highlight w:val="none"/>
          <w:lang w:val="en-US" w:eastAsia="zh-CN"/>
        </w:rPr>
        <w:t>采购人</w:t>
      </w:r>
      <w:r>
        <w:rPr>
          <w:rFonts w:hint="eastAsia"/>
          <w:sz w:val="24"/>
          <w:szCs w:val="24"/>
          <w:highlight w:val="none"/>
        </w:rPr>
        <w:t>有关工作顺利展开。</w:t>
      </w:r>
    </w:p>
    <w:p w14:paraId="392BFD20">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4、</w:t>
      </w:r>
      <w:r>
        <w:rPr>
          <w:rFonts w:hint="eastAsia" w:ascii="宋体" w:hAnsi="宋体" w:eastAsia="宋体" w:cs="Times New Roman"/>
          <w:kern w:val="2"/>
          <w:sz w:val="24"/>
          <w:szCs w:val="24"/>
          <w:highlight w:val="none"/>
          <w:lang w:val="en-US" w:eastAsia="zh-CN" w:bidi="ar-SA"/>
        </w:rPr>
        <w:t>付款方式：中标供应商凭主管部门的涉航技术评价报告批复且所有资料移交采购人后，中标供应商提供正式合法有效的增值税专用发票给采购人，收到发票后30日内采购人应向中标供应商一次性支付全部费用。</w:t>
      </w:r>
    </w:p>
    <w:p w14:paraId="2681D073">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Times New Roman"/>
          <w:kern w:val="2"/>
          <w:sz w:val="24"/>
          <w:szCs w:val="24"/>
          <w:highlight w:val="none"/>
          <w:lang w:val="en-US" w:eastAsia="zh-CN" w:bidi="ar-SA"/>
        </w:rPr>
        <w:sectPr>
          <w:pgSz w:w="11906" w:h="16838"/>
          <w:pgMar w:top="1417" w:right="1701" w:bottom="1417" w:left="1701" w:header="851" w:footer="992" w:gutter="0"/>
          <w:cols w:space="720" w:num="1"/>
          <w:docGrid w:type="lines" w:linePitch="312" w:charSpace="0"/>
        </w:sectPr>
      </w:pP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、结算方式：本章节项目概况表格中的数量为预估数量，最终按实结算。</w:t>
      </w:r>
    </w:p>
    <w:p w14:paraId="4EA254C3">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6EF43DAE">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4C8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356757E9">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1A005ED9">
            <w:pPr>
              <w:jc w:val="center"/>
              <w:rPr>
                <w:rFonts w:hint="eastAsia" w:ascii="宋体" w:hAnsi="宋体"/>
                <w:color w:val="auto"/>
                <w:sz w:val="24"/>
                <w:szCs w:val="24"/>
                <w:highlight w:val="none"/>
              </w:rPr>
            </w:pPr>
            <w:r>
              <w:rPr>
                <w:rFonts w:hint="eastAsia" w:ascii="宋体" w:hAnsi="宋体"/>
                <w:sz w:val="24"/>
                <w:szCs w:val="24"/>
                <w:highlight w:val="none"/>
                <w:lang w:val="en-US" w:eastAsia="zh-CN"/>
              </w:rPr>
              <w:t>90</w:t>
            </w:r>
            <w:r>
              <w:rPr>
                <w:rFonts w:hint="eastAsia" w:ascii="宋体" w:hAnsi="宋体"/>
                <w:sz w:val="24"/>
                <w:szCs w:val="24"/>
                <w:highlight w:val="none"/>
              </w:rPr>
              <w:t>分</w:t>
            </w:r>
          </w:p>
        </w:tc>
      </w:tr>
      <w:tr w14:paraId="517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46E85DF8">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21FDBB9">
            <w:pPr>
              <w:jc w:val="center"/>
              <w:rPr>
                <w:rFonts w:hint="eastAsia" w:ascii="宋体" w:hAnsi="宋体"/>
                <w:color w:val="auto"/>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分</w:t>
            </w:r>
          </w:p>
        </w:tc>
      </w:tr>
    </w:tbl>
    <w:p w14:paraId="3E8D86C0">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6E3B6CF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79" w:name="OLE_LINK10"/>
      <w:r>
        <w:rPr>
          <w:rFonts w:hint="eastAsia" w:ascii="宋体" w:hAnsi="宋体"/>
          <w:color w:val="auto"/>
          <w:sz w:val="24"/>
          <w:szCs w:val="24"/>
          <w:highlight w:val="none"/>
        </w:rPr>
        <w:t>技术商务部分</w:t>
      </w:r>
      <w:bookmarkEnd w:id="79"/>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689"/>
        <w:gridCol w:w="1140"/>
        <w:gridCol w:w="579"/>
        <w:gridCol w:w="5362"/>
      </w:tblGrid>
      <w:tr w14:paraId="4146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41" w:type="pct"/>
            <w:tcBorders>
              <w:top w:val="single" w:color="auto" w:sz="4" w:space="0"/>
              <w:left w:val="single" w:color="auto" w:sz="4" w:space="0"/>
              <w:bottom w:val="single" w:color="auto" w:sz="4" w:space="0"/>
              <w:right w:val="single" w:color="auto" w:sz="4" w:space="0"/>
            </w:tcBorders>
            <w:noWrap w:val="0"/>
            <w:vAlign w:val="center"/>
          </w:tcPr>
          <w:p w14:paraId="6DFBB04A">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395" w:type="pct"/>
            <w:tcBorders>
              <w:top w:val="single" w:color="auto" w:sz="4" w:space="0"/>
              <w:left w:val="single" w:color="auto" w:sz="4" w:space="0"/>
              <w:bottom w:val="single" w:color="auto" w:sz="4" w:space="0"/>
              <w:right w:val="single" w:color="auto" w:sz="4" w:space="0"/>
            </w:tcBorders>
            <w:noWrap w:val="0"/>
            <w:vAlign w:val="center"/>
          </w:tcPr>
          <w:p w14:paraId="3CEC4356">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654" w:type="pct"/>
            <w:tcBorders>
              <w:top w:val="single" w:color="auto" w:sz="4" w:space="0"/>
              <w:left w:val="single" w:color="auto" w:sz="4" w:space="0"/>
              <w:right w:val="single" w:color="auto" w:sz="4" w:space="0"/>
            </w:tcBorders>
            <w:noWrap w:val="0"/>
            <w:vAlign w:val="center"/>
          </w:tcPr>
          <w:p w14:paraId="65A6AF1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332" w:type="pct"/>
            <w:tcBorders>
              <w:top w:val="single" w:color="auto" w:sz="4" w:space="0"/>
              <w:left w:val="single" w:color="auto" w:sz="4" w:space="0"/>
              <w:right w:val="single" w:color="auto" w:sz="4" w:space="0"/>
            </w:tcBorders>
            <w:noWrap w:val="0"/>
            <w:vAlign w:val="center"/>
          </w:tcPr>
          <w:p w14:paraId="65DBF431">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3075" w:type="pct"/>
            <w:tcBorders>
              <w:top w:val="single" w:color="auto" w:sz="4" w:space="0"/>
              <w:left w:val="single" w:color="auto" w:sz="4" w:space="0"/>
              <w:bottom w:val="single" w:color="auto" w:sz="4" w:space="0"/>
              <w:right w:val="single" w:color="auto" w:sz="4" w:space="0"/>
            </w:tcBorders>
            <w:noWrap w:val="0"/>
            <w:vAlign w:val="center"/>
          </w:tcPr>
          <w:p w14:paraId="6EA65F4B">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4752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541" w:type="pct"/>
            <w:vMerge w:val="restart"/>
            <w:tcBorders>
              <w:left w:val="single" w:color="auto" w:sz="4" w:space="0"/>
              <w:right w:val="single" w:color="auto" w:sz="4" w:space="0"/>
            </w:tcBorders>
            <w:noWrap w:val="0"/>
            <w:vAlign w:val="center"/>
          </w:tcPr>
          <w:p w14:paraId="091F3C9E">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600B9128">
            <w:pPr>
              <w:jc w:val="center"/>
              <w:rPr>
                <w:rFonts w:ascii="宋体" w:hAnsi="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41630720">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228E641D">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对项目的理解和总体思路</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26D1A543">
            <w:pPr>
              <w:widowControl/>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075" w:type="pct"/>
            <w:tcBorders>
              <w:top w:val="single" w:color="auto" w:sz="4" w:space="0"/>
              <w:left w:val="single" w:color="auto" w:sz="4" w:space="0"/>
              <w:bottom w:val="single" w:color="auto" w:sz="4" w:space="0"/>
              <w:right w:val="single" w:color="auto" w:sz="4" w:space="0"/>
            </w:tcBorders>
            <w:noWrap w:val="0"/>
            <w:vAlign w:val="center"/>
          </w:tcPr>
          <w:p w14:paraId="0F726F0E">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对本项目认识充分，基本情况和需求了解全面，总体思路清晰，理念先进，得</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分；</w:t>
            </w:r>
          </w:p>
          <w:p w14:paraId="022EDA86">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对本项目有一定认识，基本情况和需求基本了解，思路较清晰，理念较好，得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p w14:paraId="0CAFFDB8">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对本项目认识不够充分，基本情况和需求掌握不够全面，思路、理念针对性一般的，得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p w14:paraId="0AC7847F">
            <w:pPr>
              <w:spacing w:line="276" w:lineRule="auto"/>
              <w:jc w:val="left"/>
              <w:rPr>
                <w:rFonts w:ascii="宋体" w:hAnsi="宋体"/>
                <w:color w:val="auto"/>
                <w:sz w:val="24"/>
                <w:szCs w:val="24"/>
                <w:highlight w:val="none"/>
              </w:rPr>
            </w:pPr>
            <w:r>
              <w:rPr>
                <w:rFonts w:hint="eastAsia" w:ascii="宋体" w:hAnsi="宋体" w:cs="宋体"/>
                <w:color w:val="auto"/>
                <w:kern w:val="0"/>
                <w:sz w:val="24"/>
                <w:szCs w:val="24"/>
                <w:highlight w:val="none"/>
              </w:rPr>
              <w:t>其他情况不得分。</w:t>
            </w:r>
          </w:p>
        </w:tc>
      </w:tr>
      <w:tr w14:paraId="4F50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541" w:type="pct"/>
            <w:vMerge w:val="continue"/>
            <w:tcBorders>
              <w:left w:val="single" w:color="auto" w:sz="4" w:space="0"/>
              <w:right w:val="single" w:color="auto" w:sz="4" w:space="0"/>
            </w:tcBorders>
            <w:noWrap w:val="0"/>
            <w:vAlign w:val="center"/>
          </w:tcPr>
          <w:p w14:paraId="5670A487">
            <w:pPr>
              <w:jc w:val="center"/>
              <w:rPr>
                <w:rFonts w:ascii="宋体" w:hAnsi="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525DBB9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40B7EBC6">
            <w:pPr>
              <w:spacing w:line="276" w:lineRule="auto"/>
              <w:jc w:val="center"/>
              <w:rPr>
                <w:rFonts w:ascii="宋体" w:hAnsi="宋体"/>
                <w:color w:val="auto"/>
                <w:sz w:val="24"/>
                <w:szCs w:val="24"/>
                <w:highlight w:val="none"/>
              </w:rPr>
            </w:pPr>
            <w:r>
              <w:rPr>
                <w:rFonts w:hint="eastAsia" w:ascii="宋体" w:hAnsi="宋体" w:cs="宋体"/>
                <w:color w:val="auto"/>
                <w:sz w:val="24"/>
                <w:szCs w:val="24"/>
                <w:highlight w:val="none"/>
              </w:rPr>
              <w:t>项目编制方案</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75F26561">
            <w:pPr>
              <w:spacing w:line="276" w:lineRule="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075" w:type="pct"/>
            <w:tcBorders>
              <w:top w:val="single" w:color="auto" w:sz="4" w:space="0"/>
              <w:left w:val="single" w:color="auto" w:sz="4" w:space="0"/>
              <w:bottom w:val="single" w:color="auto" w:sz="4" w:space="0"/>
              <w:right w:val="single" w:color="auto" w:sz="4" w:space="0"/>
            </w:tcBorders>
            <w:noWrap w:val="0"/>
            <w:vAlign w:val="center"/>
          </w:tcPr>
          <w:p w14:paraId="1A644251">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技术路线科学、可行，规划研究内容全面，制定的规划目标和任务针对性和可操作性强，提出的规划对策措施合理、可靠，得</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分；</w:t>
            </w:r>
          </w:p>
          <w:p w14:paraId="344E4D93">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技术路线基本可行，规划研究内容较全面，制定的规划目标和任务针对性和可操作性较强，提出的规划对策措施基本合理、可靠，得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p w14:paraId="67CA55BF">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技术路线逻辑性一般，规划研究内容不够全面，制定的规划目标和任务、提出的规划对策措施针对性和可操作性一般，得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p w14:paraId="0B60DFFA">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rPr>
              <w:t>其他情况不得分。</w:t>
            </w:r>
          </w:p>
        </w:tc>
      </w:tr>
      <w:tr w14:paraId="78E2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541" w:type="pct"/>
            <w:vMerge w:val="continue"/>
            <w:tcBorders>
              <w:left w:val="single" w:color="auto" w:sz="4" w:space="0"/>
              <w:right w:val="single" w:color="auto" w:sz="4" w:space="0"/>
            </w:tcBorders>
            <w:noWrap w:val="0"/>
            <w:vAlign w:val="center"/>
          </w:tcPr>
          <w:p w14:paraId="2FF699E8">
            <w:pPr>
              <w:jc w:val="center"/>
              <w:rPr>
                <w:rFonts w:ascii="宋体" w:hAnsi="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479C713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5209C553">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进度计划及保证措施</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7BC262DB">
            <w:pPr>
              <w:widowControl/>
              <w:spacing w:line="276" w:lineRule="auto"/>
              <w:jc w:val="left"/>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075" w:type="pct"/>
            <w:tcBorders>
              <w:top w:val="single" w:color="auto" w:sz="4" w:space="0"/>
              <w:left w:val="single" w:color="auto" w:sz="4" w:space="0"/>
              <w:bottom w:val="single" w:color="auto" w:sz="4" w:space="0"/>
              <w:right w:val="single" w:color="auto" w:sz="4" w:space="0"/>
            </w:tcBorders>
            <w:noWrap w:val="0"/>
            <w:vAlign w:val="center"/>
          </w:tcPr>
          <w:p w14:paraId="3E43A09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计划安排等合理周密，措施具体可靠，可实施性强，与招标人协调配合措施完善的得</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分；</w:t>
            </w:r>
          </w:p>
          <w:p w14:paraId="5E2065C4">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计划安排等较合理，措施较具体、可行，与采购人协调配合措施较完善的得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p w14:paraId="5092EFDC">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w:t>
            </w:r>
            <w:r>
              <w:rPr>
                <w:rFonts w:hint="eastAsia" w:ascii="宋体" w:hAnsi="宋体" w:cs="宋体"/>
                <w:color w:val="auto"/>
                <w:kern w:val="0"/>
                <w:sz w:val="24"/>
                <w:szCs w:val="24"/>
                <w:highlight w:val="none"/>
                <w:lang w:val="en-US" w:eastAsia="zh-CN"/>
              </w:rPr>
              <w:t>及</w:t>
            </w:r>
            <w:r>
              <w:rPr>
                <w:rFonts w:hint="eastAsia" w:ascii="宋体" w:hAnsi="宋体" w:cs="宋体"/>
                <w:color w:val="auto"/>
                <w:kern w:val="0"/>
                <w:sz w:val="24"/>
                <w:szCs w:val="24"/>
                <w:highlight w:val="none"/>
              </w:rPr>
              <w:t>措施</w:t>
            </w:r>
            <w:r>
              <w:rPr>
                <w:rFonts w:hint="eastAsia" w:ascii="宋体" w:hAnsi="宋体" w:cs="宋体"/>
                <w:color w:val="auto"/>
                <w:kern w:val="0"/>
                <w:sz w:val="24"/>
                <w:szCs w:val="24"/>
                <w:highlight w:val="none"/>
                <w:lang w:val="en-US" w:eastAsia="zh-CN"/>
              </w:rPr>
              <w:t>一般的</w:t>
            </w:r>
            <w:r>
              <w:rPr>
                <w:rFonts w:hint="eastAsia" w:ascii="宋体" w:hAnsi="宋体" w:cs="宋体"/>
                <w:color w:val="auto"/>
                <w:kern w:val="0"/>
                <w:sz w:val="24"/>
                <w:szCs w:val="24"/>
                <w:highlight w:val="none"/>
              </w:rPr>
              <w:t>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p w14:paraId="6464BF29">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rPr>
              <w:t>其他情况不得分。</w:t>
            </w:r>
          </w:p>
        </w:tc>
      </w:tr>
      <w:tr w14:paraId="28DD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541" w:type="pct"/>
            <w:vMerge w:val="continue"/>
            <w:tcBorders>
              <w:left w:val="single" w:color="auto" w:sz="4" w:space="0"/>
              <w:right w:val="single" w:color="auto" w:sz="4" w:space="0"/>
            </w:tcBorders>
            <w:noWrap w:val="0"/>
            <w:vAlign w:val="center"/>
          </w:tcPr>
          <w:p w14:paraId="46AB1D2B">
            <w:pPr>
              <w:jc w:val="center"/>
              <w:rPr>
                <w:rFonts w:ascii="宋体" w:hAnsi="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76D665C4">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2D83DD68">
            <w:pPr>
              <w:spacing w:line="276" w:lineRule="auto"/>
              <w:jc w:val="center"/>
              <w:rPr>
                <w:rFonts w:hint="eastAsia" w:ascii="宋体" w:hAnsi="宋体" w:cs="仿宋"/>
                <w:color w:val="auto"/>
                <w:kern w:val="0"/>
                <w:sz w:val="24"/>
                <w:szCs w:val="24"/>
                <w:highlight w:val="none"/>
                <w:lang w:val="en-US" w:bidi="zh-CN"/>
              </w:rPr>
            </w:pPr>
            <w:r>
              <w:rPr>
                <w:rFonts w:hint="eastAsia" w:ascii="宋体" w:hAnsi="宋体" w:cs="宋体"/>
                <w:color w:val="auto"/>
                <w:kern w:val="0"/>
                <w:sz w:val="24"/>
                <w:szCs w:val="24"/>
                <w:highlight w:val="none"/>
              </w:rPr>
              <w:t>组织机构</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56170BA8">
            <w:pPr>
              <w:spacing w:line="276" w:lineRule="auto"/>
              <w:jc w:val="left"/>
              <w:rPr>
                <w:rFonts w:hint="default"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075" w:type="pct"/>
            <w:tcBorders>
              <w:top w:val="single" w:color="auto" w:sz="4" w:space="0"/>
              <w:left w:val="single" w:color="auto" w:sz="4" w:space="0"/>
              <w:bottom w:val="single" w:color="auto" w:sz="4" w:space="0"/>
              <w:right w:val="single" w:color="auto" w:sz="4" w:space="0"/>
            </w:tcBorders>
            <w:noWrap w:val="0"/>
            <w:vAlign w:val="center"/>
          </w:tcPr>
          <w:p w14:paraId="5AE34ED5">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项目组织机构人员配置合理，职责分工明确的得</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分；</w:t>
            </w:r>
          </w:p>
          <w:p w14:paraId="7E17E00C">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人员配置较合理，职责分工</w:t>
            </w:r>
            <w:r>
              <w:rPr>
                <w:rFonts w:hint="eastAsia" w:ascii="宋体" w:hAnsi="宋体" w:cs="宋体"/>
                <w:color w:val="auto"/>
                <w:kern w:val="0"/>
                <w:sz w:val="24"/>
                <w:szCs w:val="24"/>
                <w:highlight w:val="none"/>
                <w:lang w:val="en-US" w:eastAsia="zh-CN"/>
              </w:rPr>
              <w:t>比较明确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p w14:paraId="58884C9F">
            <w:pPr>
              <w:spacing w:line="276"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人员配置</w:t>
            </w:r>
            <w:r>
              <w:rPr>
                <w:rFonts w:hint="eastAsia" w:ascii="宋体" w:hAnsi="宋体" w:cs="宋体"/>
                <w:color w:val="auto"/>
                <w:kern w:val="0"/>
                <w:sz w:val="24"/>
                <w:szCs w:val="24"/>
                <w:highlight w:val="none"/>
                <w:lang w:val="en-US" w:eastAsia="zh-CN"/>
              </w:rPr>
              <w:t>不合理，职责分工不明确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p>
          <w:p w14:paraId="08AA4FE6">
            <w:pPr>
              <w:spacing w:line="276"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其他情况不得分。</w:t>
            </w:r>
          </w:p>
        </w:tc>
      </w:tr>
      <w:tr w14:paraId="0C6C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541" w:type="pct"/>
            <w:vMerge w:val="continue"/>
            <w:tcBorders>
              <w:left w:val="single" w:color="auto" w:sz="4" w:space="0"/>
              <w:right w:val="single" w:color="auto" w:sz="4" w:space="0"/>
            </w:tcBorders>
            <w:noWrap w:val="0"/>
            <w:vAlign w:val="center"/>
          </w:tcPr>
          <w:p w14:paraId="20A4FBDF">
            <w:pPr>
              <w:jc w:val="center"/>
              <w:rPr>
                <w:rFonts w:ascii="宋体" w:hAnsi="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217BCA7D">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7652261B">
            <w:pPr>
              <w:widowControl/>
              <w:spacing w:line="276" w:lineRule="auto"/>
              <w:jc w:val="center"/>
              <w:rPr>
                <w:rFonts w:hint="default" w:ascii="宋体" w:hAnsi="宋体" w:cs="仿宋"/>
                <w:color w:val="auto"/>
                <w:kern w:val="0"/>
                <w:sz w:val="24"/>
                <w:szCs w:val="24"/>
                <w:highlight w:val="none"/>
                <w:lang w:val="en-US" w:bidi="zh-CN"/>
              </w:rPr>
            </w:pPr>
            <w:r>
              <w:rPr>
                <w:rFonts w:hint="eastAsia" w:ascii="宋体" w:hAnsi="宋体" w:cs="宋体"/>
                <w:color w:val="auto"/>
                <w:sz w:val="24"/>
                <w:szCs w:val="24"/>
                <w:highlight w:val="none"/>
              </w:rPr>
              <w:t>质量保证措施</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6B550124">
            <w:pPr>
              <w:autoSpaceDE w:val="0"/>
              <w:autoSpaceDN w:val="0"/>
              <w:adjustRightInd w:val="0"/>
              <w:spacing w:line="360" w:lineRule="auto"/>
              <w:jc w:val="center"/>
              <w:rPr>
                <w:rFonts w:hint="default"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075" w:type="pct"/>
            <w:tcBorders>
              <w:top w:val="single" w:color="auto" w:sz="4" w:space="0"/>
              <w:left w:val="single" w:color="auto" w:sz="4" w:space="0"/>
              <w:bottom w:val="single" w:color="auto" w:sz="4" w:space="0"/>
              <w:right w:val="single" w:color="auto" w:sz="4" w:space="0"/>
            </w:tcBorders>
            <w:noWrap w:val="0"/>
            <w:vAlign w:val="center"/>
          </w:tcPr>
          <w:p w14:paraId="5F467C58">
            <w:pPr>
              <w:spacing w:line="276" w:lineRule="auto"/>
              <w:rPr>
                <w:rFonts w:hint="eastAsia" w:ascii="宋体" w:hAnsi="宋体"/>
                <w:color w:val="auto"/>
                <w:sz w:val="24"/>
                <w:szCs w:val="24"/>
                <w:highlight w:val="none"/>
              </w:rPr>
            </w:pPr>
            <w:r>
              <w:rPr>
                <w:rFonts w:hint="eastAsia" w:ascii="宋体" w:hAnsi="宋体" w:eastAsia="宋体" w:cs="宋体"/>
                <w:color w:val="000000"/>
                <w:kern w:val="0"/>
                <w:sz w:val="24"/>
                <w:szCs w:val="24"/>
                <w:highlight w:val="none"/>
                <w:lang w:val="en-US" w:eastAsia="zh-CN" w:bidi="ar-SA"/>
              </w:rPr>
              <w:t>投标人针对质量保障措施进行阐述，阐述内容完整合理、可行性强的得1</w:t>
            </w:r>
            <w:r>
              <w:rPr>
                <w:rFonts w:hint="eastAsia" w:ascii="宋体" w:hAnsi="宋体" w:cs="宋体"/>
                <w:color w:val="000000"/>
                <w:kern w:val="0"/>
                <w:sz w:val="24"/>
                <w:szCs w:val="24"/>
                <w:highlight w:val="none"/>
                <w:lang w:val="en-US" w:eastAsia="zh-CN" w:bidi="ar-SA"/>
              </w:rPr>
              <w:t>6</w:t>
            </w:r>
            <w:r>
              <w:rPr>
                <w:rFonts w:hint="eastAsia" w:ascii="宋体" w:hAnsi="宋体" w:eastAsia="宋体" w:cs="宋体"/>
                <w:color w:val="000000"/>
                <w:kern w:val="0"/>
                <w:sz w:val="24"/>
                <w:szCs w:val="24"/>
                <w:highlight w:val="none"/>
                <w:lang w:val="en-US" w:eastAsia="zh-CN" w:bidi="ar-SA"/>
              </w:rPr>
              <w:t>分；方案内容比较完整合理、可行性较强的得</w:t>
            </w:r>
            <w:r>
              <w:rPr>
                <w:rFonts w:hint="eastAsia" w:ascii="宋体" w:hAnsi="宋体" w:cs="宋体"/>
                <w:color w:val="000000"/>
                <w:kern w:val="0"/>
                <w:sz w:val="24"/>
                <w:szCs w:val="24"/>
                <w:highlight w:val="none"/>
                <w:lang w:val="en-US" w:eastAsia="zh-CN" w:bidi="ar-SA"/>
              </w:rPr>
              <w:t>12</w:t>
            </w:r>
            <w:r>
              <w:rPr>
                <w:rFonts w:hint="eastAsia" w:ascii="宋体" w:hAnsi="宋体" w:eastAsia="宋体" w:cs="宋体"/>
                <w:color w:val="000000"/>
                <w:kern w:val="0"/>
                <w:sz w:val="24"/>
                <w:szCs w:val="24"/>
                <w:highlight w:val="none"/>
                <w:lang w:val="en-US" w:eastAsia="zh-CN" w:bidi="ar-SA"/>
              </w:rPr>
              <w:t>分；方案内容一般、可行性一般的得</w:t>
            </w:r>
            <w:r>
              <w:rPr>
                <w:rFonts w:hint="eastAsia" w:ascii="宋体" w:hAnsi="宋体" w:cs="宋体"/>
                <w:color w:val="000000"/>
                <w:kern w:val="0"/>
                <w:sz w:val="24"/>
                <w:szCs w:val="24"/>
                <w:highlight w:val="none"/>
                <w:lang w:val="en-US" w:eastAsia="zh-CN" w:bidi="ar-SA"/>
              </w:rPr>
              <w:t>8</w:t>
            </w:r>
            <w:r>
              <w:rPr>
                <w:rFonts w:hint="eastAsia" w:ascii="宋体" w:hAnsi="宋体" w:eastAsia="宋体" w:cs="宋体"/>
                <w:color w:val="000000"/>
                <w:kern w:val="0"/>
                <w:sz w:val="24"/>
                <w:szCs w:val="24"/>
                <w:highlight w:val="none"/>
                <w:lang w:val="en-US" w:eastAsia="zh-CN" w:bidi="ar-SA"/>
              </w:rPr>
              <w:t>分；未提供方案不得分；</w:t>
            </w:r>
            <w:r>
              <w:rPr>
                <w:rFonts w:hint="eastAsia" w:ascii="宋体" w:hAnsi="宋体" w:cs="宋体"/>
                <w:color w:val="auto"/>
                <w:kern w:val="0"/>
                <w:sz w:val="24"/>
                <w:szCs w:val="24"/>
                <w:highlight w:val="none"/>
              </w:rPr>
              <w:t>其他情况不得分。</w:t>
            </w:r>
          </w:p>
        </w:tc>
      </w:tr>
      <w:tr w14:paraId="60CA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541" w:type="pct"/>
            <w:vMerge w:val="restart"/>
            <w:tcBorders>
              <w:left w:val="single" w:color="auto" w:sz="4" w:space="0"/>
              <w:right w:val="single" w:color="auto" w:sz="4" w:space="0"/>
            </w:tcBorders>
            <w:noWrap w:val="0"/>
            <w:vAlign w:val="center"/>
          </w:tcPr>
          <w:p w14:paraId="536E4C54">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5D98AA92">
            <w:pPr>
              <w:overflowPunct w:val="0"/>
              <w:autoSpaceDE w:val="0"/>
              <w:autoSpaceDN w:val="0"/>
              <w:adjustRightInd w:val="0"/>
              <w:jc w:val="center"/>
              <w:textAlignment w:val="baseline"/>
              <w:rPr>
                <w:rFonts w:ascii="宋体" w:hAnsi="宋体"/>
                <w:color w:val="auto"/>
                <w:kern w:val="28"/>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104ADA25">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79EC9B92">
            <w:pPr>
              <w:jc w:val="center"/>
              <w:rPr>
                <w:rFonts w:ascii="宋体" w:hAnsi="宋体"/>
                <w:color w:val="auto"/>
                <w:sz w:val="24"/>
                <w:szCs w:val="24"/>
                <w:highlight w:val="none"/>
              </w:rPr>
            </w:pPr>
            <w:r>
              <w:rPr>
                <w:rFonts w:hint="eastAsia" w:ascii="宋体" w:hAnsi="宋体" w:cs="宋体"/>
                <w:color w:val="auto"/>
                <w:sz w:val="24"/>
                <w:szCs w:val="24"/>
                <w:highlight w:val="none"/>
              </w:rPr>
              <w:t>人员配备</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2C766FBE">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p>
        </w:tc>
        <w:tc>
          <w:tcPr>
            <w:tcW w:w="3075" w:type="pct"/>
            <w:tcBorders>
              <w:top w:val="single" w:color="auto" w:sz="4" w:space="0"/>
              <w:left w:val="single" w:color="auto" w:sz="4" w:space="0"/>
              <w:bottom w:val="single" w:color="auto" w:sz="4" w:space="0"/>
              <w:right w:val="single" w:color="auto" w:sz="4" w:space="0"/>
            </w:tcBorders>
            <w:noWrap w:val="0"/>
            <w:vAlign w:val="center"/>
          </w:tcPr>
          <w:p w14:paraId="5BA6AAD7">
            <w:pPr>
              <w:spacing w:line="276"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拟派项目负责人具有</w:t>
            </w:r>
            <w:r>
              <w:rPr>
                <w:rFonts w:hint="eastAsia" w:ascii="宋体" w:hAnsi="宋体" w:cs="宋体"/>
                <w:color w:val="auto"/>
                <w:kern w:val="0"/>
                <w:sz w:val="24"/>
                <w:szCs w:val="24"/>
                <w:highlight w:val="none"/>
                <w:lang w:val="en-US" w:eastAsia="zh-CN"/>
              </w:rPr>
              <w:t>水运类</w:t>
            </w:r>
            <w:r>
              <w:rPr>
                <w:rFonts w:hint="eastAsia" w:ascii="宋体" w:hAnsi="宋体" w:eastAsia="宋体" w:cs="宋体"/>
                <w:color w:val="auto"/>
                <w:kern w:val="0"/>
                <w:sz w:val="24"/>
                <w:szCs w:val="24"/>
                <w:highlight w:val="none"/>
                <w:lang w:val="en-US" w:eastAsia="zh-CN"/>
              </w:rPr>
              <w:t>中级及以上工程师职称的得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lang w:val="en-US" w:eastAsia="zh-CN"/>
              </w:rPr>
              <w:t>，具有</w:t>
            </w:r>
            <w:r>
              <w:rPr>
                <w:rFonts w:hint="eastAsia" w:ascii="宋体" w:hAnsi="宋体" w:cs="宋体"/>
                <w:color w:val="auto"/>
                <w:kern w:val="0"/>
                <w:sz w:val="24"/>
                <w:szCs w:val="24"/>
                <w:highlight w:val="none"/>
                <w:lang w:val="en-US" w:eastAsia="zh-CN"/>
              </w:rPr>
              <w:t>水运类</w:t>
            </w:r>
            <w:r>
              <w:rPr>
                <w:rFonts w:hint="eastAsia" w:ascii="宋体" w:hAnsi="宋体" w:eastAsia="宋体" w:cs="宋体"/>
                <w:color w:val="auto"/>
                <w:kern w:val="0"/>
                <w:sz w:val="24"/>
                <w:szCs w:val="24"/>
                <w:highlight w:val="none"/>
                <w:lang w:val="en-US" w:eastAsia="zh-CN"/>
              </w:rPr>
              <w:t>高级及以上工程师职称的得3分；本项最多得3分。</w:t>
            </w:r>
          </w:p>
          <w:p w14:paraId="3EFDD4A9">
            <w:pPr>
              <w:spacing w:line="276"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项目组成人员中具有</w:t>
            </w:r>
            <w:r>
              <w:rPr>
                <w:rFonts w:hint="eastAsia" w:ascii="宋体" w:hAnsi="宋体" w:cs="宋体"/>
                <w:color w:val="auto"/>
                <w:kern w:val="0"/>
                <w:sz w:val="24"/>
                <w:szCs w:val="24"/>
                <w:highlight w:val="none"/>
                <w:lang w:val="en-US" w:eastAsia="zh-CN"/>
              </w:rPr>
              <w:t>水运类</w:t>
            </w:r>
            <w:r>
              <w:rPr>
                <w:rFonts w:hint="eastAsia" w:ascii="宋体" w:hAnsi="宋体" w:eastAsia="宋体" w:cs="宋体"/>
                <w:color w:val="auto"/>
                <w:kern w:val="0"/>
                <w:sz w:val="24"/>
                <w:szCs w:val="24"/>
                <w:highlight w:val="none"/>
                <w:lang w:val="en-US" w:eastAsia="zh-CN"/>
              </w:rPr>
              <w:t>中级及以上工程师职称的得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lang w:val="en-US" w:eastAsia="zh-CN"/>
              </w:rPr>
              <w:t>，具有</w:t>
            </w:r>
            <w:r>
              <w:rPr>
                <w:rFonts w:hint="eastAsia" w:ascii="宋体" w:hAnsi="宋体" w:cs="宋体"/>
                <w:color w:val="auto"/>
                <w:kern w:val="0"/>
                <w:sz w:val="24"/>
                <w:szCs w:val="24"/>
                <w:highlight w:val="none"/>
                <w:lang w:val="en-US" w:eastAsia="zh-CN"/>
              </w:rPr>
              <w:t>水运类</w:t>
            </w:r>
            <w:r>
              <w:rPr>
                <w:rFonts w:hint="eastAsia" w:ascii="宋体" w:hAnsi="宋体" w:eastAsia="宋体" w:cs="宋体"/>
                <w:color w:val="auto"/>
                <w:kern w:val="0"/>
                <w:sz w:val="24"/>
                <w:szCs w:val="24"/>
                <w:highlight w:val="none"/>
                <w:lang w:val="en-US" w:eastAsia="zh-CN"/>
              </w:rPr>
              <w:t>高级及以上工程师职称的得3分；本项最高得3分。（同一人只计一次得分）</w:t>
            </w:r>
          </w:p>
          <w:p w14:paraId="5485722D">
            <w:pPr>
              <w:autoSpaceDE w:val="0"/>
              <w:autoSpaceDN w:val="0"/>
              <w:adjustRightInd w:val="0"/>
              <w:jc w:val="left"/>
              <w:rPr>
                <w:rFonts w:ascii="宋体" w:hAnsi="宋体"/>
                <w:color w:val="auto"/>
                <w:sz w:val="24"/>
                <w:szCs w:val="24"/>
                <w:highlight w:val="none"/>
              </w:rPr>
            </w:pPr>
            <w:r>
              <w:rPr>
                <w:rFonts w:hint="eastAsia" w:ascii="宋体" w:hAnsi="宋体" w:cs="宋体"/>
                <w:b/>
                <w:color w:val="auto"/>
                <w:sz w:val="24"/>
                <w:szCs w:val="24"/>
                <w:highlight w:val="none"/>
              </w:rPr>
              <w:t>【需提供人员证书复印件</w:t>
            </w:r>
            <w:r>
              <w:rPr>
                <w:rFonts w:hint="eastAsia" w:ascii="宋体" w:hAnsi="宋体" w:cs="宋体"/>
                <w:b/>
                <w:color w:val="auto"/>
                <w:sz w:val="24"/>
                <w:szCs w:val="24"/>
                <w:highlight w:val="none"/>
                <w:lang w:val="en-US" w:eastAsia="zh-CN"/>
              </w:rPr>
              <w:t>及投标人为其缴纳的近三个月（不含投标当月）中任意一个月的社保缴纳证明复印件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公章放入</w:t>
            </w:r>
            <w:r>
              <w:rPr>
                <w:rFonts w:hint="eastAsia" w:ascii="宋体" w:hAnsi="宋体" w:cs="宋体"/>
                <w:b/>
                <w:color w:val="auto"/>
                <w:sz w:val="24"/>
                <w:szCs w:val="24"/>
                <w:highlight w:val="none"/>
                <w:lang w:val="en-US" w:eastAsia="zh-CN"/>
              </w:rPr>
              <w:t>投标</w:t>
            </w:r>
            <w:r>
              <w:rPr>
                <w:rFonts w:hint="eastAsia" w:ascii="宋体" w:hAnsi="宋体" w:cs="宋体"/>
                <w:b/>
                <w:color w:val="auto"/>
                <w:sz w:val="24"/>
                <w:szCs w:val="24"/>
                <w:highlight w:val="none"/>
              </w:rPr>
              <w:t>文件中，未提供的不得分】</w:t>
            </w:r>
          </w:p>
        </w:tc>
      </w:tr>
      <w:tr w14:paraId="429A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541" w:type="pct"/>
            <w:vMerge w:val="continue"/>
            <w:tcBorders>
              <w:left w:val="single" w:color="auto" w:sz="4" w:space="0"/>
              <w:right w:val="single" w:color="auto" w:sz="4" w:space="0"/>
            </w:tcBorders>
            <w:noWrap w:val="0"/>
            <w:vAlign w:val="center"/>
          </w:tcPr>
          <w:p w14:paraId="64667CE8">
            <w:pPr>
              <w:jc w:val="center"/>
              <w:rPr>
                <w:rFonts w:ascii="宋体" w:hAnsi="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688B885E">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34FBACCB">
            <w:pPr>
              <w:jc w:val="center"/>
              <w:rPr>
                <w:rFonts w:ascii="宋体" w:hAnsi="宋体" w:cs="宋体"/>
                <w:color w:val="auto"/>
                <w:sz w:val="24"/>
                <w:szCs w:val="24"/>
                <w:highlight w:val="none"/>
              </w:rPr>
            </w:pPr>
            <w:r>
              <w:rPr>
                <w:rFonts w:hint="eastAsia" w:ascii="宋体" w:hAnsi="宋体" w:cs="宋体"/>
                <w:color w:val="auto"/>
                <w:sz w:val="24"/>
                <w:szCs w:val="24"/>
                <w:highlight w:val="none"/>
              </w:rPr>
              <w:t>类似业绩</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40E48995">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3075" w:type="pct"/>
            <w:tcBorders>
              <w:top w:val="single" w:color="auto" w:sz="4" w:space="0"/>
              <w:left w:val="single" w:color="auto" w:sz="4" w:space="0"/>
              <w:bottom w:val="single" w:color="auto" w:sz="4" w:space="0"/>
              <w:right w:val="single" w:color="auto" w:sz="4" w:space="0"/>
            </w:tcBorders>
            <w:noWrap w:val="0"/>
            <w:vAlign w:val="center"/>
          </w:tcPr>
          <w:p w14:paraId="369DE9FA">
            <w:pPr>
              <w:autoSpaceDE w:val="0"/>
              <w:autoSpaceDN w:val="0"/>
              <w:adjustRightInd w:val="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自202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年1月1日（以合同签订时间为准）以来，完成过</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rPr>
              <w:t>项目业绩的，每有一个得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分，本项最高得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76B04ACA">
            <w:pPr>
              <w:autoSpaceDE w:val="0"/>
              <w:autoSpaceDN w:val="0"/>
              <w:adjustRightInd w:val="0"/>
              <w:jc w:val="left"/>
              <w:rPr>
                <w:rFonts w:ascii="宋体" w:hAnsi="宋体" w:cs="宋体"/>
                <w:color w:val="auto"/>
                <w:sz w:val="24"/>
                <w:szCs w:val="24"/>
                <w:highlight w:val="none"/>
              </w:rPr>
            </w:pPr>
            <w:r>
              <w:rPr>
                <w:rFonts w:hint="eastAsia" w:ascii="宋体" w:hAnsi="宋体" w:cs="宋体"/>
                <w:b/>
                <w:color w:val="auto"/>
                <w:sz w:val="24"/>
                <w:szCs w:val="24"/>
                <w:highlight w:val="none"/>
              </w:rPr>
              <w:t>【投标文件中需提供合同复印件加盖投标人公章，并提供通过评审后的准予交通运输行政确认决定书或审核意见书复印件，未提供的不得分】</w:t>
            </w:r>
          </w:p>
        </w:tc>
      </w:tr>
    </w:tbl>
    <w:p w14:paraId="465D125E">
      <w:pPr>
        <w:spacing w:line="360" w:lineRule="auto"/>
        <w:rPr>
          <w:rFonts w:hint="eastAsia" w:ascii="宋体" w:hAnsi="宋体"/>
          <w:color w:val="auto"/>
          <w:sz w:val="24"/>
          <w:szCs w:val="24"/>
          <w:highlight w:val="none"/>
        </w:rPr>
      </w:pPr>
    </w:p>
    <w:p w14:paraId="3280B1C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10"/>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04"/>
        <w:gridCol w:w="902"/>
        <w:gridCol w:w="5834"/>
      </w:tblGrid>
      <w:tr w14:paraId="0BA9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3CD543DB">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04" w:type="dxa"/>
            <w:tcBorders>
              <w:top w:val="single" w:color="auto" w:sz="4" w:space="0"/>
              <w:left w:val="single" w:color="auto" w:sz="4" w:space="0"/>
              <w:right w:val="single" w:color="auto" w:sz="4" w:space="0"/>
            </w:tcBorders>
            <w:noWrap w:val="0"/>
            <w:vAlign w:val="center"/>
          </w:tcPr>
          <w:p w14:paraId="315EB6D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02" w:type="dxa"/>
            <w:tcBorders>
              <w:top w:val="single" w:color="auto" w:sz="4" w:space="0"/>
              <w:left w:val="single" w:color="auto" w:sz="4" w:space="0"/>
              <w:right w:val="single" w:color="auto" w:sz="4" w:space="0"/>
            </w:tcBorders>
            <w:noWrap w:val="0"/>
            <w:vAlign w:val="center"/>
          </w:tcPr>
          <w:p w14:paraId="22473DA7">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834" w:type="dxa"/>
            <w:tcBorders>
              <w:top w:val="single" w:color="auto" w:sz="4" w:space="0"/>
              <w:left w:val="single" w:color="auto" w:sz="4" w:space="0"/>
              <w:bottom w:val="single" w:color="auto" w:sz="4" w:space="0"/>
              <w:right w:val="single" w:color="auto" w:sz="4" w:space="0"/>
            </w:tcBorders>
            <w:noWrap w:val="0"/>
            <w:vAlign w:val="center"/>
          </w:tcPr>
          <w:p w14:paraId="38547677">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4C53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403FF115">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04" w:type="dxa"/>
            <w:tcBorders>
              <w:top w:val="single" w:color="auto" w:sz="4" w:space="0"/>
              <w:left w:val="single" w:color="auto" w:sz="4" w:space="0"/>
              <w:right w:val="single" w:color="auto" w:sz="4" w:space="0"/>
            </w:tcBorders>
            <w:noWrap w:val="0"/>
            <w:vAlign w:val="center"/>
          </w:tcPr>
          <w:p w14:paraId="125DEBEB">
            <w:pPr>
              <w:jc w:val="center"/>
              <w:rPr>
                <w:rFonts w:hint="eastAsia" w:ascii="宋体" w:hAnsi="宋体"/>
                <w:color w:val="auto"/>
                <w:sz w:val="24"/>
                <w:szCs w:val="24"/>
                <w:highlight w:val="none"/>
              </w:rPr>
            </w:pPr>
            <w:r>
              <w:rPr>
                <w:rFonts w:hint="eastAsia" w:ascii="宋体" w:hAnsi="宋体"/>
                <w:sz w:val="24"/>
                <w:szCs w:val="24"/>
                <w:highlight w:val="none"/>
              </w:rPr>
              <w:t>价格部分</w:t>
            </w:r>
          </w:p>
        </w:tc>
        <w:tc>
          <w:tcPr>
            <w:tcW w:w="902" w:type="dxa"/>
            <w:tcBorders>
              <w:top w:val="single" w:color="auto" w:sz="4" w:space="0"/>
              <w:left w:val="single" w:color="auto" w:sz="4" w:space="0"/>
              <w:right w:val="single" w:color="auto" w:sz="4" w:space="0"/>
            </w:tcBorders>
            <w:noWrap w:val="0"/>
            <w:vAlign w:val="center"/>
          </w:tcPr>
          <w:p w14:paraId="1BC3FC0F">
            <w:pPr>
              <w:jc w:val="center"/>
              <w:rPr>
                <w:rFonts w:hint="default" w:ascii="宋体" w:hAnsi="宋体" w:eastAsia="宋体"/>
                <w:color w:val="auto"/>
                <w:sz w:val="24"/>
                <w:szCs w:val="24"/>
                <w:highlight w:val="none"/>
                <w:lang w:val="en-US" w:eastAsia="zh-CN"/>
              </w:rPr>
            </w:pPr>
            <w:r>
              <w:rPr>
                <w:rFonts w:hint="eastAsia" w:ascii="宋体" w:hAnsi="宋体"/>
                <w:sz w:val="24"/>
                <w:szCs w:val="24"/>
                <w:highlight w:val="none"/>
                <w:lang w:val="en-US" w:eastAsia="zh-CN"/>
              </w:rPr>
              <w:t>10</w:t>
            </w:r>
          </w:p>
        </w:tc>
        <w:tc>
          <w:tcPr>
            <w:tcW w:w="5834" w:type="dxa"/>
            <w:tcBorders>
              <w:top w:val="single" w:color="auto" w:sz="4" w:space="0"/>
              <w:left w:val="single" w:color="auto" w:sz="4" w:space="0"/>
              <w:bottom w:val="single" w:color="auto" w:sz="4" w:space="0"/>
              <w:right w:val="single" w:color="auto" w:sz="4" w:space="0"/>
            </w:tcBorders>
            <w:noWrap w:val="0"/>
            <w:vAlign w:val="center"/>
          </w:tcPr>
          <w:p w14:paraId="60DF7E0B">
            <w:pPr>
              <w:rPr>
                <w:rFonts w:hint="eastAsia"/>
                <w:color w:val="auto"/>
                <w:sz w:val="21"/>
                <w:szCs w:val="28"/>
                <w:highlight w:val="none"/>
                <w:shd w:val="clear" w:color="auto" w:fill="FFFFFF"/>
              </w:rPr>
            </w:pPr>
            <w:r>
              <w:rPr>
                <w:rFonts w:hint="eastAsia" w:ascii="宋体"/>
                <w:sz w:val="24"/>
                <w:szCs w:val="24"/>
                <w:highlight w:val="none"/>
              </w:rPr>
              <w:t>采用低价优先法计算，即满足</w:t>
            </w:r>
            <w:r>
              <w:rPr>
                <w:rFonts w:hint="eastAsia" w:ascii="宋体"/>
                <w:sz w:val="24"/>
                <w:szCs w:val="24"/>
                <w:highlight w:val="none"/>
                <w:lang w:val="en-US" w:eastAsia="zh-CN"/>
              </w:rPr>
              <w:t>招标文件</w:t>
            </w:r>
            <w:r>
              <w:rPr>
                <w:rFonts w:hint="eastAsia" w:ascii="宋体"/>
                <w:sz w:val="24"/>
                <w:szCs w:val="24"/>
                <w:highlight w:val="none"/>
              </w:rPr>
              <w:t>要求且投标价格最低的报价为评标基准价，其价格分为</w:t>
            </w:r>
            <w:r>
              <w:rPr>
                <w:rFonts w:hint="eastAsia" w:ascii="宋体"/>
                <w:sz w:val="24"/>
                <w:szCs w:val="24"/>
                <w:highlight w:val="none"/>
                <w:lang w:val="en-US" w:eastAsia="zh-CN"/>
              </w:rPr>
              <w:t>10</w:t>
            </w:r>
            <w:r>
              <w:rPr>
                <w:rFonts w:hint="eastAsia" w:ascii="宋体"/>
                <w:sz w:val="24"/>
                <w:szCs w:val="24"/>
                <w:highlight w:val="none"/>
              </w:rPr>
              <w:t>分。其他投标供应商的价格分统一按照下列公式计算:投标报价得分=(评标基准价/投标报价)×</w:t>
            </w:r>
            <w:r>
              <w:rPr>
                <w:rFonts w:hint="eastAsia" w:ascii="宋体"/>
                <w:sz w:val="24"/>
                <w:szCs w:val="24"/>
                <w:highlight w:val="none"/>
                <w:lang w:val="en-US" w:eastAsia="zh-CN"/>
              </w:rPr>
              <w:t>1</w:t>
            </w:r>
            <w:r>
              <w:rPr>
                <w:rFonts w:hint="eastAsia" w:ascii="宋体"/>
                <w:sz w:val="24"/>
                <w:szCs w:val="24"/>
                <w:highlight w:val="none"/>
              </w:rPr>
              <w:t>0分。（以四舍五入法，保留两位小数）</w:t>
            </w:r>
          </w:p>
        </w:tc>
      </w:tr>
    </w:tbl>
    <w:p w14:paraId="211528B9">
      <w:pPr>
        <w:jc w:val="left"/>
        <w:rPr>
          <w:rFonts w:hint="eastAsia" w:ascii="宋体" w:hAnsi="宋体"/>
          <w:b/>
          <w:bCs/>
          <w:color w:val="auto"/>
          <w:sz w:val="24"/>
          <w:szCs w:val="24"/>
          <w:highlight w:val="none"/>
        </w:rPr>
      </w:pPr>
    </w:p>
    <w:p w14:paraId="1E2B28CB">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3E6881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1D5719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2277DE7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7EB00B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4F587611">
      <w:pPr>
        <w:spacing w:line="360" w:lineRule="auto"/>
        <w:ind w:firstLine="480" w:firstLineChars="200"/>
        <w:rPr>
          <w:rFonts w:hint="eastAsia" w:ascii="宋体"/>
          <w:color w:val="auto"/>
          <w:sz w:val="24"/>
          <w:highlight w:val="none"/>
        </w:rPr>
      </w:pPr>
    </w:p>
    <w:bookmarkEnd w:id="76"/>
    <w:bookmarkEnd w:id="77"/>
    <w:p w14:paraId="634C0B13">
      <w:pPr>
        <w:spacing w:line="360" w:lineRule="auto"/>
        <w:rPr>
          <w:rFonts w:hint="eastAsia" w:ascii="黑体" w:hAnsi="黑体" w:eastAsia="黑体"/>
          <w:color w:val="auto"/>
          <w:sz w:val="28"/>
          <w:highlight w:val="none"/>
        </w:rPr>
      </w:pPr>
      <w:bookmarkStart w:id="80" w:name="_Toc25967"/>
      <w:bookmarkStart w:id="81" w:name="_Toc3082"/>
    </w:p>
    <w:p w14:paraId="2DBBECB7">
      <w:pPr>
        <w:spacing w:line="360" w:lineRule="auto"/>
        <w:rPr>
          <w:rFonts w:hint="eastAsia" w:ascii="黑体" w:hAnsi="黑体" w:eastAsia="黑体"/>
          <w:color w:val="auto"/>
          <w:sz w:val="28"/>
          <w:highlight w:val="none"/>
        </w:rPr>
      </w:pPr>
    </w:p>
    <w:p w14:paraId="2D4D7283">
      <w:pPr>
        <w:spacing w:line="360" w:lineRule="auto"/>
        <w:rPr>
          <w:rFonts w:hint="eastAsia" w:ascii="黑体" w:hAnsi="黑体" w:eastAsia="黑体"/>
          <w:color w:val="auto"/>
          <w:sz w:val="28"/>
          <w:highlight w:val="none"/>
        </w:rPr>
      </w:pPr>
    </w:p>
    <w:p w14:paraId="78E08607">
      <w:pPr>
        <w:spacing w:line="360" w:lineRule="auto"/>
        <w:rPr>
          <w:rFonts w:hint="eastAsia" w:ascii="黑体" w:hAnsi="黑体" w:eastAsia="黑体"/>
          <w:color w:val="auto"/>
          <w:sz w:val="28"/>
          <w:highlight w:val="none"/>
        </w:rPr>
      </w:pPr>
    </w:p>
    <w:p w14:paraId="471BCF87">
      <w:pPr>
        <w:spacing w:line="360" w:lineRule="auto"/>
        <w:rPr>
          <w:rFonts w:hint="eastAsia" w:ascii="黑体" w:hAnsi="黑体" w:eastAsia="黑体"/>
          <w:color w:val="auto"/>
          <w:sz w:val="28"/>
          <w:highlight w:val="none"/>
        </w:rPr>
      </w:pPr>
    </w:p>
    <w:p w14:paraId="0D572271">
      <w:pPr>
        <w:pStyle w:val="4"/>
        <w:rPr>
          <w:rFonts w:hint="eastAsia" w:ascii="黑体" w:hAnsi="黑体" w:eastAsia="黑体"/>
          <w:color w:val="auto"/>
          <w:sz w:val="28"/>
          <w:highlight w:val="none"/>
        </w:rPr>
      </w:pPr>
    </w:p>
    <w:p w14:paraId="5F639750">
      <w:pPr>
        <w:rPr>
          <w:rFonts w:hint="eastAsia" w:ascii="黑体" w:hAnsi="黑体" w:eastAsia="黑体"/>
          <w:color w:val="auto"/>
          <w:sz w:val="28"/>
          <w:highlight w:val="none"/>
        </w:rPr>
      </w:pPr>
    </w:p>
    <w:p w14:paraId="7AC0B5F4">
      <w:pPr>
        <w:pStyle w:val="4"/>
        <w:rPr>
          <w:rFonts w:hint="eastAsia"/>
          <w:highlight w:val="none"/>
        </w:rPr>
      </w:pPr>
    </w:p>
    <w:p w14:paraId="6EB92DF8">
      <w:pPr>
        <w:spacing w:line="360" w:lineRule="auto"/>
        <w:rPr>
          <w:rFonts w:hint="eastAsia" w:ascii="黑体" w:hAnsi="黑体" w:eastAsia="黑体"/>
          <w:color w:val="auto"/>
          <w:sz w:val="28"/>
          <w:highlight w:val="none"/>
        </w:rPr>
      </w:pPr>
    </w:p>
    <w:p w14:paraId="628A2191">
      <w:pPr>
        <w:spacing w:line="360" w:lineRule="auto"/>
        <w:rPr>
          <w:rFonts w:hint="eastAsia" w:ascii="黑体" w:hAnsi="黑体" w:eastAsia="黑体"/>
          <w:color w:val="auto"/>
          <w:sz w:val="28"/>
          <w:highlight w:val="none"/>
        </w:rPr>
      </w:pPr>
    </w:p>
    <w:p w14:paraId="5A79903B">
      <w:pPr>
        <w:pStyle w:val="4"/>
        <w:rPr>
          <w:rFonts w:hint="eastAsia" w:ascii="黑体" w:hAnsi="黑体" w:eastAsia="黑体"/>
          <w:color w:val="auto"/>
          <w:sz w:val="28"/>
          <w:highlight w:val="none"/>
        </w:rPr>
      </w:pPr>
    </w:p>
    <w:p w14:paraId="77489BA4">
      <w:pPr>
        <w:spacing w:line="360" w:lineRule="auto"/>
        <w:jc w:val="center"/>
        <w:rPr>
          <w:rFonts w:hint="eastAsia" w:ascii="黑体" w:hAnsi="黑体" w:eastAsia="黑体"/>
          <w:color w:val="auto"/>
          <w:sz w:val="28"/>
          <w:highlight w:val="none"/>
        </w:rPr>
      </w:pPr>
      <w:bookmarkStart w:id="82" w:name="OLE_LINK1"/>
    </w:p>
    <w:p w14:paraId="5C762003">
      <w:pPr>
        <w:spacing w:line="360" w:lineRule="auto"/>
        <w:jc w:val="center"/>
        <w:rPr>
          <w:rFonts w:hint="eastAsia" w:ascii="黑体" w:hAnsi="黑体" w:eastAsia="黑体"/>
          <w:color w:val="auto"/>
          <w:sz w:val="28"/>
          <w:highlight w:val="none"/>
        </w:rPr>
      </w:pPr>
    </w:p>
    <w:p w14:paraId="5827F003">
      <w:pPr>
        <w:spacing w:line="360" w:lineRule="auto"/>
        <w:jc w:val="center"/>
        <w:rPr>
          <w:rFonts w:hint="eastAsia" w:ascii="黑体" w:hAnsi="黑体" w:eastAsia="黑体"/>
          <w:color w:val="auto"/>
          <w:sz w:val="28"/>
          <w:highlight w:val="none"/>
        </w:rPr>
      </w:pPr>
    </w:p>
    <w:p w14:paraId="633A55E3">
      <w:pPr>
        <w:spacing w:line="360" w:lineRule="auto"/>
        <w:jc w:val="center"/>
        <w:rPr>
          <w:rFonts w:hint="eastAsia" w:ascii="黑体" w:hAnsi="黑体" w:eastAsia="黑体"/>
          <w:color w:val="auto"/>
          <w:sz w:val="28"/>
          <w:highlight w:val="none"/>
        </w:rPr>
      </w:pPr>
    </w:p>
    <w:p w14:paraId="5644D13E">
      <w:pPr>
        <w:spacing w:line="360" w:lineRule="auto"/>
        <w:jc w:val="center"/>
        <w:rPr>
          <w:rFonts w:hint="eastAsia" w:ascii="黑体" w:hAnsi="黑体" w:eastAsia="黑体"/>
          <w:color w:val="auto"/>
          <w:sz w:val="28"/>
          <w:highlight w:val="none"/>
        </w:rPr>
      </w:pPr>
    </w:p>
    <w:p w14:paraId="59E0CD3A">
      <w:pPr>
        <w:spacing w:line="360" w:lineRule="auto"/>
        <w:jc w:val="center"/>
        <w:rPr>
          <w:rFonts w:hint="eastAsia" w:ascii="黑体" w:hAnsi="黑体" w:eastAsia="黑体"/>
          <w:color w:val="auto"/>
          <w:sz w:val="28"/>
          <w:highlight w:val="none"/>
        </w:rPr>
      </w:pPr>
    </w:p>
    <w:p w14:paraId="1532796A">
      <w:pPr>
        <w:spacing w:line="360" w:lineRule="auto"/>
        <w:jc w:val="center"/>
        <w:rPr>
          <w:rFonts w:hint="eastAsia" w:ascii="黑体" w:hAnsi="黑体" w:eastAsia="黑体"/>
          <w:color w:val="auto"/>
          <w:sz w:val="28"/>
          <w:highlight w:val="none"/>
        </w:rPr>
      </w:pPr>
    </w:p>
    <w:p w14:paraId="1D587E60">
      <w:pPr>
        <w:spacing w:line="360" w:lineRule="auto"/>
        <w:jc w:val="center"/>
        <w:rPr>
          <w:rFonts w:hint="eastAsia" w:ascii="黑体" w:hAnsi="黑体" w:eastAsia="黑体"/>
          <w:color w:val="auto"/>
          <w:sz w:val="28"/>
          <w:highlight w:val="none"/>
        </w:rPr>
      </w:pPr>
    </w:p>
    <w:p w14:paraId="195C1366">
      <w:pPr>
        <w:spacing w:line="360" w:lineRule="auto"/>
        <w:jc w:val="center"/>
        <w:rPr>
          <w:rFonts w:hint="eastAsia" w:ascii="黑体" w:hAnsi="黑体" w:eastAsia="黑体"/>
          <w:color w:val="auto"/>
          <w:sz w:val="28"/>
          <w:highlight w:val="none"/>
        </w:rPr>
      </w:pPr>
      <w:r>
        <w:rPr>
          <w:rFonts w:hint="eastAsia" w:ascii="黑体" w:hAnsi="黑体" w:eastAsia="黑体"/>
          <w:color w:val="auto"/>
          <w:sz w:val="28"/>
          <w:highlight w:val="none"/>
        </w:rPr>
        <w:t>第五章 采购合同（格式）</w:t>
      </w:r>
    </w:p>
    <w:p w14:paraId="12E78D08">
      <w:pPr>
        <w:spacing w:line="360" w:lineRule="auto"/>
        <w:ind w:firstLine="480" w:firstLineChars="200"/>
        <w:rPr>
          <w:sz w:val="24"/>
          <w:szCs w:val="24"/>
          <w:highlight w:val="none"/>
          <w:u w:val="single"/>
        </w:rPr>
      </w:pPr>
      <w:r>
        <w:rPr>
          <w:rFonts w:hint="eastAsia"/>
          <w:sz w:val="24"/>
          <w:szCs w:val="24"/>
          <w:highlight w:val="none"/>
        </w:rPr>
        <w:t>项目名称：</w:t>
      </w:r>
      <w:r>
        <w:rPr>
          <w:rFonts w:hint="eastAsia" w:ascii="宋体" w:hAnsi="宋体"/>
          <w:bCs/>
          <w:sz w:val="24"/>
          <w:szCs w:val="24"/>
          <w:highlight w:val="none"/>
          <w:u w:val="single"/>
          <w:lang w:eastAsia="zh-CN"/>
        </w:rPr>
        <w:t>太湖内源污染治理（太湖西岸宜兴近岸区域）2025-2026年度工程涉航技术评价</w:t>
      </w:r>
      <w:r>
        <w:rPr>
          <w:rFonts w:hint="eastAsia"/>
          <w:sz w:val="22"/>
          <w:szCs w:val="24"/>
          <w:highlight w:val="none"/>
          <w:u w:val="single"/>
        </w:rPr>
        <w:t>采购项目</w:t>
      </w:r>
    </w:p>
    <w:p w14:paraId="332A0422">
      <w:pPr>
        <w:spacing w:line="360" w:lineRule="auto"/>
        <w:ind w:firstLine="480" w:firstLineChars="200"/>
        <w:rPr>
          <w:sz w:val="24"/>
          <w:szCs w:val="24"/>
          <w:highlight w:val="none"/>
        </w:rPr>
      </w:pPr>
      <w:r>
        <w:rPr>
          <w:sz w:val="24"/>
          <w:szCs w:val="24"/>
          <w:highlight w:val="none"/>
        </w:rPr>
        <w:t>甲方：</w:t>
      </w:r>
      <w:r>
        <w:rPr>
          <w:sz w:val="24"/>
          <w:szCs w:val="24"/>
          <w:highlight w:val="none"/>
          <w:u w:val="single"/>
        </w:rPr>
        <w:t xml:space="preserve">   </w:t>
      </w:r>
      <w:r>
        <w:rPr>
          <w:rFonts w:hint="eastAsia"/>
          <w:sz w:val="24"/>
          <w:szCs w:val="24"/>
          <w:highlight w:val="none"/>
          <w:u w:val="single"/>
          <w:lang w:eastAsia="zh-CN"/>
        </w:rPr>
        <w:t>江苏宜公投蓝藻资源开发有限公司</w:t>
      </w:r>
      <w:r>
        <w:rPr>
          <w:sz w:val="24"/>
          <w:szCs w:val="24"/>
          <w:highlight w:val="none"/>
          <w:u w:val="single"/>
        </w:rPr>
        <w:t xml:space="preserve">    </w:t>
      </w:r>
      <w:r>
        <w:rPr>
          <w:sz w:val="24"/>
          <w:szCs w:val="24"/>
          <w:highlight w:val="none"/>
        </w:rPr>
        <w:t>（</w:t>
      </w:r>
      <w:r>
        <w:rPr>
          <w:rFonts w:hint="eastAsia"/>
          <w:sz w:val="24"/>
          <w:szCs w:val="24"/>
          <w:highlight w:val="none"/>
        </w:rPr>
        <w:t>委托方</w:t>
      </w:r>
      <w:r>
        <w:rPr>
          <w:sz w:val="24"/>
          <w:szCs w:val="24"/>
          <w:highlight w:val="none"/>
        </w:rPr>
        <w:t>）</w:t>
      </w:r>
    </w:p>
    <w:p w14:paraId="7AB92C24">
      <w:pPr>
        <w:spacing w:line="360" w:lineRule="auto"/>
        <w:ind w:firstLine="480" w:firstLineChars="200"/>
        <w:rPr>
          <w:sz w:val="24"/>
          <w:szCs w:val="24"/>
          <w:highlight w:val="none"/>
        </w:rPr>
      </w:pPr>
      <w:r>
        <w:rPr>
          <w:sz w:val="24"/>
          <w:szCs w:val="24"/>
          <w:highlight w:val="none"/>
        </w:rPr>
        <w:t>乙方：</w:t>
      </w:r>
      <w:r>
        <w:rPr>
          <w:sz w:val="24"/>
          <w:szCs w:val="24"/>
          <w:highlight w:val="none"/>
          <w:u w:val="single"/>
        </w:rPr>
        <w:t xml:space="preserve">　                          </w:t>
      </w:r>
      <w:r>
        <w:rPr>
          <w:rFonts w:hint="eastAsia"/>
          <w:sz w:val="24"/>
          <w:szCs w:val="24"/>
          <w:highlight w:val="none"/>
          <w:u w:val="single"/>
        </w:rPr>
        <w:t xml:space="preserve">     </w:t>
      </w:r>
      <w:r>
        <w:rPr>
          <w:sz w:val="24"/>
          <w:szCs w:val="24"/>
          <w:highlight w:val="none"/>
        </w:rPr>
        <w:t>（</w:t>
      </w:r>
      <w:r>
        <w:rPr>
          <w:rFonts w:hint="eastAsia"/>
          <w:sz w:val="24"/>
          <w:szCs w:val="24"/>
          <w:highlight w:val="none"/>
        </w:rPr>
        <w:t>被委托方</w:t>
      </w:r>
      <w:r>
        <w:rPr>
          <w:sz w:val="24"/>
          <w:szCs w:val="24"/>
          <w:highlight w:val="none"/>
        </w:rPr>
        <w:t>）</w:t>
      </w:r>
    </w:p>
    <w:p w14:paraId="6C20DFCD">
      <w:pPr>
        <w:spacing w:line="360" w:lineRule="auto"/>
        <w:ind w:firstLine="480" w:firstLineChars="200"/>
        <w:rPr>
          <w:rFonts w:hint="eastAsia"/>
          <w:sz w:val="24"/>
          <w:szCs w:val="24"/>
          <w:highlight w:val="none"/>
        </w:rPr>
      </w:pPr>
      <w:r>
        <w:rPr>
          <w:rFonts w:hint="eastAsia"/>
          <w:sz w:val="24"/>
          <w:szCs w:val="24"/>
          <w:highlight w:val="none"/>
        </w:rPr>
        <w:t>甲乙双方就委托事项，经过平等协商，在真实充分表达各自意愿的基础上，根据《中华人民共和国民法典》的规定，达成如下协议，并由双方共同恪守。</w:t>
      </w:r>
    </w:p>
    <w:p w14:paraId="23720CD0">
      <w:pPr>
        <w:spacing w:line="360" w:lineRule="auto"/>
        <w:ind w:firstLine="480" w:firstLineChars="200"/>
        <w:rPr>
          <w:rFonts w:hint="eastAsia"/>
          <w:sz w:val="24"/>
          <w:szCs w:val="24"/>
          <w:highlight w:val="none"/>
        </w:rPr>
      </w:pPr>
      <w:r>
        <w:rPr>
          <w:rFonts w:hint="eastAsia"/>
          <w:sz w:val="24"/>
          <w:szCs w:val="24"/>
          <w:highlight w:val="none"/>
        </w:rPr>
        <w:t>一、服务内容：</w:t>
      </w:r>
    </w:p>
    <w:p w14:paraId="33D474D3">
      <w:pPr>
        <w:spacing w:line="360" w:lineRule="auto"/>
        <w:ind w:firstLine="480" w:firstLineChars="200"/>
        <w:rPr>
          <w:rFonts w:hint="eastAsia"/>
          <w:sz w:val="24"/>
          <w:szCs w:val="24"/>
          <w:highlight w:val="none"/>
        </w:rPr>
      </w:pPr>
      <w:r>
        <w:rPr>
          <w:rFonts w:hint="eastAsia"/>
          <w:sz w:val="24"/>
          <w:szCs w:val="24"/>
          <w:highlight w:val="none"/>
        </w:rPr>
        <w:t>根据《中华人民共和国航道法》等相关法律法规的要求，甲方委托乙方编制</w:t>
      </w:r>
      <w:r>
        <w:rPr>
          <w:rFonts w:hint="eastAsia" w:ascii="宋体" w:hAnsi="宋体"/>
          <w:bCs/>
          <w:sz w:val="24"/>
          <w:szCs w:val="24"/>
          <w:highlight w:val="none"/>
          <w:u w:val="none"/>
          <w:lang w:eastAsia="zh-CN"/>
        </w:rPr>
        <w:t>太湖内源污染治理（太湖西岸宜兴近岸区域）2025-2026年度工程</w:t>
      </w:r>
      <w:r>
        <w:rPr>
          <w:rFonts w:hint="eastAsia"/>
          <w:sz w:val="24"/>
          <w:szCs w:val="24"/>
          <w:highlight w:val="none"/>
        </w:rPr>
        <w:t>涉航技术评价报告</w:t>
      </w:r>
      <w:r>
        <w:rPr>
          <w:rFonts w:hint="eastAsia"/>
          <w:sz w:val="24"/>
          <w:szCs w:val="24"/>
          <w:highlight w:val="none"/>
          <w:lang w:eastAsia="zh-CN"/>
        </w:rPr>
        <w:t>及</w:t>
      </w:r>
      <w:r>
        <w:rPr>
          <w:rFonts w:hint="eastAsia"/>
          <w:sz w:val="24"/>
          <w:szCs w:val="24"/>
          <w:highlight w:val="none"/>
        </w:rPr>
        <w:t>取得相关部门的准予交通运输行政确认决定书（注：具体评估内容以审批部门要求为准）。</w:t>
      </w:r>
    </w:p>
    <w:p w14:paraId="3C68AADF">
      <w:pPr>
        <w:spacing w:line="360" w:lineRule="auto"/>
        <w:ind w:firstLine="480" w:firstLineChars="200"/>
        <w:rPr>
          <w:rFonts w:hint="eastAsia"/>
          <w:sz w:val="24"/>
          <w:szCs w:val="24"/>
          <w:highlight w:val="none"/>
        </w:rPr>
      </w:pPr>
      <w:r>
        <w:rPr>
          <w:rFonts w:hint="eastAsia"/>
          <w:sz w:val="24"/>
          <w:szCs w:val="24"/>
          <w:highlight w:val="none"/>
        </w:rPr>
        <w:t>二、甲乙双方权利和义务：</w:t>
      </w:r>
    </w:p>
    <w:p w14:paraId="50E0DC5F">
      <w:pPr>
        <w:spacing w:line="360" w:lineRule="auto"/>
        <w:ind w:firstLine="480" w:firstLineChars="200"/>
        <w:rPr>
          <w:rFonts w:hint="eastAsia"/>
          <w:sz w:val="24"/>
          <w:szCs w:val="24"/>
          <w:highlight w:val="none"/>
        </w:rPr>
      </w:pPr>
      <w:r>
        <w:rPr>
          <w:rFonts w:hint="eastAsia"/>
          <w:sz w:val="24"/>
          <w:szCs w:val="24"/>
          <w:highlight w:val="none"/>
        </w:rPr>
        <w:t>1、甲方的权利和义务：</w:t>
      </w:r>
    </w:p>
    <w:p w14:paraId="76EC6A2D">
      <w:pPr>
        <w:spacing w:line="360" w:lineRule="auto"/>
        <w:ind w:firstLine="480" w:firstLineChars="200"/>
        <w:rPr>
          <w:rFonts w:hint="eastAsia"/>
          <w:sz w:val="24"/>
          <w:szCs w:val="24"/>
          <w:highlight w:val="none"/>
        </w:rPr>
      </w:pPr>
      <w:r>
        <w:rPr>
          <w:rFonts w:hint="eastAsia"/>
          <w:sz w:val="24"/>
          <w:szCs w:val="24"/>
          <w:highlight w:val="none"/>
        </w:rPr>
        <w:t>1.1甲方将评估所需相关资料，如立项文件、工程可行性研究报告、设计方案、施工方案等资料提交乙方，并经乙方确认无误；</w:t>
      </w:r>
    </w:p>
    <w:p w14:paraId="6945515D">
      <w:pPr>
        <w:spacing w:line="360" w:lineRule="auto"/>
        <w:ind w:firstLine="480" w:firstLineChars="200"/>
        <w:rPr>
          <w:rFonts w:hint="eastAsia"/>
          <w:sz w:val="24"/>
          <w:szCs w:val="24"/>
          <w:highlight w:val="none"/>
        </w:rPr>
      </w:pPr>
      <w:r>
        <w:rPr>
          <w:rFonts w:hint="eastAsia"/>
          <w:sz w:val="24"/>
          <w:szCs w:val="24"/>
          <w:highlight w:val="none"/>
        </w:rPr>
        <w:t>1.2为乙方提供评估所必需的现场踏勘、相关政府部门调研等项工作的适宜条件；</w:t>
      </w:r>
    </w:p>
    <w:p w14:paraId="285A8F1F">
      <w:pPr>
        <w:spacing w:line="360" w:lineRule="auto"/>
        <w:ind w:firstLine="480" w:firstLineChars="200"/>
        <w:rPr>
          <w:rFonts w:hint="eastAsia"/>
          <w:sz w:val="24"/>
          <w:szCs w:val="24"/>
          <w:highlight w:val="none"/>
        </w:rPr>
      </w:pPr>
      <w:r>
        <w:rPr>
          <w:rFonts w:hint="eastAsia"/>
          <w:sz w:val="24"/>
          <w:szCs w:val="24"/>
          <w:highlight w:val="none"/>
        </w:rPr>
        <w:t>1.3积极落实乙方报告中提出的涉航安全对策措施和建议。</w:t>
      </w:r>
    </w:p>
    <w:p w14:paraId="26651457">
      <w:pPr>
        <w:spacing w:line="360" w:lineRule="auto"/>
        <w:ind w:firstLine="480" w:firstLineChars="200"/>
        <w:rPr>
          <w:rFonts w:hint="eastAsia"/>
          <w:sz w:val="24"/>
          <w:szCs w:val="24"/>
          <w:highlight w:val="none"/>
        </w:rPr>
      </w:pPr>
      <w:r>
        <w:rPr>
          <w:rFonts w:hint="eastAsia"/>
          <w:sz w:val="24"/>
          <w:szCs w:val="24"/>
          <w:highlight w:val="none"/>
        </w:rPr>
        <w:t>2、乙方的权利和义务：</w:t>
      </w:r>
    </w:p>
    <w:p w14:paraId="73C5DBD1">
      <w:pPr>
        <w:spacing w:line="360" w:lineRule="auto"/>
        <w:ind w:firstLine="480" w:firstLineChars="200"/>
        <w:rPr>
          <w:rFonts w:hint="eastAsia"/>
          <w:sz w:val="24"/>
          <w:szCs w:val="24"/>
          <w:highlight w:val="none"/>
        </w:rPr>
      </w:pPr>
      <w:r>
        <w:rPr>
          <w:rFonts w:hint="eastAsia"/>
          <w:sz w:val="24"/>
          <w:szCs w:val="24"/>
          <w:highlight w:val="none"/>
        </w:rPr>
        <w:t>2.1 乙方根据有关要求，编制</w:t>
      </w:r>
      <w:r>
        <w:rPr>
          <w:rFonts w:hint="eastAsia" w:ascii="宋体" w:hAnsi="宋体"/>
          <w:bCs/>
          <w:sz w:val="24"/>
          <w:szCs w:val="24"/>
          <w:highlight w:val="none"/>
          <w:u w:val="none"/>
          <w:lang w:eastAsia="zh-CN"/>
        </w:rPr>
        <w:t>太湖内源污染治理（太湖西岸宜兴近岸区域）2025-2026年度工程</w:t>
      </w:r>
      <w:r>
        <w:rPr>
          <w:rFonts w:hint="eastAsia"/>
          <w:sz w:val="24"/>
          <w:szCs w:val="24"/>
          <w:highlight w:val="none"/>
        </w:rPr>
        <w:t>涉航技术评价报告。</w:t>
      </w:r>
    </w:p>
    <w:p w14:paraId="5C72C040">
      <w:pPr>
        <w:spacing w:line="360" w:lineRule="auto"/>
        <w:ind w:firstLine="480" w:firstLineChars="200"/>
        <w:rPr>
          <w:rFonts w:hint="eastAsia"/>
          <w:sz w:val="24"/>
          <w:szCs w:val="24"/>
          <w:highlight w:val="none"/>
        </w:rPr>
      </w:pPr>
      <w:r>
        <w:rPr>
          <w:rFonts w:hint="eastAsia"/>
          <w:sz w:val="24"/>
          <w:szCs w:val="24"/>
          <w:highlight w:val="none"/>
        </w:rPr>
        <w:t>2.2乙方在合同期完成报告编制，并按照专家和政府有关部门意见修改完善报告，并通过专家组评审。</w:t>
      </w:r>
    </w:p>
    <w:p w14:paraId="1A9D1EDE">
      <w:pPr>
        <w:spacing w:line="360" w:lineRule="auto"/>
        <w:ind w:firstLine="480" w:firstLineChars="200"/>
        <w:rPr>
          <w:rFonts w:hint="eastAsia"/>
          <w:sz w:val="24"/>
          <w:szCs w:val="24"/>
          <w:highlight w:val="none"/>
        </w:rPr>
      </w:pPr>
      <w:r>
        <w:rPr>
          <w:rFonts w:hint="eastAsia"/>
          <w:sz w:val="24"/>
          <w:szCs w:val="24"/>
          <w:highlight w:val="none"/>
        </w:rPr>
        <w:t>3、在本合同有效期内，甲方指定</w:t>
      </w:r>
      <w:r>
        <w:rPr>
          <w:rFonts w:hint="eastAsia"/>
          <w:sz w:val="24"/>
          <w:szCs w:val="24"/>
          <w:highlight w:val="none"/>
          <w:u w:val="single"/>
          <w:lang w:val="en-US" w:eastAsia="zh-CN"/>
        </w:rPr>
        <w:t xml:space="preserve">    </w:t>
      </w:r>
      <w:r>
        <w:rPr>
          <w:rFonts w:hint="eastAsia"/>
          <w:sz w:val="24"/>
          <w:szCs w:val="24"/>
          <w:highlight w:val="none"/>
        </w:rPr>
        <w:t>为甲方项目联系人，乙方指定</w:t>
      </w:r>
      <w:r>
        <w:rPr>
          <w:rFonts w:hint="eastAsia"/>
          <w:sz w:val="24"/>
          <w:szCs w:val="24"/>
          <w:highlight w:val="none"/>
          <w:u w:val="single"/>
          <w:lang w:val="en-US" w:eastAsia="zh-CN"/>
        </w:rPr>
        <w:t xml:space="preserve">  </w:t>
      </w:r>
      <w:r>
        <w:rPr>
          <w:rFonts w:hint="eastAsia"/>
          <w:sz w:val="24"/>
          <w:szCs w:val="24"/>
          <w:highlight w:val="none"/>
        </w:rPr>
        <w:t>为</w:t>
      </w:r>
      <w:r>
        <w:rPr>
          <w:rFonts w:hint="eastAsia"/>
          <w:sz w:val="24"/>
          <w:szCs w:val="24"/>
          <w:highlight w:val="none"/>
          <w:u w:val="single"/>
          <w:lang w:val="en-US" w:eastAsia="zh-CN"/>
        </w:rPr>
        <w:t xml:space="preserve">        </w:t>
      </w:r>
      <w:r>
        <w:rPr>
          <w:rFonts w:hint="eastAsia"/>
          <w:sz w:val="24"/>
          <w:szCs w:val="24"/>
          <w:highlight w:val="none"/>
        </w:rPr>
        <w:t>乙方项目联系人。项目联系人承担以下工作：按时提供所需的资料、工作条件的准备和有关事项的联络等。一方变更项目联系人，应当及时书面形式通知另一方。未及时通知并影响本合同履行或造成损失的，应承担相应的责任。</w:t>
      </w:r>
    </w:p>
    <w:p w14:paraId="08A27578">
      <w:pPr>
        <w:spacing w:line="360" w:lineRule="auto"/>
        <w:ind w:firstLine="480" w:firstLineChars="200"/>
        <w:rPr>
          <w:rFonts w:hint="eastAsia"/>
          <w:sz w:val="24"/>
          <w:szCs w:val="24"/>
          <w:highlight w:val="none"/>
        </w:rPr>
      </w:pPr>
      <w:r>
        <w:rPr>
          <w:rFonts w:hint="eastAsia"/>
          <w:sz w:val="24"/>
          <w:szCs w:val="24"/>
          <w:highlight w:val="none"/>
        </w:rPr>
        <w:t>三、合同履行期限、地点和方式：</w:t>
      </w:r>
    </w:p>
    <w:p w14:paraId="311775D3">
      <w:pPr>
        <w:spacing w:line="360" w:lineRule="auto"/>
        <w:ind w:firstLine="480" w:firstLineChars="200"/>
        <w:rPr>
          <w:rFonts w:hint="eastAsia"/>
          <w:sz w:val="24"/>
          <w:szCs w:val="24"/>
          <w:highlight w:val="none"/>
        </w:rPr>
      </w:pPr>
      <w:r>
        <w:rPr>
          <w:rFonts w:hint="eastAsia"/>
          <w:sz w:val="24"/>
          <w:szCs w:val="24"/>
          <w:highlight w:val="none"/>
          <w:lang w:val="en-US" w:eastAsia="zh-CN"/>
        </w:rPr>
        <w:t>服务期限</w:t>
      </w:r>
      <w:r>
        <w:rPr>
          <w:rFonts w:hint="eastAsia"/>
          <w:sz w:val="24"/>
          <w:szCs w:val="24"/>
          <w:highlight w:val="none"/>
        </w:rPr>
        <w:t>：</w:t>
      </w:r>
      <w:r>
        <w:rPr>
          <w:rFonts w:hint="eastAsia"/>
          <w:sz w:val="24"/>
          <w:szCs w:val="24"/>
          <w:highlight w:val="none"/>
          <w:lang w:val="en-US" w:eastAsia="zh-CN"/>
        </w:rPr>
        <w:t>中标后，中标供应商在接到采购人通知后须于</w:t>
      </w:r>
      <w:r>
        <w:rPr>
          <w:rFonts w:hint="eastAsia"/>
          <w:sz w:val="24"/>
          <w:szCs w:val="24"/>
          <w:highlight w:val="none"/>
          <w:lang w:val="en-US" w:eastAsia="zh-CN"/>
        </w:rPr>
        <w:t>45日</w:t>
      </w:r>
      <w:r>
        <w:rPr>
          <w:rFonts w:hint="eastAsia"/>
          <w:sz w:val="24"/>
          <w:szCs w:val="24"/>
          <w:highlight w:val="none"/>
          <w:lang w:val="en-US" w:eastAsia="zh-CN"/>
        </w:rPr>
        <w:t>内完成：相关报告的编制及取得相关部门的准予交通运输行政确认决定书（注：具体评估内容以审批部门要求为准）。</w:t>
      </w:r>
    </w:p>
    <w:p w14:paraId="11D8CA63">
      <w:pPr>
        <w:spacing w:line="360" w:lineRule="auto"/>
        <w:ind w:firstLine="480" w:firstLineChars="200"/>
        <w:rPr>
          <w:rFonts w:hint="eastAsia"/>
          <w:sz w:val="24"/>
          <w:szCs w:val="24"/>
          <w:highlight w:val="none"/>
        </w:rPr>
      </w:pPr>
      <w:r>
        <w:rPr>
          <w:rFonts w:hint="eastAsia"/>
          <w:sz w:val="24"/>
          <w:szCs w:val="24"/>
          <w:highlight w:val="none"/>
        </w:rPr>
        <w:t>四、验收标准和方法：</w:t>
      </w:r>
    </w:p>
    <w:p w14:paraId="75C83487">
      <w:pPr>
        <w:spacing w:line="360" w:lineRule="auto"/>
        <w:ind w:firstLine="480" w:firstLineChars="200"/>
        <w:rPr>
          <w:rFonts w:hint="eastAsia"/>
          <w:sz w:val="24"/>
          <w:szCs w:val="24"/>
          <w:highlight w:val="none"/>
        </w:rPr>
      </w:pPr>
      <w:r>
        <w:rPr>
          <w:rFonts w:hint="eastAsia"/>
          <w:sz w:val="24"/>
          <w:szCs w:val="24"/>
          <w:highlight w:val="none"/>
        </w:rPr>
        <w:t>乙方提供的报告内容应符合国家相关部门的要求，并得到相关政府职能部门的认可，以确保甲方有关工作顺利展开。</w:t>
      </w:r>
    </w:p>
    <w:p w14:paraId="66484567">
      <w:pPr>
        <w:spacing w:line="360" w:lineRule="auto"/>
        <w:ind w:firstLine="480" w:firstLineChars="200"/>
        <w:rPr>
          <w:rFonts w:hint="eastAsia"/>
          <w:sz w:val="24"/>
          <w:szCs w:val="24"/>
          <w:highlight w:val="none"/>
        </w:rPr>
      </w:pPr>
      <w:r>
        <w:rPr>
          <w:rFonts w:hint="eastAsia"/>
          <w:sz w:val="24"/>
          <w:szCs w:val="24"/>
          <w:highlight w:val="none"/>
        </w:rPr>
        <w:t>五、资料保密：</w:t>
      </w:r>
    </w:p>
    <w:p w14:paraId="083CF85D">
      <w:pPr>
        <w:spacing w:line="360" w:lineRule="auto"/>
        <w:ind w:firstLine="480" w:firstLineChars="200"/>
        <w:rPr>
          <w:rFonts w:hint="eastAsia"/>
          <w:sz w:val="24"/>
          <w:szCs w:val="24"/>
          <w:highlight w:val="none"/>
        </w:rPr>
      </w:pPr>
      <w:r>
        <w:rPr>
          <w:rFonts w:hint="eastAsia"/>
          <w:sz w:val="24"/>
          <w:szCs w:val="24"/>
          <w:highlight w:val="none"/>
        </w:rPr>
        <w:t>甲、乙双方均对所提供的报告等资料负有保密责任，未经对方许可不得转给第三者或复制。</w:t>
      </w:r>
    </w:p>
    <w:p w14:paraId="36A9594E">
      <w:pPr>
        <w:spacing w:line="360" w:lineRule="auto"/>
        <w:ind w:firstLine="480" w:firstLineChars="200"/>
        <w:rPr>
          <w:rFonts w:hint="eastAsia"/>
          <w:sz w:val="24"/>
          <w:szCs w:val="24"/>
          <w:highlight w:val="none"/>
        </w:rPr>
      </w:pPr>
      <w:r>
        <w:rPr>
          <w:rFonts w:hint="eastAsia"/>
          <w:sz w:val="24"/>
          <w:szCs w:val="24"/>
          <w:highlight w:val="none"/>
        </w:rPr>
        <w:t>六、风险责任的承担：</w:t>
      </w:r>
    </w:p>
    <w:p w14:paraId="68C8A47F">
      <w:pPr>
        <w:spacing w:line="360" w:lineRule="auto"/>
        <w:ind w:firstLine="480" w:firstLineChars="200"/>
        <w:rPr>
          <w:rFonts w:hint="eastAsia"/>
          <w:sz w:val="24"/>
          <w:szCs w:val="24"/>
          <w:highlight w:val="none"/>
        </w:rPr>
      </w:pPr>
      <w:r>
        <w:rPr>
          <w:rFonts w:hint="eastAsia"/>
          <w:sz w:val="24"/>
          <w:szCs w:val="24"/>
          <w:highlight w:val="none"/>
        </w:rPr>
        <w:t>6.1甲方须对其所提供的资料负责，否则由此引起的一切后果乙方概不负责；</w:t>
      </w:r>
    </w:p>
    <w:p w14:paraId="1D2C4591">
      <w:pPr>
        <w:spacing w:line="360" w:lineRule="auto"/>
        <w:ind w:firstLine="480" w:firstLineChars="200"/>
        <w:rPr>
          <w:rFonts w:hint="eastAsia"/>
          <w:sz w:val="24"/>
          <w:szCs w:val="24"/>
          <w:highlight w:val="none"/>
        </w:rPr>
      </w:pPr>
      <w:r>
        <w:rPr>
          <w:rFonts w:hint="eastAsia"/>
          <w:sz w:val="24"/>
          <w:szCs w:val="24"/>
          <w:highlight w:val="none"/>
        </w:rPr>
        <w:t>6.2乙方对本项目论证报告所作的结论负责。</w:t>
      </w:r>
    </w:p>
    <w:p w14:paraId="0ACEF116">
      <w:pPr>
        <w:spacing w:line="360" w:lineRule="auto"/>
        <w:ind w:firstLine="480" w:firstLineChars="200"/>
        <w:rPr>
          <w:rFonts w:hint="eastAsia"/>
          <w:sz w:val="24"/>
          <w:szCs w:val="24"/>
          <w:highlight w:val="none"/>
        </w:rPr>
      </w:pPr>
      <w:r>
        <w:rPr>
          <w:rFonts w:hint="eastAsia"/>
          <w:sz w:val="24"/>
          <w:szCs w:val="24"/>
          <w:highlight w:val="none"/>
        </w:rPr>
        <w:t>七、合同金额及其支付方法：</w:t>
      </w:r>
    </w:p>
    <w:p w14:paraId="79B6B713">
      <w:pPr>
        <w:spacing w:line="360" w:lineRule="auto"/>
        <w:ind w:firstLine="480" w:firstLineChars="20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本项目</w:t>
      </w:r>
      <w:r>
        <w:rPr>
          <w:rFonts w:hint="eastAsia" w:ascii="宋体" w:hAnsi="宋体" w:cs="宋体"/>
          <w:color w:val="auto"/>
          <w:sz w:val="24"/>
          <w:szCs w:val="24"/>
          <w:highlight w:val="none"/>
        </w:rPr>
        <w:t>中标价为￥</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 xml:space="preserve">，人民币 (大写):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，以上为含税价。不含税价为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，增值税税率为</w:t>
      </w:r>
      <w:r>
        <w:rPr>
          <w:rFonts w:hint="eastAsia" w:ascii="宋体" w:hAnsi="宋体" w:cs="宋体"/>
          <w:color w:val="auto"/>
          <w:sz w:val="24"/>
          <w:szCs w:val="24"/>
          <w:highlight w:val="none"/>
          <w:u w:val="single"/>
        </w:rPr>
        <w:t xml:space="preserve">       %</w:t>
      </w:r>
    </w:p>
    <w:p w14:paraId="51F8C98D">
      <w:pPr>
        <w:spacing w:line="360" w:lineRule="auto"/>
        <w:ind w:firstLine="480" w:firstLineChars="200"/>
        <w:rPr>
          <w:rFonts w:hint="eastAsia"/>
          <w:sz w:val="24"/>
          <w:szCs w:val="24"/>
          <w:highlight w:val="none"/>
        </w:rPr>
      </w:pPr>
      <w:r>
        <w:rPr>
          <w:rFonts w:hint="eastAsia"/>
          <w:sz w:val="24"/>
          <w:szCs w:val="24"/>
          <w:highlight w:val="none"/>
        </w:rPr>
        <w:t>乙方凭主管部门的涉航技术评价报告批复且所有资料移交甲方后，乙方提供正式合法有效的增值税专用发票给甲方，收到发票后30日内甲方应向乙方一次性支付全部费用。</w:t>
      </w:r>
    </w:p>
    <w:p w14:paraId="326F008F">
      <w:pPr>
        <w:spacing w:line="360" w:lineRule="auto"/>
        <w:ind w:firstLine="482" w:firstLineChars="200"/>
        <w:rPr>
          <w:rFonts w:hint="eastAsia"/>
          <w:highlight w:val="none"/>
        </w:rPr>
      </w:pPr>
      <w:r>
        <w:rPr>
          <w:rFonts w:hint="eastAsia" w:ascii="宋体" w:hAnsi="宋体" w:cs="宋体"/>
          <w:b/>
          <w:color w:val="auto"/>
          <w:sz w:val="24"/>
          <w:szCs w:val="24"/>
          <w:highlight w:val="none"/>
          <w:lang w:val="en-US" w:eastAsia="zh-CN"/>
        </w:rPr>
        <w:t>2、履约保证金：</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履约保证金于合同履约结束之日起三十个工作日内无息退还。若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267A9430">
      <w:pPr>
        <w:spacing w:line="360" w:lineRule="auto"/>
        <w:ind w:firstLine="480" w:firstLineChars="200"/>
        <w:rPr>
          <w:rFonts w:hint="eastAsia"/>
          <w:sz w:val="24"/>
          <w:szCs w:val="24"/>
          <w:highlight w:val="none"/>
        </w:rPr>
      </w:pPr>
      <w:r>
        <w:rPr>
          <w:rFonts w:hint="eastAsia"/>
          <w:sz w:val="24"/>
          <w:szCs w:val="24"/>
          <w:highlight w:val="none"/>
        </w:rPr>
        <w:t>八、违约金或者损失赔偿额的计算办法：</w:t>
      </w:r>
    </w:p>
    <w:p w14:paraId="0E1D83CC">
      <w:pPr>
        <w:spacing w:line="360" w:lineRule="auto"/>
        <w:ind w:firstLine="480" w:firstLineChars="200"/>
        <w:rPr>
          <w:rFonts w:hint="eastAsia"/>
          <w:sz w:val="24"/>
          <w:szCs w:val="24"/>
          <w:highlight w:val="none"/>
        </w:rPr>
      </w:pPr>
      <w:r>
        <w:rPr>
          <w:rFonts w:hint="eastAsia"/>
          <w:sz w:val="24"/>
          <w:szCs w:val="24"/>
          <w:highlight w:val="none"/>
        </w:rPr>
        <w:t>8.</w:t>
      </w:r>
      <w:r>
        <w:rPr>
          <w:rFonts w:hint="eastAsia"/>
          <w:sz w:val="24"/>
          <w:szCs w:val="24"/>
          <w:highlight w:val="none"/>
          <w:lang w:val="en-US" w:eastAsia="zh-CN"/>
        </w:rPr>
        <w:t>1</w:t>
      </w:r>
      <w:r>
        <w:rPr>
          <w:rFonts w:hint="eastAsia"/>
          <w:sz w:val="24"/>
          <w:szCs w:val="24"/>
          <w:highlight w:val="none"/>
        </w:rPr>
        <w:t xml:space="preserve"> 乙方在合同约定期内未按时</w:t>
      </w:r>
      <w:r>
        <w:rPr>
          <w:rFonts w:hint="eastAsia"/>
          <w:sz w:val="24"/>
          <w:szCs w:val="24"/>
          <w:highlight w:val="none"/>
          <w:lang w:eastAsia="zh-CN"/>
        </w:rPr>
        <w:t>完成</w:t>
      </w:r>
      <w:r>
        <w:rPr>
          <w:rFonts w:hint="eastAsia"/>
          <w:sz w:val="24"/>
          <w:szCs w:val="24"/>
          <w:highlight w:val="none"/>
        </w:rPr>
        <w:t>相关报告的编制</w:t>
      </w:r>
      <w:r>
        <w:rPr>
          <w:rFonts w:hint="eastAsia"/>
          <w:sz w:val="24"/>
          <w:szCs w:val="24"/>
          <w:highlight w:val="none"/>
          <w:lang w:eastAsia="zh-CN"/>
        </w:rPr>
        <w:t>及</w:t>
      </w:r>
      <w:r>
        <w:rPr>
          <w:rFonts w:hint="eastAsia"/>
          <w:sz w:val="24"/>
          <w:szCs w:val="24"/>
          <w:highlight w:val="none"/>
        </w:rPr>
        <w:t>取得相关部门的准予交通运输行政确认决定书</w:t>
      </w:r>
      <w:r>
        <w:rPr>
          <w:rFonts w:hint="eastAsia"/>
          <w:sz w:val="24"/>
          <w:szCs w:val="24"/>
          <w:highlight w:val="none"/>
          <w:lang w:eastAsia="zh-CN"/>
        </w:rPr>
        <w:t>的</w:t>
      </w:r>
      <w:r>
        <w:rPr>
          <w:rFonts w:hint="eastAsia"/>
          <w:sz w:val="24"/>
          <w:szCs w:val="24"/>
          <w:highlight w:val="none"/>
        </w:rPr>
        <w:t>，除不可抗力外，</w:t>
      </w:r>
      <w:r>
        <w:rPr>
          <w:rFonts w:hint="eastAsia"/>
          <w:sz w:val="24"/>
          <w:szCs w:val="24"/>
          <w:highlight w:val="none"/>
          <w:lang w:eastAsia="zh-CN"/>
        </w:rPr>
        <w:t>乙</w:t>
      </w:r>
      <w:r>
        <w:rPr>
          <w:rFonts w:hint="eastAsia"/>
          <w:sz w:val="24"/>
          <w:szCs w:val="24"/>
          <w:highlight w:val="none"/>
        </w:rPr>
        <w:t>方应向</w:t>
      </w:r>
      <w:r>
        <w:rPr>
          <w:rFonts w:hint="eastAsia"/>
          <w:sz w:val="24"/>
          <w:szCs w:val="24"/>
          <w:highlight w:val="none"/>
          <w:lang w:eastAsia="zh-CN"/>
        </w:rPr>
        <w:t>甲</w:t>
      </w:r>
      <w:r>
        <w:rPr>
          <w:rFonts w:hint="eastAsia"/>
          <w:sz w:val="24"/>
          <w:szCs w:val="24"/>
          <w:highlight w:val="none"/>
        </w:rPr>
        <w:t>方支付违约金，具体支付比例如下：</w:t>
      </w:r>
    </w:p>
    <w:p w14:paraId="66DF7F38">
      <w:pPr>
        <w:autoSpaceDE w:val="0"/>
        <w:autoSpaceDN w:val="0"/>
        <w:adjustRightInd w:val="0"/>
        <w:snapToGrid w:val="0"/>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sz w:val="24"/>
          <w:szCs w:val="24"/>
          <w:highlight w:val="none"/>
        </w:rPr>
        <w:t>如延误</w:t>
      </w:r>
      <w:r>
        <w:rPr>
          <w:rFonts w:hint="eastAsia" w:ascii="宋体" w:hAnsi="宋体" w:eastAsia="宋体"/>
          <w:sz w:val="24"/>
          <w:szCs w:val="24"/>
          <w:highlight w:val="none"/>
          <w:lang w:val="en-US" w:eastAsia="zh-CN"/>
        </w:rPr>
        <w:t>上述</w:t>
      </w:r>
      <w:r>
        <w:rPr>
          <w:rFonts w:hint="eastAsia" w:ascii="宋体" w:hAnsi="宋体" w:eastAsia="宋体"/>
          <w:sz w:val="24"/>
          <w:szCs w:val="24"/>
          <w:highlight w:val="none"/>
        </w:rPr>
        <w:t>工期，则</w:t>
      </w:r>
      <w:r>
        <w:rPr>
          <w:rFonts w:hint="eastAsia" w:ascii="宋体" w:hAnsi="宋体"/>
          <w:sz w:val="24"/>
          <w:szCs w:val="24"/>
          <w:highlight w:val="none"/>
          <w:lang w:val="en-US" w:eastAsia="zh-CN"/>
        </w:rPr>
        <w:t>乙方</w:t>
      </w:r>
      <w:r>
        <w:rPr>
          <w:rFonts w:hint="eastAsia" w:ascii="宋体" w:hAnsi="宋体" w:eastAsia="宋体"/>
          <w:sz w:val="24"/>
          <w:szCs w:val="24"/>
          <w:highlight w:val="none"/>
        </w:rPr>
        <w:t>按中标价的</w:t>
      </w:r>
      <w:r>
        <w:rPr>
          <w:rFonts w:hint="eastAsia" w:ascii="宋体" w:hAnsi="宋体"/>
          <w:sz w:val="24"/>
          <w:szCs w:val="24"/>
          <w:highlight w:val="none"/>
          <w:lang w:val="en-US" w:eastAsia="zh-CN"/>
        </w:rPr>
        <w:t>千</w:t>
      </w:r>
      <w:r>
        <w:rPr>
          <w:rFonts w:hint="eastAsia" w:ascii="宋体" w:hAnsi="宋体" w:eastAsia="宋体"/>
          <w:sz w:val="24"/>
          <w:szCs w:val="24"/>
          <w:highlight w:val="none"/>
        </w:rPr>
        <w:t>分之</w:t>
      </w:r>
      <w:r>
        <w:rPr>
          <w:rFonts w:hint="eastAsia" w:ascii="宋体" w:hAnsi="宋体"/>
          <w:sz w:val="24"/>
          <w:szCs w:val="24"/>
          <w:highlight w:val="none"/>
          <w:lang w:val="en-US" w:eastAsia="zh-CN"/>
        </w:rPr>
        <w:t>五</w:t>
      </w:r>
      <w:r>
        <w:rPr>
          <w:rFonts w:hint="eastAsia" w:ascii="宋体" w:hAnsi="宋体" w:eastAsia="宋体"/>
          <w:sz w:val="24"/>
          <w:szCs w:val="24"/>
          <w:highlight w:val="none"/>
        </w:rPr>
        <w:t>/天支付违约金给</w:t>
      </w:r>
      <w:r>
        <w:rPr>
          <w:rFonts w:hint="eastAsia" w:ascii="宋体" w:hAnsi="宋体"/>
          <w:sz w:val="24"/>
          <w:szCs w:val="24"/>
          <w:highlight w:val="none"/>
          <w:lang w:val="en-US" w:eastAsia="zh-CN"/>
        </w:rPr>
        <w:t>甲方</w:t>
      </w:r>
      <w:r>
        <w:rPr>
          <w:rFonts w:hint="eastAsia" w:ascii="宋体" w:hAnsi="宋体"/>
          <w:sz w:val="24"/>
          <w:szCs w:val="24"/>
          <w:highlight w:val="none"/>
          <w:lang w:eastAsia="zh-CN"/>
        </w:rPr>
        <w:t>；</w:t>
      </w:r>
    </w:p>
    <w:p w14:paraId="1A231C04">
      <w:pPr>
        <w:spacing w:line="360" w:lineRule="auto"/>
        <w:ind w:firstLine="480" w:firstLineChars="200"/>
        <w:rPr>
          <w:rFonts w:hint="eastAsia"/>
          <w:sz w:val="24"/>
          <w:szCs w:val="24"/>
          <w:highlight w:val="none"/>
        </w:rPr>
      </w:pPr>
      <w:r>
        <w:rPr>
          <w:rFonts w:hint="eastAsia"/>
          <w:sz w:val="24"/>
          <w:szCs w:val="24"/>
          <w:highlight w:val="none"/>
        </w:rPr>
        <w:t>乙方逾期交</w:t>
      </w:r>
      <w:r>
        <w:rPr>
          <w:rFonts w:hint="eastAsia"/>
          <w:sz w:val="24"/>
          <w:szCs w:val="24"/>
          <w:highlight w:val="none"/>
          <w:lang w:eastAsia="zh-CN"/>
        </w:rPr>
        <w:t>付</w:t>
      </w:r>
      <w:r>
        <w:rPr>
          <w:rFonts w:hint="eastAsia"/>
          <w:sz w:val="24"/>
          <w:szCs w:val="24"/>
          <w:highlight w:val="none"/>
        </w:rPr>
        <w:t>超过</w:t>
      </w:r>
      <w:r>
        <w:rPr>
          <w:rFonts w:hint="eastAsia"/>
          <w:sz w:val="24"/>
          <w:szCs w:val="24"/>
          <w:highlight w:val="none"/>
          <w:lang w:val="en-US" w:eastAsia="zh-CN"/>
        </w:rPr>
        <w:t>60</w:t>
      </w:r>
      <w:r>
        <w:rPr>
          <w:rFonts w:hint="eastAsia"/>
          <w:sz w:val="24"/>
          <w:szCs w:val="24"/>
          <w:highlight w:val="none"/>
        </w:rPr>
        <w:t>天以上的视为乙方不履行合同，甲方有权终止合同，并要求乙方支付迟交违约金</w:t>
      </w:r>
      <w:r>
        <w:rPr>
          <w:rFonts w:hint="eastAsia"/>
          <w:sz w:val="24"/>
          <w:szCs w:val="24"/>
          <w:highlight w:val="none"/>
          <w:lang w:val="en-US" w:eastAsia="zh-CN"/>
        </w:rPr>
        <w:t>及</w:t>
      </w:r>
      <w:r>
        <w:rPr>
          <w:rFonts w:hint="eastAsia"/>
          <w:sz w:val="24"/>
          <w:szCs w:val="24"/>
          <w:highlight w:val="none"/>
        </w:rPr>
        <w:t>扣除相应的履约保证金。</w:t>
      </w:r>
    </w:p>
    <w:p w14:paraId="32A9CD68">
      <w:pPr>
        <w:spacing w:line="360" w:lineRule="auto"/>
        <w:ind w:firstLine="480" w:firstLineChars="200"/>
        <w:rPr>
          <w:rFonts w:hint="eastAsia"/>
          <w:sz w:val="24"/>
          <w:szCs w:val="24"/>
          <w:highlight w:val="none"/>
        </w:rPr>
      </w:pPr>
      <w:r>
        <w:rPr>
          <w:rFonts w:hint="eastAsia"/>
          <w:sz w:val="24"/>
          <w:szCs w:val="24"/>
          <w:highlight w:val="none"/>
        </w:rPr>
        <w:t>九、合同生效及其它：</w:t>
      </w:r>
    </w:p>
    <w:p w14:paraId="5F027ACD">
      <w:pPr>
        <w:spacing w:line="360" w:lineRule="auto"/>
        <w:ind w:firstLine="480" w:firstLineChars="200"/>
        <w:rPr>
          <w:rFonts w:hint="eastAsia"/>
          <w:sz w:val="24"/>
          <w:szCs w:val="24"/>
          <w:highlight w:val="none"/>
        </w:rPr>
      </w:pPr>
      <w:r>
        <w:rPr>
          <w:rFonts w:hint="eastAsia"/>
          <w:sz w:val="24"/>
          <w:szCs w:val="24"/>
          <w:highlight w:val="none"/>
        </w:rPr>
        <w:t>1、乙方不履行合同或履行合同不符合约定的，按违约处理，甲方有权终止合同，同时对乙方处以扣除相应的违约金和履约保证金的违约处罚，并报监管指定网站公示。如果甲方因此造成的实际损失超过约定的违约金及履约保证金，则乙方的赔偿额应以甲方的实际损失为准。</w:t>
      </w:r>
    </w:p>
    <w:p w14:paraId="6C56DCD4">
      <w:pPr>
        <w:spacing w:line="360" w:lineRule="auto"/>
        <w:ind w:firstLine="480" w:firstLineChars="200"/>
        <w:rPr>
          <w:rFonts w:hint="eastAsia"/>
          <w:sz w:val="24"/>
          <w:szCs w:val="24"/>
          <w:highlight w:val="none"/>
        </w:rPr>
      </w:pPr>
      <w:r>
        <w:rPr>
          <w:rFonts w:hint="eastAsia"/>
          <w:sz w:val="24"/>
          <w:szCs w:val="24"/>
          <w:highlight w:val="none"/>
        </w:rPr>
        <w:t>2、合同经甲乙双方代表签字并加盖公章（或合同章）后即生效。</w:t>
      </w:r>
    </w:p>
    <w:p w14:paraId="4F6A8BB3">
      <w:pPr>
        <w:spacing w:line="360" w:lineRule="auto"/>
        <w:ind w:firstLine="480" w:firstLineChars="200"/>
        <w:rPr>
          <w:rFonts w:hint="eastAsia"/>
          <w:sz w:val="24"/>
          <w:szCs w:val="24"/>
          <w:highlight w:val="none"/>
        </w:rPr>
      </w:pPr>
      <w:r>
        <w:rPr>
          <w:rFonts w:hint="eastAsia"/>
          <w:sz w:val="24"/>
          <w:szCs w:val="24"/>
          <w:highlight w:val="none"/>
        </w:rPr>
        <w:t>3、合同签订后甲乙双方即直接产生权利与义务的关系，合同执行过程中出现的问题应按照《民法典》的规定办理，在合同履行过程中，双方如有争议，先由甲乙双方协商解决，如协商不成，则可向甲方所在地（宜兴）法院起诉。</w:t>
      </w:r>
    </w:p>
    <w:p w14:paraId="4BB63301">
      <w:pPr>
        <w:spacing w:line="360" w:lineRule="auto"/>
        <w:ind w:firstLine="480" w:firstLineChars="200"/>
        <w:rPr>
          <w:rFonts w:hint="eastAsia"/>
          <w:sz w:val="24"/>
          <w:szCs w:val="24"/>
          <w:highlight w:val="none"/>
        </w:rPr>
      </w:pPr>
      <w:r>
        <w:rPr>
          <w:rFonts w:hint="eastAsia"/>
          <w:sz w:val="24"/>
          <w:szCs w:val="24"/>
          <w:highlight w:val="none"/>
        </w:rPr>
        <w:t>4、合同在执行过程中出现的未尽事宜，在不违背本合同和招标文件的原则下协议解决。</w:t>
      </w:r>
    </w:p>
    <w:p w14:paraId="75DC746F">
      <w:pPr>
        <w:spacing w:line="360" w:lineRule="auto"/>
        <w:ind w:firstLine="480" w:firstLineChars="200"/>
        <w:rPr>
          <w:rFonts w:hint="eastAsia"/>
          <w:sz w:val="24"/>
          <w:szCs w:val="24"/>
          <w:highlight w:val="none"/>
        </w:rPr>
      </w:pPr>
      <w:r>
        <w:rPr>
          <w:rFonts w:hint="eastAsia"/>
          <w:sz w:val="24"/>
          <w:szCs w:val="24"/>
          <w:highlight w:val="none"/>
        </w:rPr>
        <w:t>5、合同在执行过程中出现的未尽事宜，双方在不违背本合同和招标文件的原则下协商解决，协商结果以书面形式签订补充协议，且补充协议与本合同具有同等效力。</w:t>
      </w:r>
    </w:p>
    <w:p w14:paraId="612607DF">
      <w:pPr>
        <w:spacing w:line="360" w:lineRule="auto"/>
        <w:ind w:firstLine="480" w:firstLineChars="200"/>
        <w:rPr>
          <w:rFonts w:hint="eastAsia"/>
          <w:sz w:val="24"/>
          <w:szCs w:val="24"/>
          <w:highlight w:val="none"/>
        </w:rPr>
      </w:pPr>
      <w:r>
        <w:rPr>
          <w:rFonts w:hint="eastAsia"/>
          <w:sz w:val="24"/>
          <w:szCs w:val="24"/>
          <w:highlight w:val="none"/>
        </w:rPr>
        <w:t>6、本合同应按照中华人民共和国的现行法律进行解释。</w:t>
      </w:r>
    </w:p>
    <w:p w14:paraId="31BA4F73">
      <w:pPr>
        <w:spacing w:line="360" w:lineRule="auto"/>
        <w:ind w:firstLine="480" w:firstLineChars="200"/>
        <w:rPr>
          <w:rFonts w:hint="eastAsia"/>
          <w:sz w:val="24"/>
          <w:szCs w:val="24"/>
          <w:highlight w:val="none"/>
        </w:rPr>
      </w:pPr>
      <w:r>
        <w:rPr>
          <w:rFonts w:hint="eastAsia"/>
          <w:sz w:val="24"/>
          <w:szCs w:val="24"/>
          <w:highlight w:val="none"/>
        </w:rPr>
        <w:t>十、本合同一式</w:t>
      </w:r>
      <w:r>
        <w:rPr>
          <w:rFonts w:hint="eastAsia"/>
          <w:sz w:val="24"/>
          <w:szCs w:val="24"/>
          <w:highlight w:val="none"/>
          <w:lang w:eastAsia="zh-CN"/>
        </w:rPr>
        <w:t>陆</w:t>
      </w:r>
      <w:r>
        <w:rPr>
          <w:rFonts w:hint="eastAsia"/>
          <w:sz w:val="24"/>
          <w:szCs w:val="24"/>
          <w:highlight w:val="none"/>
        </w:rPr>
        <w:t>份，甲方执</w:t>
      </w:r>
      <w:r>
        <w:rPr>
          <w:rFonts w:hint="eastAsia"/>
          <w:sz w:val="24"/>
          <w:szCs w:val="24"/>
          <w:highlight w:val="none"/>
          <w:lang w:eastAsia="zh-CN"/>
        </w:rPr>
        <w:t>叁</w:t>
      </w:r>
      <w:r>
        <w:rPr>
          <w:rFonts w:hint="eastAsia"/>
          <w:sz w:val="24"/>
          <w:szCs w:val="24"/>
          <w:highlight w:val="none"/>
        </w:rPr>
        <w:t>份、乙方执</w:t>
      </w:r>
      <w:r>
        <w:rPr>
          <w:rFonts w:hint="eastAsia"/>
          <w:sz w:val="24"/>
          <w:szCs w:val="24"/>
          <w:highlight w:val="none"/>
          <w:lang w:eastAsia="zh-CN"/>
        </w:rPr>
        <w:t>叁</w:t>
      </w:r>
      <w:r>
        <w:rPr>
          <w:rFonts w:hint="eastAsia"/>
          <w:sz w:val="24"/>
          <w:szCs w:val="24"/>
          <w:highlight w:val="none"/>
        </w:rPr>
        <w:t>份，自盖章签字之日起生效。</w:t>
      </w:r>
    </w:p>
    <w:p w14:paraId="5CB25EFF">
      <w:pPr>
        <w:spacing w:line="360" w:lineRule="auto"/>
        <w:ind w:firstLine="480" w:firstLineChars="200"/>
        <w:rPr>
          <w:sz w:val="24"/>
          <w:szCs w:val="24"/>
          <w:highlight w:val="none"/>
        </w:rPr>
      </w:pPr>
    </w:p>
    <w:tbl>
      <w:tblPr>
        <w:tblStyle w:val="10"/>
        <w:tblW w:w="10031" w:type="dxa"/>
        <w:tblInd w:w="0" w:type="dxa"/>
        <w:tblLayout w:type="fixed"/>
        <w:tblCellMar>
          <w:top w:w="0" w:type="dxa"/>
          <w:left w:w="108" w:type="dxa"/>
          <w:bottom w:w="0" w:type="dxa"/>
          <w:right w:w="108" w:type="dxa"/>
        </w:tblCellMar>
      </w:tblPr>
      <w:tblGrid>
        <w:gridCol w:w="5639"/>
        <w:gridCol w:w="4392"/>
      </w:tblGrid>
      <w:tr w14:paraId="6C5E84A9">
        <w:tblPrEx>
          <w:tblCellMar>
            <w:top w:w="0" w:type="dxa"/>
            <w:left w:w="108" w:type="dxa"/>
            <w:bottom w:w="0" w:type="dxa"/>
            <w:right w:w="108" w:type="dxa"/>
          </w:tblCellMar>
        </w:tblPrEx>
        <w:tc>
          <w:tcPr>
            <w:tcW w:w="5639" w:type="dxa"/>
            <w:noWrap/>
            <w:vAlign w:val="top"/>
          </w:tcPr>
          <w:p w14:paraId="41DADC3D">
            <w:pPr>
              <w:adjustRightInd w:val="0"/>
              <w:snapToGrid w:val="0"/>
              <w:rPr>
                <w:rFonts w:ascii="宋体" w:hAnsi="宋体"/>
                <w:sz w:val="24"/>
                <w:szCs w:val="24"/>
                <w:highlight w:val="none"/>
              </w:rPr>
            </w:pPr>
            <w:r>
              <w:rPr>
                <w:rFonts w:hint="eastAsia" w:ascii="宋体" w:hAnsi="宋体"/>
                <w:sz w:val="24"/>
                <w:szCs w:val="24"/>
                <w:highlight w:val="none"/>
              </w:rPr>
              <w:t>甲</w:t>
            </w:r>
            <w:r>
              <w:rPr>
                <w:rFonts w:ascii="宋体" w:hAnsi="宋体"/>
                <w:sz w:val="24"/>
                <w:szCs w:val="24"/>
                <w:highlight w:val="none"/>
              </w:rPr>
              <w:t>方</w:t>
            </w:r>
            <w:r>
              <w:rPr>
                <w:sz w:val="24"/>
                <w:szCs w:val="24"/>
                <w:highlight w:val="none"/>
              </w:rPr>
              <w:t>（</w:t>
            </w:r>
            <w:r>
              <w:rPr>
                <w:rFonts w:hint="eastAsia"/>
                <w:sz w:val="24"/>
                <w:szCs w:val="24"/>
                <w:highlight w:val="none"/>
              </w:rPr>
              <w:t>委托方</w:t>
            </w:r>
            <w:r>
              <w:rPr>
                <w:sz w:val="24"/>
                <w:szCs w:val="24"/>
                <w:highlight w:val="none"/>
              </w:rPr>
              <w:t>）</w:t>
            </w:r>
            <w:r>
              <w:rPr>
                <w:rFonts w:ascii="宋体" w:hAnsi="宋体"/>
                <w:sz w:val="24"/>
                <w:szCs w:val="24"/>
                <w:highlight w:val="none"/>
              </w:rPr>
              <w:t>：</w:t>
            </w:r>
          </w:p>
        </w:tc>
        <w:tc>
          <w:tcPr>
            <w:tcW w:w="4392" w:type="dxa"/>
            <w:noWrap/>
            <w:vAlign w:val="center"/>
          </w:tcPr>
          <w:p w14:paraId="2D6494CA">
            <w:pPr>
              <w:adjustRightInd w:val="0"/>
              <w:snapToGrid w:val="0"/>
              <w:rPr>
                <w:rFonts w:ascii="宋体" w:hAnsi="宋体"/>
                <w:sz w:val="24"/>
                <w:szCs w:val="24"/>
                <w:highlight w:val="none"/>
              </w:rPr>
            </w:pPr>
            <w:r>
              <w:rPr>
                <w:rFonts w:ascii="宋体" w:hAnsi="宋体"/>
                <w:sz w:val="24"/>
                <w:szCs w:val="24"/>
                <w:highlight w:val="none"/>
              </w:rPr>
              <w:t>乙方</w:t>
            </w:r>
            <w:r>
              <w:rPr>
                <w:sz w:val="24"/>
                <w:szCs w:val="24"/>
                <w:highlight w:val="none"/>
              </w:rPr>
              <w:t>（</w:t>
            </w:r>
            <w:r>
              <w:rPr>
                <w:rFonts w:hint="eastAsia"/>
                <w:sz w:val="24"/>
                <w:szCs w:val="24"/>
                <w:highlight w:val="none"/>
              </w:rPr>
              <w:t>被委托方</w:t>
            </w:r>
            <w:r>
              <w:rPr>
                <w:sz w:val="24"/>
                <w:szCs w:val="24"/>
                <w:highlight w:val="none"/>
              </w:rPr>
              <w:t>）</w:t>
            </w:r>
            <w:r>
              <w:rPr>
                <w:rFonts w:ascii="宋体" w:hAnsi="宋体"/>
                <w:sz w:val="24"/>
                <w:szCs w:val="24"/>
                <w:highlight w:val="none"/>
              </w:rPr>
              <w:t>：</w:t>
            </w:r>
          </w:p>
          <w:p w14:paraId="2D472EA9">
            <w:pPr>
              <w:adjustRightInd w:val="0"/>
              <w:snapToGrid w:val="0"/>
              <w:rPr>
                <w:rFonts w:ascii="宋体" w:hAnsi="宋体"/>
                <w:sz w:val="24"/>
                <w:szCs w:val="24"/>
                <w:highlight w:val="none"/>
              </w:rPr>
            </w:pPr>
          </w:p>
        </w:tc>
      </w:tr>
      <w:tr w14:paraId="42BC761E">
        <w:tblPrEx>
          <w:tblCellMar>
            <w:top w:w="0" w:type="dxa"/>
            <w:left w:w="108" w:type="dxa"/>
            <w:bottom w:w="0" w:type="dxa"/>
            <w:right w:w="108" w:type="dxa"/>
          </w:tblCellMar>
        </w:tblPrEx>
        <w:tc>
          <w:tcPr>
            <w:tcW w:w="5639" w:type="dxa"/>
            <w:noWrap/>
            <w:vAlign w:val="top"/>
          </w:tcPr>
          <w:p w14:paraId="76B365E5">
            <w:pPr>
              <w:adjustRightInd w:val="0"/>
              <w:snapToGrid w:val="0"/>
              <w:rPr>
                <w:rFonts w:ascii="宋体" w:hAnsi="宋体"/>
                <w:sz w:val="24"/>
                <w:szCs w:val="24"/>
                <w:highlight w:val="none"/>
              </w:rPr>
            </w:pPr>
            <w:r>
              <w:rPr>
                <w:rFonts w:ascii="宋体" w:hAnsi="宋体"/>
                <w:sz w:val="24"/>
                <w:szCs w:val="24"/>
                <w:highlight w:val="none"/>
              </w:rPr>
              <w:t>法定代表人</w:t>
            </w:r>
          </w:p>
          <w:p w14:paraId="2C531202">
            <w:pPr>
              <w:adjustRightInd w:val="0"/>
              <w:snapToGrid w:val="0"/>
              <w:rPr>
                <w:rFonts w:ascii="宋体" w:hAnsi="宋体"/>
                <w:sz w:val="24"/>
                <w:szCs w:val="24"/>
                <w:highlight w:val="none"/>
              </w:rPr>
            </w:pPr>
            <w:r>
              <w:rPr>
                <w:rFonts w:ascii="宋体" w:hAnsi="宋体"/>
                <w:sz w:val="24"/>
                <w:szCs w:val="24"/>
                <w:highlight w:val="none"/>
              </w:rPr>
              <w:t>及其委托代理人（签字）：</w:t>
            </w:r>
          </w:p>
          <w:p w14:paraId="44B74D8F">
            <w:pPr>
              <w:adjustRightInd w:val="0"/>
              <w:snapToGrid w:val="0"/>
              <w:rPr>
                <w:rFonts w:ascii="宋体" w:hAnsi="宋体"/>
                <w:sz w:val="24"/>
                <w:szCs w:val="24"/>
                <w:highlight w:val="none"/>
              </w:rPr>
            </w:pPr>
          </w:p>
        </w:tc>
        <w:tc>
          <w:tcPr>
            <w:tcW w:w="4392" w:type="dxa"/>
            <w:noWrap/>
            <w:vAlign w:val="center"/>
          </w:tcPr>
          <w:p w14:paraId="62483052">
            <w:pPr>
              <w:adjustRightInd w:val="0"/>
              <w:snapToGrid w:val="0"/>
              <w:rPr>
                <w:rFonts w:ascii="宋体" w:hAnsi="宋体"/>
                <w:sz w:val="24"/>
                <w:szCs w:val="24"/>
                <w:highlight w:val="none"/>
              </w:rPr>
            </w:pPr>
            <w:r>
              <w:rPr>
                <w:rFonts w:ascii="宋体" w:hAnsi="宋体"/>
                <w:sz w:val="24"/>
                <w:szCs w:val="24"/>
                <w:highlight w:val="none"/>
              </w:rPr>
              <w:t>法定代表人</w:t>
            </w:r>
          </w:p>
          <w:p w14:paraId="61436CE8">
            <w:pPr>
              <w:adjustRightInd w:val="0"/>
              <w:snapToGrid w:val="0"/>
              <w:rPr>
                <w:rFonts w:ascii="宋体" w:hAnsi="宋体"/>
                <w:sz w:val="24"/>
                <w:szCs w:val="24"/>
                <w:highlight w:val="none"/>
              </w:rPr>
            </w:pPr>
            <w:r>
              <w:rPr>
                <w:rFonts w:ascii="宋体" w:hAnsi="宋体"/>
                <w:sz w:val="24"/>
                <w:szCs w:val="24"/>
                <w:highlight w:val="none"/>
              </w:rPr>
              <w:t>及其委托代理人（签字）：</w:t>
            </w:r>
          </w:p>
          <w:p w14:paraId="0812FFC1">
            <w:pPr>
              <w:adjustRightInd w:val="0"/>
              <w:snapToGrid w:val="0"/>
              <w:rPr>
                <w:rFonts w:ascii="宋体" w:hAnsi="宋体"/>
                <w:sz w:val="24"/>
                <w:szCs w:val="24"/>
                <w:highlight w:val="none"/>
              </w:rPr>
            </w:pPr>
          </w:p>
        </w:tc>
      </w:tr>
      <w:tr w14:paraId="0999F74F">
        <w:tblPrEx>
          <w:tblCellMar>
            <w:top w:w="0" w:type="dxa"/>
            <w:left w:w="108" w:type="dxa"/>
            <w:bottom w:w="0" w:type="dxa"/>
            <w:right w:w="108" w:type="dxa"/>
          </w:tblCellMar>
        </w:tblPrEx>
        <w:tc>
          <w:tcPr>
            <w:tcW w:w="5639" w:type="dxa"/>
            <w:noWrap/>
            <w:vAlign w:val="top"/>
          </w:tcPr>
          <w:p w14:paraId="605D29AB">
            <w:pPr>
              <w:adjustRightInd w:val="0"/>
              <w:snapToGrid w:val="0"/>
              <w:rPr>
                <w:rFonts w:ascii="宋体" w:hAnsi="宋体"/>
                <w:sz w:val="24"/>
                <w:szCs w:val="24"/>
                <w:highlight w:val="none"/>
              </w:rPr>
            </w:pPr>
            <w:r>
              <w:rPr>
                <w:rFonts w:ascii="宋体" w:hAnsi="宋体"/>
                <w:sz w:val="24"/>
                <w:szCs w:val="24"/>
                <w:highlight w:val="none"/>
              </w:rPr>
              <w:t>签订日期：</w:t>
            </w:r>
          </w:p>
        </w:tc>
        <w:tc>
          <w:tcPr>
            <w:tcW w:w="4392" w:type="dxa"/>
            <w:noWrap/>
            <w:vAlign w:val="center"/>
          </w:tcPr>
          <w:p w14:paraId="6D1DEDAC">
            <w:pPr>
              <w:adjustRightInd w:val="0"/>
              <w:snapToGrid w:val="0"/>
              <w:rPr>
                <w:rFonts w:ascii="宋体" w:hAnsi="宋体"/>
                <w:sz w:val="24"/>
                <w:szCs w:val="24"/>
                <w:highlight w:val="none"/>
              </w:rPr>
            </w:pPr>
            <w:r>
              <w:rPr>
                <w:rFonts w:ascii="宋体" w:hAnsi="宋体"/>
                <w:sz w:val="24"/>
                <w:szCs w:val="24"/>
                <w:highlight w:val="none"/>
              </w:rPr>
              <w:t>签订日期：</w:t>
            </w:r>
          </w:p>
          <w:p w14:paraId="436A3360">
            <w:pPr>
              <w:adjustRightInd w:val="0"/>
              <w:snapToGrid w:val="0"/>
              <w:rPr>
                <w:rFonts w:ascii="宋体" w:hAnsi="宋体"/>
                <w:sz w:val="24"/>
                <w:szCs w:val="24"/>
                <w:highlight w:val="none"/>
              </w:rPr>
            </w:pPr>
          </w:p>
        </w:tc>
      </w:tr>
      <w:tr w14:paraId="07BDC17E">
        <w:tblPrEx>
          <w:tblCellMar>
            <w:top w:w="0" w:type="dxa"/>
            <w:left w:w="108" w:type="dxa"/>
            <w:bottom w:w="0" w:type="dxa"/>
            <w:right w:w="108" w:type="dxa"/>
          </w:tblCellMar>
        </w:tblPrEx>
        <w:tc>
          <w:tcPr>
            <w:tcW w:w="5639" w:type="dxa"/>
            <w:noWrap/>
            <w:vAlign w:val="top"/>
          </w:tcPr>
          <w:p w14:paraId="03B5ADC8">
            <w:pPr>
              <w:adjustRightInd w:val="0"/>
              <w:snapToGrid w:val="0"/>
              <w:rPr>
                <w:rFonts w:ascii="宋体" w:hAnsi="宋体"/>
                <w:sz w:val="24"/>
                <w:szCs w:val="24"/>
                <w:highlight w:val="none"/>
              </w:rPr>
            </w:pPr>
            <w:r>
              <w:rPr>
                <w:rFonts w:ascii="宋体" w:hAnsi="宋体"/>
                <w:sz w:val="24"/>
                <w:szCs w:val="24"/>
                <w:highlight w:val="none"/>
              </w:rPr>
              <w:t>开户银行：</w:t>
            </w:r>
          </w:p>
        </w:tc>
        <w:tc>
          <w:tcPr>
            <w:tcW w:w="4392" w:type="dxa"/>
            <w:noWrap/>
            <w:vAlign w:val="center"/>
          </w:tcPr>
          <w:p w14:paraId="51FB9F95">
            <w:pPr>
              <w:adjustRightInd w:val="0"/>
              <w:snapToGrid w:val="0"/>
              <w:rPr>
                <w:rFonts w:ascii="宋体" w:hAnsi="宋体"/>
                <w:sz w:val="24"/>
                <w:szCs w:val="24"/>
                <w:highlight w:val="none"/>
              </w:rPr>
            </w:pPr>
            <w:r>
              <w:rPr>
                <w:rFonts w:ascii="宋体" w:hAnsi="宋体"/>
                <w:sz w:val="24"/>
                <w:szCs w:val="24"/>
                <w:highlight w:val="none"/>
              </w:rPr>
              <w:t>开户银行：</w:t>
            </w:r>
          </w:p>
          <w:p w14:paraId="103A93C0">
            <w:pPr>
              <w:adjustRightInd w:val="0"/>
              <w:snapToGrid w:val="0"/>
              <w:rPr>
                <w:rFonts w:ascii="宋体" w:hAnsi="宋体"/>
                <w:sz w:val="24"/>
                <w:szCs w:val="24"/>
                <w:highlight w:val="none"/>
              </w:rPr>
            </w:pPr>
          </w:p>
        </w:tc>
      </w:tr>
      <w:tr w14:paraId="11340CD4">
        <w:tblPrEx>
          <w:tblCellMar>
            <w:top w:w="0" w:type="dxa"/>
            <w:left w:w="108" w:type="dxa"/>
            <w:bottom w:w="0" w:type="dxa"/>
            <w:right w:w="108" w:type="dxa"/>
          </w:tblCellMar>
        </w:tblPrEx>
        <w:tc>
          <w:tcPr>
            <w:tcW w:w="5639" w:type="dxa"/>
            <w:noWrap/>
            <w:vAlign w:val="top"/>
          </w:tcPr>
          <w:p w14:paraId="40F39C4E">
            <w:pPr>
              <w:adjustRightInd w:val="0"/>
              <w:snapToGrid w:val="0"/>
              <w:rPr>
                <w:rFonts w:ascii="宋体" w:hAnsi="宋体"/>
                <w:sz w:val="24"/>
                <w:szCs w:val="24"/>
                <w:highlight w:val="none"/>
              </w:rPr>
            </w:pPr>
            <w:r>
              <w:rPr>
                <w:rFonts w:ascii="宋体" w:hAnsi="宋体"/>
                <w:sz w:val="24"/>
                <w:szCs w:val="24"/>
                <w:highlight w:val="none"/>
              </w:rPr>
              <w:t>银行账号：</w:t>
            </w:r>
          </w:p>
          <w:p w14:paraId="4B61F755">
            <w:pPr>
              <w:adjustRightInd w:val="0"/>
              <w:snapToGrid w:val="0"/>
              <w:rPr>
                <w:rFonts w:ascii="宋体" w:hAnsi="宋体"/>
                <w:sz w:val="24"/>
                <w:szCs w:val="24"/>
                <w:highlight w:val="none"/>
              </w:rPr>
            </w:pPr>
          </w:p>
        </w:tc>
        <w:tc>
          <w:tcPr>
            <w:tcW w:w="4392" w:type="dxa"/>
            <w:noWrap/>
            <w:vAlign w:val="center"/>
          </w:tcPr>
          <w:p w14:paraId="4B32E9EC">
            <w:pPr>
              <w:adjustRightInd w:val="0"/>
              <w:snapToGrid w:val="0"/>
              <w:rPr>
                <w:rFonts w:ascii="宋体" w:hAnsi="宋体"/>
                <w:sz w:val="24"/>
                <w:szCs w:val="24"/>
                <w:highlight w:val="none"/>
              </w:rPr>
            </w:pPr>
            <w:r>
              <w:rPr>
                <w:rFonts w:ascii="宋体" w:hAnsi="宋体"/>
                <w:sz w:val="24"/>
                <w:szCs w:val="24"/>
                <w:highlight w:val="none"/>
              </w:rPr>
              <w:t>银行账号：</w:t>
            </w:r>
          </w:p>
          <w:p w14:paraId="5097E9E2">
            <w:pPr>
              <w:adjustRightInd w:val="0"/>
              <w:snapToGrid w:val="0"/>
              <w:rPr>
                <w:rFonts w:ascii="宋体" w:hAnsi="宋体"/>
                <w:sz w:val="24"/>
                <w:szCs w:val="24"/>
                <w:highlight w:val="none"/>
              </w:rPr>
            </w:pPr>
          </w:p>
        </w:tc>
      </w:tr>
    </w:tbl>
    <w:p w14:paraId="3170EA72">
      <w:pPr>
        <w:spacing w:line="360" w:lineRule="auto"/>
        <w:outlineLvl w:val="0"/>
        <w:rPr>
          <w:rFonts w:hint="eastAsia" w:ascii="黑体" w:hAnsi="黑体" w:eastAsia="黑体"/>
          <w:color w:val="auto"/>
          <w:sz w:val="28"/>
          <w:highlight w:val="none"/>
        </w:rPr>
      </w:pPr>
    </w:p>
    <w:bookmarkEnd w:id="82"/>
    <w:p w14:paraId="6085315B">
      <w:pPr>
        <w:spacing w:line="360" w:lineRule="auto"/>
        <w:jc w:val="center"/>
        <w:outlineLvl w:val="0"/>
        <w:rPr>
          <w:rFonts w:hint="eastAsia" w:ascii="黑体" w:hAnsi="黑体" w:eastAsia="黑体"/>
          <w:color w:val="auto"/>
          <w:sz w:val="28"/>
          <w:highlight w:val="none"/>
        </w:rPr>
      </w:pPr>
    </w:p>
    <w:p w14:paraId="5AD38EA5">
      <w:pPr>
        <w:spacing w:line="360" w:lineRule="auto"/>
        <w:jc w:val="center"/>
        <w:outlineLvl w:val="0"/>
        <w:rPr>
          <w:rFonts w:hint="eastAsia" w:ascii="黑体" w:hAnsi="黑体" w:eastAsia="黑体"/>
          <w:color w:val="auto"/>
          <w:sz w:val="28"/>
          <w:highlight w:val="none"/>
        </w:rPr>
      </w:pPr>
    </w:p>
    <w:p w14:paraId="0836A472">
      <w:pPr>
        <w:spacing w:line="360" w:lineRule="auto"/>
        <w:jc w:val="center"/>
        <w:outlineLvl w:val="0"/>
        <w:rPr>
          <w:rFonts w:hint="eastAsia" w:ascii="黑体" w:hAnsi="黑体" w:eastAsia="黑体"/>
          <w:color w:val="auto"/>
          <w:sz w:val="28"/>
          <w:highlight w:val="none"/>
        </w:rPr>
      </w:pPr>
    </w:p>
    <w:p w14:paraId="0BB3BD76">
      <w:pPr>
        <w:spacing w:line="360" w:lineRule="auto"/>
        <w:jc w:val="center"/>
        <w:outlineLvl w:val="0"/>
        <w:rPr>
          <w:rFonts w:hint="eastAsia" w:ascii="黑体" w:hAnsi="黑体" w:eastAsia="黑体"/>
          <w:color w:val="auto"/>
          <w:sz w:val="28"/>
          <w:highlight w:val="none"/>
        </w:rPr>
      </w:pPr>
    </w:p>
    <w:p w14:paraId="7E4DE080">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第六章 附件（投标文件格式）</w:t>
      </w:r>
      <w:bookmarkEnd w:id="80"/>
      <w:bookmarkEnd w:id="81"/>
    </w:p>
    <w:p w14:paraId="20D6D590">
      <w:pPr>
        <w:rPr>
          <w:rFonts w:hint="eastAsia"/>
          <w:color w:val="auto"/>
          <w:highlight w:val="none"/>
        </w:rPr>
      </w:pPr>
    </w:p>
    <w:p w14:paraId="358B7373">
      <w:pPr>
        <w:rPr>
          <w:rFonts w:hint="eastAsia"/>
          <w:color w:val="auto"/>
          <w:highlight w:val="none"/>
        </w:rPr>
      </w:pPr>
    </w:p>
    <w:p w14:paraId="32DFE460">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539578AB">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YXGYJT202511021</w:t>
      </w:r>
    </w:p>
    <w:p w14:paraId="043AD467">
      <w:pPr>
        <w:jc w:val="center"/>
        <w:rPr>
          <w:rFonts w:hint="eastAsia" w:ascii="宋体" w:hAnsi="宋体"/>
          <w:b/>
          <w:color w:val="auto"/>
          <w:sz w:val="32"/>
          <w:szCs w:val="32"/>
          <w:highlight w:val="none"/>
        </w:rPr>
      </w:pPr>
    </w:p>
    <w:p w14:paraId="6A73725F">
      <w:pPr>
        <w:rPr>
          <w:rFonts w:hint="eastAsia" w:ascii="宋体" w:hAnsi="宋体"/>
          <w:b/>
          <w:color w:val="auto"/>
          <w:sz w:val="32"/>
          <w:szCs w:val="32"/>
          <w:highlight w:val="none"/>
        </w:rPr>
      </w:pPr>
    </w:p>
    <w:p w14:paraId="34B5DE2B">
      <w:pPr>
        <w:rPr>
          <w:rFonts w:hint="eastAsia" w:ascii="宋体" w:hAnsi="宋体"/>
          <w:b/>
          <w:color w:val="auto"/>
          <w:sz w:val="32"/>
          <w:szCs w:val="32"/>
          <w:highlight w:val="none"/>
        </w:rPr>
      </w:pPr>
    </w:p>
    <w:p w14:paraId="687ED350">
      <w:pPr>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太湖内源污染治理（太湖西岸宜兴近岸区域）2025-2026年度工程涉航技术评价采购服务项目</w:t>
      </w:r>
    </w:p>
    <w:p w14:paraId="313CEDDF">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4D9AB2E">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5341785">
      <w:pPr>
        <w:rPr>
          <w:rFonts w:hint="eastAsia" w:ascii="楷体_GB2312" w:eastAsia="楷体_GB2312"/>
          <w:b/>
          <w:color w:val="auto"/>
          <w:sz w:val="32"/>
          <w:szCs w:val="32"/>
          <w:highlight w:val="none"/>
        </w:rPr>
      </w:pPr>
    </w:p>
    <w:p w14:paraId="4E8A17B4">
      <w:pPr>
        <w:rPr>
          <w:rFonts w:hint="eastAsia" w:ascii="楷体_GB2312" w:eastAsia="楷体_GB2312"/>
          <w:b/>
          <w:color w:val="auto"/>
          <w:sz w:val="32"/>
          <w:szCs w:val="32"/>
          <w:highlight w:val="none"/>
        </w:rPr>
      </w:pPr>
    </w:p>
    <w:p w14:paraId="7927899E">
      <w:pPr>
        <w:rPr>
          <w:rFonts w:hint="eastAsia" w:ascii="楷体_GB2312" w:eastAsia="楷体_GB2312"/>
          <w:b/>
          <w:color w:val="auto"/>
          <w:sz w:val="32"/>
          <w:szCs w:val="32"/>
          <w:highlight w:val="none"/>
        </w:rPr>
      </w:pPr>
    </w:p>
    <w:p w14:paraId="074FBC0B">
      <w:pPr>
        <w:rPr>
          <w:rFonts w:hint="eastAsia" w:ascii="楷体_GB2312" w:eastAsia="楷体_GB2312"/>
          <w:b/>
          <w:color w:val="auto"/>
          <w:sz w:val="32"/>
          <w:szCs w:val="32"/>
          <w:highlight w:val="none"/>
        </w:rPr>
      </w:pPr>
    </w:p>
    <w:p w14:paraId="74D34BE2">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55C56237">
      <w:pPr>
        <w:rPr>
          <w:rFonts w:ascii="宋体"/>
          <w:b/>
          <w:bCs/>
          <w:color w:val="auto"/>
          <w:sz w:val="24"/>
          <w:szCs w:val="24"/>
          <w:highlight w:val="none"/>
        </w:rPr>
      </w:pPr>
      <w:bookmarkStart w:id="83"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A225A23">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6D090C09">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379619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我方收到你们江苏宜公投蓝藻资源开发有限公司太湖内源污染治理（太湖西岸宜兴近岸区域）2025-2026年度工程涉航技术评价采购服务项目招标文件，经仔细阅读和研究，我方决定参加投标。</w:t>
      </w:r>
    </w:p>
    <w:p w14:paraId="7C590FE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4C66C98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55B1F25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437D65E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36F42328">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441ECA4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6C5E1C0D">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01BFA7A">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5E45BE5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7CC0520E">
      <w:pPr>
        <w:numPr>
          <w:ilvl w:val="0"/>
          <w:numId w:val="6"/>
        </w:numPr>
        <w:spacing w:line="360" w:lineRule="auto"/>
        <w:ind w:firstLine="480" w:firstLineChars="200"/>
        <w:rPr>
          <w:rFonts w:hint="eastAsia" w:ascii="宋体" w:hAnsi="宋体"/>
          <w:bCs/>
          <w:color w:val="auto"/>
          <w:sz w:val="24"/>
          <w:highlight w:val="none"/>
          <w:lang w:val="zh-CN"/>
        </w:rPr>
      </w:pPr>
      <w:bookmarkStart w:id="84" w:name="OLE_LINK231"/>
      <w:bookmarkStart w:id="85" w:name="OLE_LINK281"/>
      <w:r>
        <w:rPr>
          <w:rFonts w:hint="eastAsia" w:ascii="宋体" w:hAnsi="宋体"/>
          <w:bCs/>
          <w:color w:val="auto"/>
          <w:sz w:val="24"/>
          <w:highlight w:val="none"/>
          <w:lang w:val="zh-CN"/>
        </w:rPr>
        <w:t>我方不是为本项目提供整体设计、规范编制或者项目管理、监理、检测等服务的供应商。</w:t>
      </w:r>
      <w:bookmarkEnd w:id="84"/>
    </w:p>
    <w:p w14:paraId="628D341E">
      <w:pPr>
        <w:numPr>
          <w:ilvl w:val="0"/>
          <w:numId w:val="6"/>
        </w:numPr>
        <w:spacing w:line="360" w:lineRule="auto"/>
        <w:ind w:firstLine="480" w:firstLineChars="200"/>
        <w:rPr>
          <w:rFonts w:hint="eastAsia" w:ascii="宋体" w:hAnsi="宋体"/>
          <w:bCs/>
          <w:color w:val="auto"/>
          <w:sz w:val="24"/>
          <w:highlight w:val="none"/>
          <w:lang w:val="zh-CN"/>
        </w:rPr>
      </w:pPr>
      <w:bookmarkStart w:id="86" w:name="OLE_LINK233"/>
      <w:r>
        <w:rPr>
          <w:rFonts w:hint="eastAsia" w:ascii="宋体" w:hAnsi="宋体"/>
          <w:bCs/>
          <w:color w:val="auto"/>
          <w:sz w:val="24"/>
          <w:highlight w:val="none"/>
          <w:lang w:val="zh-CN"/>
        </w:rPr>
        <w:t>关联单位情况说明：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6236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6AFFC52D">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363FEBF9">
            <w:pPr>
              <w:spacing w:line="360" w:lineRule="auto"/>
              <w:rPr>
                <w:rFonts w:hint="eastAsia" w:ascii="宋体" w:hAnsi="宋体"/>
                <w:bCs/>
                <w:color w:val="auto"/>
                <w:sz w:val="24"/>
                <w:highlight w:val="none"/>
                <w:lang w:val="zh-CN"/>
              </w:rPr>
            </w:pPr>
          </w:p>
        </w:tc>
      </w:tr>
      <w:tr w14:paraId="5595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0E1B5AF5">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4D0AA8B4">
            <w:pPr>
              <w:spacing w:line="360" w:lineRule="auto"/>
              <w:rPr>
                <w:rFonts w:hint="eastAsia" w:ascii="宋体" w:hAnsi="宋体"/>
                <w:bCs/>
                <w:color w:val="auto"/>
                <w:sz w:val="24"/>
                <w:highlight w:val="none"/>
                <w:lang w:val="zh-CN"/>
              </w:rPr>
            </w:pPr>
          </w:p>
        </w:tc>
      </w:tr>
    </w:tbl>
    <w:p w14:paraId="2EE72470">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287C2F3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28E0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A14FAB1">
            <w:pPr>
              <w:spacing w:line="360" w:lineRule="auto"/>
              <w:jc w:val="center"/>
              <w:rPr>
                <w:rFonts w:ascii="宋体" w:hAnsi="宋体"/>
                <w:bCs/>
                <w:color w:val="auto"/>
                <w:sz w:val="24"/>
                <w:highlight w:val="none"/>
                <w:lang w:val="zh-CN"/>
              </w:rPr>
            </w:pPr>
            <w:bookmarkStart w:id="87" w:name="OLE_LINK249"/>
            <w:r>
              <w:rPr>
                <w:rFonts w:hint="eastAsia" w:ascii="宋体" w:hAnsi="宋体"/>
                <w:bCs/>
                <w:color w:val="auto"/>
                <w:sz w:val="24"/>
                <w:highlight w:val="none"/>
                <w:lang w:val="zh-CN"/>
              </w:rPr>
              <w:t>地址</w:t>
            </w:r>
          </w:p>
        </w:tc>
        <w:tc>
          <w:tcPr>
            <w:tcW w:w="2928" w:type="dxa"/>
            <w:noWrap w:val="0"/>
            <w:vAlign w:val="center"/>
          </w:tcPr>
          <w:p w14:paraId="5F29A81F">
            <w:pPr>
              <w:spacing w:line="360" w:lineRule="auto"/>
              <w:jc w:val="center"/>
              <w:rPr>
                <w:rFonts w:hint="eastAsia" w:ascii="宋体" w:hAnsi="宋体"/>
                <w:bCs/>
                <w:color w:val="auto"/>
                <w:sz w:val="24"/>
                <w:highlight w:val="none"/>
                <w:lang w:val="zh-CN"/>
              </w:rPr>
            </w:pPr>
          </w:p>
        </w:tc>
        <w:tc>
          <w:tcPr>
            <w:tcW w:w="1252" w:type="dxa"/>
            <w:noWrap w:val="0"/>
            <w:vAlign w:val="center"/>
          </w:tcPr>
          <w:p w14:paraId="4FBCBF0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22660E8">
            <w:pPr>
              <w:spacing w:line="360" w:lineRule="auto"/>
              <w:jc w:val="center"/>
              <w:rPr>
                <w:rFonts w:hint="eastAsia" w:ascii="宋体" w:hAnsi="宋体"/>
                <w:bCs/>
                <w:color w:val="auto"/>
                <w:sz w:val="24"/>
                <w:highlight w:val="none"/>
                <w:lang w:val="zh-CN"/>
              </w:rPr>
            </w:pPr>
          </w:p>
        </w:tc>
      </w:tr>
      <w:tr w14:paraId="582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72E71D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33027CCB">
            <w:pPr>
              <w:spacing w:line="360" w:lineRule="auto"/>
              <w:jc w:val="center"/>
              <w:rPr>
                <w:rFonts w:hint="eastAsia" w:ascii="宋体" w:hAnsi="宋体"/>
                <w:bCs/>
                <w:color w:val="auto"/>
                <w:sz w:val="24"/>
                <w:highlight w:val="none"/>
                <w:lang w:val="zh-CN"/>
              </w:rPr>
            </w:pPr>
          </w:p>
        </w:tc>
        <w:tc>
          <w:tcPr>
            <w:tcW w:w="1252" w:type="dxa"/>
            <w:noWrap w:val="0"/>
            <w:vAlign w:val="center"/>
          </w:tcPr>
          <w:p w14:paraId="62486B8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55424BFA">
            <w:pPr>
              <w:spacing w:line="360" w:lineRule="auto"/>
              <w:jc w:val="center"/>
              <w:rPr>
                <w:rFonts w:hint="eastAsia" w:ascii="宋体" w:hAnsi="宋体"/>
                <w:bCs/>
                <w:color w:val="auto"/>
                <w:sz w:val="24"/>
                <w:highlight w:val="none"/>
                <w:lang w:val="zh-CN"/>
              </w:rPr>
            </w:pPr>
          </w:p>
        </w:tc>
      </w:tr>
      <w:tr w14:paraId="620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1A09AD2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4D9E7C74">
            <w:pPr>
              <w:spacing w:line="360" w:lineRule="auto"/>
              <w:jc w:val="center"/>
              <w:rPr>
                <w:rFonts w:hint="eastAsia" w:ascii="宋体" w:hAnsi="宋体"/>
                <w:bCs/>
                <w:color w:val="auto"/>
                <w:sz w:val="24"/>
                <w:highlight w:val="none"/>
                <w:lang w:val="zh-CN"/>
              </w:rPr>
            </w:pPr>
          </w:p>
        </w:tc>
        <w:tc>
          <w:tcPr>
            <w:tcW w:w="1252" w:type="dxa"/>
            <w:noWrap w:val="0"/>
            <w:vAlign w:val="center"/>
          </w:tcPr>
          <w:p w14:paraId="2765AAEA">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4D86F80A">
            <w:pPr>
              <w:spacing w:line="360" w:lineRule="auto"/>
              <w:jc w:val="center"/>
              <w:rPr>
                <w:rFonts w:hint="eastAsia" w:ascii="宋体" w:hAnsi="宋体"/>
                <w:bCs/>
                <w:color w:val="auto"/>
                <w:sz w:val="24"/>
                <w:highlight w:val="none"/>
                <w:lang w:val="zh-CN"/>
              </w:rPr>
            </w:pPr>
          </w:p>
        </w:tc>
      </w:tr>
      <w:tr w14:paraId="093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DD3767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1A3635E3">
            <w:pPr>
              <w:spacing w:line="360" w:lineRule="auto"/>
              <w:jc w:val="center"/>
              <w:rPr>
                <w:rFonts w:hint="eastAsia" w:ascii="宋体" w:hAnsi="宋体"/>
                <w:bCs/>
                <w:color w:val="auto"/>
                <w:sz w:val="24"/>
                <w:highlight w:val="none"/>
                <w:lang w:val="zh-CN"/>
              </w:rPr>
            </w:pPr>
          </w:p>
        </w:tc>
        <w:tc>
          <w:tcPr>
            <w:tcW w:w="1252" w:type="dxa"/>
            <w:noWrap w:val="0"/>
            <w:vAlign w:val="center"/>
          </w:tcPr>
          <w:p w14:paraId="607E089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A7EDB16">
            <w:pPr>
              <w:spacing w:line="360" w:lineRule="auto"/>
              <w:jc w:val="center"/>
              <w:rPr>
                <w:rFonts w:hint="eastAsia" w:ascii="宋体" w:hAnsi="宋体"/>
                <w:bCs/>
                <w:color w:val="auto"/>
                <w:sz w:val="24"/>
                <w:highlight w:val="none"/>
                <w:lang w:val="zh-CN"/>
              </w:rPr>
            </w:pPr>
          </w:p>
        </w:tc>
      </w:tr>
      <w:tr w14:paraId="0CD0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3561350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6CE52FA3">
            <w:pPr>
              <w:spacing w:line="360" w:lineRule="auto"/>
              <w:jc w:val="center"/>
              <w:rPr>
                <w:rFonts w:hint="eastAsia" w:ascii="宋体" w:hAnsi="宋体"/>
                <w:bCs/>
                <w:color w:val="auto"/>
                <w:sz w:val="24"/>
                <w:highlight w:val="none"/>
                <w:lang w:val="zh-CN"/>
              </w:rPr>
            </w:pPr>
          </w:p>
        </w:tc>
      </w:tr>
      <w:tr w14:paraId="1094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07CD02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F5FFF32">
            <w:pPr>
              <w:spacing w:line="360" w:lineRule="auto"/>
              <w:jc w:val="center"/>
              <w:rPr>
                <w:rFonts w:hint="eastAsia" w:ascii="宋体" w:hAnsi="宋体"/>
                <w:bCs/>
                <w:color w:val="auto"/>
                <w:sz w:val="24"/>
                <w:highlight w:val="none"/>
                <w:lang w:val="zh-CN"/>
              </w:rPr>
            </w:pPr>
          </w:p>
        </w:tc>
        <w:tc>
          <w:tcPr>
            <w:tcW w:w="1252" w:type="dxa"/>
            <w:noWrap w:val="0"/>
            <w:vAlign w:val="center"/>
          </w:tcPr>
          <w:p w14:paraId="25DB7F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50A1CE8">
            <w:pPr>
              <w:spacing w:line="360" w:lineRule="auto"/>
              <w:jc w:val="center"/>
              <w:rPr>
                <w:rFonts w:hint="eastAsia" w:ascii="宋体" w:hAnsi="宋体"/>
                <w:bCs/>
                <w:color w:val="auto"/>
                <w:sz w:val="24"/>
                <w:highlight w:val="none"/>
                <w:lang w:val="zh-CN"/>
              </w:rPr>
            </w:pPr>
          </w:p>
        </w:tc>
      </w:tr>
      <w:bookmarkEnd w:id="85"/>
      <w:bookmarkEnd w:id="86"/>
      <w:bookmarkEnd w:id="87"/>
    </w:tbl>
    <w:p w14:paraId="1C660A40">
      <w:pPr>
        <w:ind w:firstLine="480" w:firstLineChars="200"/>
        <w:rPr>
          <w:rFonts w:hint="eastAsia" w:ascii="黑体" w:hAnsi="宋体" w:eastAsia="黑体"/>
          <w:bCs/>
          <w:color w:val="auto"/>
          <w:sz w:val="24"/>
          <w:szCs w:val="24"/>
          <w:highlight w:val="none"/>
        </w:rPr>
      </w:pPr>
    </w:p>
    <w:p w14:paraId="2CD0B4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D178A36">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BA1931E">
      <w:pPr>
        <w:ind w:firstLine="480" w:firstLineChars="200"/>
        <w:rPr>
          <w:rFonts w:hint="eastAsia" w:ascii="黑体" w:hAnsi="宋体" w:eastAsia="黑体"/>
          <w:bCs/>
          <w:color w:val="auto"/>
          <w:sz w:val="24"/>
          <w:szCs w:val="24"/>
          <w:highlight w:val="none"/>
        </w:rPr>
      </w:pPr>
    </w:p>
    <w:bookmarkEnd w:id="83"/>
    <w:p w14:paraId="0CD2BF5C">
      <w:pPr>
        <w:jc w:val="left"/>
        <w:rPr>
          <w:rFonts w:hint="eastAsia" w:ascii="黑体" w:hAnsi="宋体" w:eastAsia="黑体"/>
          <w:bCs/>
          <w:color w:val="auto"/>
          <w:sz w:val="24"/>
          <w:szCs w:val="24"/>
          <w:highlight w:val="none"/>
        </w:rPr>
      </w:pPr>
      <w:bookmarkStart w:id="88" w:name="OLE_LINK146"/>
      <w:bookmarkStart w:id="89" w:name="_Toc4946"/>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bookmarkEnd w:id="88"/>
    </w:p>
    <w:p w14:paraId="387F32E7">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167923B7">
      <w:pPr>
        <w:spacing w:before="156" w:beforeLines="50" w:after="156" w:afterLines="50"/>
        <w:jc w:val="center"/>
        <w:rPr>
          <w:rFonts w:hint="eastAsia" w:ascii="黑体" w:hAnsi="黑体" w:eastAsia="黑体"/>
          <w:color w:val="auto"/>
          <w:sz w:val="28"/>
          <w:szCs w:val="28"/>
          <w:highlight w:val="none"/>
        </w:rPr>
      </w:pPr>
      <w:bookmarkStart w:id="90" w:name="_Toc32423"/>
      <w:r>
        <w:rPr>
          <w:rFonts w:hint="eastAsia" w:ascii="黑体" w:eastAsia="黑体"/>
          <w:bCs/>
          <w:color w:val="auto"/>
          <w:sz w:val="28"/>
          <w:szCs w:val="28"/>
          <w:highlight w:val="none"/>
        </w:rPr>
        <w:t>开标一览表</w:t>
      </w:r>
      <w:bookmarkEnd w:id="90"/>
    </w:p>
    <w:p w14:paraId="063542E4">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YXGYJT202511021</w:t>
      </w:r>
    </w:p>
    <w:p w14:paraId="1A568B56">
      <w:pPr>
        <w:ind w:left="1"/>
        <w:jc w:val="center"/>
        <w:rPr>
          <w:rFonts w:ascii="宋体" w:hAnsi="宋体"/>
          <w:color w:val="auto"/>
          <w:sz w:val="24"/>
          <w:szCs w:val="24"/>
          <w:highlight w:val="none"/>
        </w:rPr>
      </w:pPr>
      <w:r>
        <w:rPr>
          <w:rFonts w:hint="eastAsia" w:ascii="宋体" w:hAnsi="宋体"/>
          <w:color w:val="auto"/>
          <w:sz w:val="24"/>
          <w:szCs w:val="24"/>
          <w:highlight w:val="none"/>
        </w:rPr>
        <w:t>供应商名称（盖章）：                                         单位：元</w:t>
      </w:r>
    </w:p>
    <w:tbl>
      <w:tblPr>
        <w:tblStyle w:val="1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97"/>
        <w:gridCol w:w="1038"/>
        <w:gridCol w:w="1454"/>
        <w:gridCol w:w="1605"/>
        <w:gridCol w:w="1420"/>
      </w:tblGrid>
      <w:tr w14:paraId="0B9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4E01734">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8DBA36A">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BDFB9DB">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FFBA869">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B38C01E">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F14C8AD">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5F08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613B40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C04C2D2">
            <w:pPr>
              <w:jc w:val="center"/>
              <w:rPr>
                <w:rFonts w:hint="eastAsia" w:ascii="宋体" w:hAnsi="宋体" w:eastAsia="宋体"/>
                <w:color w:val="auto"/>
                <w:sz w:val="24"/>
                <w:szCs w:val="28"/>
                <w:highlight w:val="none"/>
                <w:lang w:eastAsia="zh-CN"/>
              </w:rPr>
            </w:pPr>
            <w:r>
              <w:rPr>
                <w:rFonts w:hint="eastAsia" w:ascii="宋体" w:hAnsi="宋体"/>
                <w:color w:val="auto"/>
                <w:sz w:val="24"/>
                <w:szCs w:val="28"/>
                <w:highlight w:val="none"/>
                <w:lang w:eastAsia="zh-CN"/>
              </w:rPr>
              <w:t>太湖内源污染治理（太湖西岸宜兴近岸区域）2025-2026年度工程涉航技术评价采购服务项目</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32AD94">
            <w:pPr>
              <w:jc w:val="center"/>
              <w:rPr>
                <w:rFonts w:hint="eastAsia" w:ascii="宋体" w:hAnsi="宋体" w:eastAsia="宋体"/>
                <w:color w:val="auto"/>
                <w:sz w:val="24"/>
                <w:szCs w:val="28"/>
                <w:highlight w:val="none"/>
                <w:lang w:eastAsia="zh-CN"/>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批</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D35D9FA">
            <w:pPr>
              <w:jc w:val="center"/>
              <w:rPr>
                <w:rFonts w:ascii="宋体" w:hAnsi="宋体"/>
                <w:color w:val="auto"/>
                <w:sz w:val="24"/>
                <w:szCs w:val="28"/>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E35DD0D">
            <w:pPr>
              <w:jc w:val="center"/>
              <w:rPr>
                <w:rFonts w:ascii="宋体" w:hAnsi="宋体"/>
                <w:color w:val="auto"/>
                <w:sz w:val="24"/>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AA71812">
            <w:pPr>
              <w:jc w:val="center"/>
              <w:rPr>
                <w:rFonts w:ascii="宋体" w:hAnsi="宋体"/>
                <w:color w:val="auto"/>
                <w:sz w:val="24"/>
                <w:szCs w:val="28"/>
                <w:highlight w:val="none"/>
              </w:rPr>
            </w:pPr>
          </w:p>
        </w:tc>
      </w:tr>
      <w:tr w14:paraId="4350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17123A">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517" w:type="dxa"/>
            <w:gridSpan w:val="4"/>
            <w:tcBorders>
              <w:top w:val="single" w:color="auto" w:sz="4" w:space="0"/>
              <w:left w:val="single" w:color="auto" w:sz="4" w:space="0"/>
              <w:bottom w:val="single" w:color="auto" w:sz="4" w:space="0"/>
              <w:right w:val="single" w:color="auto" w:sz="4" w:space="0"/>
            </w:tcBorders>
            <w:noWrap w:val="0"/>
            <w:vAlign w:val="center"/>
          </w:tcPr>
          <w:p w14:paraId="158306D0">
            <w:pPr>
              <w:rPr>
                <w:rFonts w:ascii="宋体" w:hAnsi="宋体"/>
                <w:color w:val="auto"/>
                <w:sz w:val="24"/>
                <w:szCs w:val="28"/>
                <w:highlight w:val="none"/>
              </w:rPr>
            </w:pPr>
            <w:r>
              <w:rPr>
                <w:rFonts w:hint="eastAsia" w:ascii="宋体" w:hAnsi="宋体"/>
                <w:color w:val="auto"/>
                <w:sz w:val="24"/>
                <w:szCs w:val="28"/>
                <w:highlight w:val="none"/>
              </w:rPr>
              <w:t>（小写）</w:t>
            </w:r>
          </w:p>
        </w:tc>
      </w:tr>
      <w:tr w14:paraId="6D5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3E7AB">
            <w:pPr>
              <w:widowControl/>
              <w:jc w:val="left"/>
              <w:rPr>
                <w:rFonts w:ascii="宋体" w:hAnsi="宋体"/>
                <w:color w:val="auto"/>
                <w:sz w:val="24"/>
                <w:szCs w:val="28"/>
                <w:highlight w:val="none"/>
              </w:rPr>
            </w:pPr>
          </w:p>
        </w:tc>
        <w:tc>
          <w:tcPr>
            <w:tcW w:w="5517" w:type="dxa"/>
            <w:gridSpan w:val="4"/>
            <w:tcBorders>
              <w:top w:val="single" w:color="auto" w:sz="4" w:space="0"/>
              <w:left w:val="single" w:color="auto" w:sz="4" w:space="0"/>
              <w:bottom w:val="single" w:color="auto" w:sz="4" w:space="0"/>
              <w:right w:val="single" w:color="auto" w:sz="4" w:space="0"/>
            </w:tcBorders>
            <w:noWrap w:val="0"/>
            <w:vAlign w:val="center"/>
          </w:tcPr>
          <w:p w14:paraId="17CED7BF">
            <w:pPr>
              <w:rPr>
                <w:rFonts w:ascii="宋体" w:hAnsi="宋体"/>
                <w:color w:val="auto"/>
                <w:sz w:val="24"/>
                <w:szCs w:val="28"/>
                <w:highlight w:val="none"/>
              </w:rPr>
            </w:pPr>
            <w:r>
              <w:rPr>
                <w:rFonts w:hint="eastAsia" w:ascii="宋体" w:hAnsi="宋体"/>
                <w:color w:val="auto"/>
                <w:sz w:val="24"/>
                <w:szCs w:val="28"/>
                <w:highlight w:val="none"/>
              </w:rPr>
              <w:t>（大写）</w:t>
            </w:r>
          </w:p>
        </w:tc>
      </w:tr>
    </w:tbl>
    <w:p w14:paraId="612FCDA8">
      <w:pPr>
        <w:rPr>
          <w:rFonts w:hint="eastAsia" w:ascii="宋体" w:hAnsi="宋体"/>
          <w:color w:val="auto"/>
          <w:sz w:val="28"/>
          <w:szCs w:val="28"/>
          <w:highlight w:val="none"/>
        </w:rPr>
      </w:pPr>
    </w:p>
    <w:p w14:paraId="04E035C9">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796FED7">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232BAE3">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69938B59">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66C631DA">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1" w:name="OLE_LINK15"/>
      <w:r>
        <w:rPr>
          <w:rFonts w:hint="eastAsia" w:ascii="宋体" w:hAnsi="宋体"/>
          <w:color w:val="auto"/>
          <w:szCs w:val="21"/>
          <w:highlight w:val="none"/>
          <w:lang w:val="zh-CN"/>
        </w:rPr>
        <w:t>开标一览表</w:t>
      </w:r>
      <w:bookmarkEnd w:id="91"/>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bookmarkEnd w:id="89"/>
    <w:p w14:paraId="437F1099">
      <w:pPr>
        <w:pStyle w:val="4"/>
        <w:ind w:left="0" w:leftChars="0"/>
        <w:rPr>
          <w:rFonts w:hint="eastAsia"/>
          <w:color w:val="auto"/>
          <w:highlight w:val="none"/>
        </w:rPr>
      </w:pPr>
      <w:bookmarkStart w:id="92" w:name="OLE_LINK151"/>
    </w:p>
    <w:p w14:paraId="71FF9FE6">
      <w:pPr>
        <w:spacing w:line="360" w:lineRule="auto"/>
        <w:jc w:val="left"/>
        <w:rPr>
          <w:rFonts w:hint="eastAsia" w:ascii="黑体" w:hAnsi="宋体" w:eastAsia="黑体"/>
          <w:bCs/>
          <w:color w:val="auto"/>
          <w:sz w:val="28"/>
          <w:szCs w:val="28"/>
          <w:highlight w:val="none"/>
        </w:rPr>
      </w:pPr>
    </w:p>
    <w:p w14:paraId="340A3310">
      <w:pPr>
        <w:spacing w:line="360" w:lineRule="auto"/>
        <w:jc w:val="left"/>
        <w:rPr>
          <w:rFonts w:ascii="黑体" w:hAnsi="宋体" w:eastAsia="黑体"/>
          <w:bCs/>
          <w:color w:val="auto"/>
          <w:sz w:val="28"/>
          <w:szCs w:val="28"/>
          <w:highlight w:val="none"/>
        </w:rPr>
      </w:pPr>
    </w:p>
    <w:p w14:paraId="413320F2">
      <w:pPr>
        <w:spacing w:line="360" w:lineRule="auto"/>
        <w:jc w:val="left"/>
        <w:rPr>
          <w:rFonts w:ascii="黑体" w:hAnsi="宋体" w:eastAsia="黑体"/>
          <w:bCs/>
          <w:color w:val="auto"/>
          <w:sz w:val="28"/>
          <w:szCs w:val="28"/>
          <w:highlight w:val="none"/>
        </w:rPr>
      </w:pPr>
    </w:p>
    <w:p w14:paraId="2D633E8F">
      <w:pPr>
        <w:spacing w:line="360" w:lineRule="auto"/>
        <w:jc w:val="left"/>
        <w:rPr>
          <w:rFonts w:ascii="黑体" w:hAnsi="宋体" w:eastAsia="黑体"/>
          <w:bCs/>
          <w:color w:val="auto"/>
          <w:sz w:val="28"/>
          <w:szCs w:val="28"/>
          <w:highlight w:val="none"/>
        </w:rPr>
      </w:pPr>
    </w:p>
    <w:p w14:paraId="39FC5D9F">
      <w:pPr>
        <w:spacing w:line="360" w:lineRule="auto"/>
        <w:jc w:val="left"/>
        <w:rPr>
          <w:rFonts w:ascii="黑体" w:hAnsi="宋体" w:eastAsia="黑体"/>
          <w:bCs/>
          <w:color w:val="auto"/>
          <w:sz w:val="28"/>
          <w:szCs w:val="28"/>
          <w:highlight w:val="none"/>
        </w:rPr>
      </w:pPr>
    </w:p>
    <w:p w14:paraId="4326E84B">
      <w:pPr>
        <w:spacing w:line="360" w:lineRule="auto"/>
        <w:jc w:val="left"/>
        <w:rPr>
          <w:rFonts w:ascii="黑体" w:hAnsi="宋体" w:eastAsia="黑体"/>
          <w:bCs/>
          <w:color w:val="auto"/>
          <w:sz w:val="28"/>
          <w:szCs w:val="28"/>
          <w:highlight w:val="none"/>
        </w:rPr>
      </w:pPr>
    </w:p>
    <w:p w14:paraId="486D3D4F">
      <w:pPr>
        <w:spacing w:line="360" w:lineRule="auto"/>
        <w:jc w:val="left"/>
        <w:rPr>
          <w:rFonts w:ascii="黑体" w:hAnsi="宋体" w:eastAsia="黑体"/>
          <w:bCs/>
          <w:color w:val="auto"/>
          <w:sz w:val="28"/>
          <w:szCs w:val="28"/>
          <w:highlight w:val="none"/>
        </w:rPr>
      </w:pPr>
    </w:p>
    <w:p w14:paraId="4457C599">
      <w:pPr>
        <w:jc w:val="left"/>
        <w:rPr>
          <w:rFonts w:ascii="黑体" w:hAnsi="黑体" w:eastAsia="黑体"/>
          <w:sz w:val="28"/>
          <w:szCs w:val="28"/>
          <w:highlight w:val="none"/>
        </w:rPr>
      </w:pPr>
      <w:r>
        <w:rPr>
          <w:rFonts w:hint="eastAsia" w:ascii="黑体" w:hAnsi="黑体" w:eastAsia="黑体"/>
          <w:sz w:val="28"/>
          <w:szCs w:val="28"/>
          <w:highlight w:val="none"/>
          <w:lang w:val="en-US" w:eastAsia="zh-CN"/>
        </w:rPr>
        <w:t>2.</w:t>
      </w:r>
      <w:r>
        <w:rPr>
          <w:rFonts w:hint="eastAsia" w:ascii="黑体" w:hAnsi="黑体" w:eastAsia="黑体"/>
          <w:sz w:val="28"/>
          <w:szCs w:val="28"/>
          <w:highlight w:val="none"/>
        </w:rPr>
        <w:t>明细报价表</w:t>
      </w:r>
    </w:p>
    <w:p w14:paraId="02BDCBBF">
      <w:pPr>
        <w:spacing w:beforeLines="50"/>
        <w:jc w:val="center"/>
        <w:rPr>
          <w:rFonts w:hint="eastAsia" w:ascii="宋体" w:hAnsi="宋体" w:eastAsia="宋体" w:cs="Times New Roman"/>
          <w:sz w:val="24"/>
          <w:szCs w:val="24"/>
          <w:highlight w:val="none"/>
        </w:rPr>
      </w:pPr>
      <w:r>
        <w:rPr>
          <w:rFonts w:hint="eastAsia" w:ascii="黑体" w:hAnsi="黑体" w:eastAsia="黑体"/>
          <w:sz w:val="28"/>
          <w:szCs w:val="28"/>
          <w:highlight w:val="none"/>
        </w:rPr>
        <w:t>明细报价表</w:t>
      </w:r>
    </w:p>
    <w:p w14:paraId="7486A0CB">
      <w:pPr>
        <w:spacing w:beforeLines="5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项目编号：</w:t>
      </w:r>
      <w:r>
        <w:rPr>
          <w:rFonts w:hint="eastAsia" w:ascii="宋体" w:hAnsi="宋体"/>
          <w:color w:val="auto"/>
          <w:sz w:val="24"/>
          <w:szCs w:val="24"/>
          <w:highlight w:val="none"/>
          <w:lang w:eastAsia="zh-CN"/>
        </w:rPr>
        <w:t>YXGYJT202511021</w:t>
      </w:r>
      <w:r>
        <w:rPr>
          <w:rFonts w:hint="eastAsia" w:ascii="宋体" w:hAnsi="宋体" w:eastAsia="宋体" w:cs="Times New Roman"/>
          <w:sz w:val="24"/>
          <w:szCs w:val="24"/>
          <w:highlight w:val="none"/>
        </w:rPr>
        <w:t xml:space="preserve"> </w:t>
      </w:r>
    </w:p>
    <w:p w14:paraId="52A36DA0">
      <w:pPr>
        <w:spacing w:beforeLines="50"/>
        <w:jc w:val="both"/>
        <w:rPr>
          <w:rFonts w:ascii="黑体" w:hAnsi="黑体" w:eastAsia="黑体"/>
          <w:sz w:val="28"/>
          <w:szCs w:val="28"/>
          <w:highlight w:val="none"/>
        </w:rPr>
      </w:pPr>
      <w:r>
        <w:rPr>
          <w:rFonts w:hint="eastAsia" w:ascii="宋体" w:hAnsi="宋体"/>
          <w:sz w:val="24"/>
          <w:szCs w:val="24"/>
          <w:highlight w:val="none"/>
        </w:rPr>
        <w:t>投标人名称（盖章）：                                         单位：元</w:t>
      </w:r>
    </w:p>
    <w:tbl>
      <w:tblPr>
        <w:tblStyle w:val="10"/>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05"/>
        <w:gridCol w:w="658"/>
        <w:gridCol w:w="1176"/>
        <w:gridCol w:w="1092"/>
        <w:gridCol w:w="980"/>
        <w:gridCol w:w="1092"/>
        <w:gridCol w:w="1134"/>
        <w:gridCol w:w="812"/>
      </w:tblGrid>
      <w:tr w14:paraId="347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08" w:type="dxa"/>
            <w:noWrap w:val="0"/>
            <w:vAlign w:val="center"/>
          </w:tcPr>
          <w:p w14:paraId="41351B32">
            <w:pPr>
              <w:spacing w:before="5"/>
              <w:jc w:val="center"/>
              <w:rPr>
                <w:rFonts w:ascii="Calibri" w:hAnsi="Calibri" w:eastAsia="宋体" w:cs="Times New Roman"/>
                <w:sz w:val="24"/>
                <w:szCs w:val="24"/>
                <w:highlight w:val="none"/>
              </w:rPr>
            </w:pPr>
            <w:bookmarkStart w:id="93" w:name="_Toc14859"/>
            <w:r>
              <w:rPr>
                <w:rFonts w:hint="eastAsia" w:ascii="宋体" w:hAnsi="宋体" w:eastAsia="宋体" w:cs="宋体"/>
                <w:sz w:val="24"/>
                <w:szCs w:val="24"/>
                <w:highlight w:val="none"/>
              </w:rPr>
              <w:t>序号</w:t>
            </w:r>
          </w:p>
        </w:tc>
        <w:tc>
          <w:tcPr>
            <w:tcW w:w="1305" w:type="dxa"/>
            <w:noWrap w:val="0"/>
            <w:vAlign w:val="center"/>
          </w:tcPr>
          <w:p w14:paraId="65487CB7">
            <w:pPr>
              <w:spacing w:before="5"/>
              <w:jc w:val="center"/>
              <w:rPr>
                <w:rFonts w:ascii="Calibri" w:hAnsi="Calibri" w:eastAsia="宋体" w:cs="Times New Roman"/>
                <w:sz w:val="24"/>
                <w:szCs w:val="24"/>
                <w:highlight w:val="none"/>
              </w:rPr>
            </w:pPr>
            <w:r>
              <w:rPr>
                <w:rFonts w:hint="eastAsia" w:ascii="宋体" w:hAnsi="宋体" w:eastAsia="宋体" w:cs="宋体"/>
                <w:sz w:val="24"/>
                <w:szCs w:val="24"/>
                <w:highlight w:val="none"/>
              </w:rPr>
              <w:t>项目名称</w:t>
            </w:r>
          </w:p>
        </w:tc>
        <w:tc>
          <w:tcPr>
            <w:tcW w:w="658" w:type="dxa"/>
            <w:noWrap w:val="0"/>
            <w:vAlign w:val="center"/>
          </w:tcPr>
          <w:p w14:paraId="77A67AE5">
            <w:pPr>
              <w:spacing w:before="5"/>
              <w:jc w:val="center"/>
              <w:rPr>
                <w:rFonts w:hint="eastAsia" w:ascii="Calibri" w:hAnsi="Calibri" w:eastAsia="宋体" w:cs="Times New Roman"/>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1176" w:type="dxa"/>
            <w:noWrap w:val="0"/>
            <w:vAlign w:val="center"/>
          </w:tcPr>
          <w:p w14:paraId="3AE0B138">
            <w:pPr>
              <w:spacing w:before="5"/>
              <w:jc w:val="center"/>
              <w:rPr>
                <w:rFonts w:ascii="Calibri" w:hAnsi="Calibri" w:eastAsia="宋体" w:cs="Times New Roman"/>
                <w:sz w:val="24"/>
                <w:szCs w:val="24"/>
                <w:highlight w:val="none"/>
              </w:rPr>
            </w:pPr>
            <w:r>
              <w:rPr>
                <w:rFonts w:hint="eastAsia" w:ascii="宋体" w:hAnsi="宋体" w:eastAsia="宋体" w:cs="宋体"/>
                <w:sz w:val="24"/>
                <w:szCs w:val="24"/>
                <w:highlight w:val="none"/>
              </w:rPr>
              <w:t>含税单价</w:t>
            </w:r>
          </w:p>
        </w:tc>
        <w:tc>
          <w:tcPr>
            <w:tcW w:w="1092" w:type="dxa"/>
            <w:noWrap w:val="0"/>
            <w:vAlign w:val="center"/>
          </w:tcPr>
          <w:p w14:paraId="57DC6C49">
            <w:pPr>
              <w:spacing w:before="5"/>
              <w:jc w:val="center"/>
              <w:rPr>
                <w:rFonts w:ascii="Calibri" w:hAnsi="Calibri" w:eastAsia="宋体" w:cs="Times New Roman"/>
                <w:sz w:val="24"/>
                <w:szCs w:val="24"/>
                <w:highlight w:val="none"/>
              </w:rPr>
            </w:pP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rPr>
              <w:t>含税单价</w:t>
            </w:r>
          </w:p>
        </w:tc>
        <w:tc>
          <w:tcPr>
            <w:tcW w:w="980" w:type="dxa"/>
            <w:noWrap w:val="0"/>
            <w:vAlign w:val="center"/>
          </w:tcPr>
          <w:p w14:paraId="3D43CA6B">
            <w:pPr>
              <w:spacing w:before="5"/>
              <w:jc w:val="center"/>
              <w:rPr>
                <w:rFonts w:ascii="Calibri" w:hAnsi="Calibri" w:eastAsia="宋体" w:cs="Times New Roman"/>
                <w:sz w:val="24"/>
                <w:szCs w:val="24"/>
                <w:highlight w:val="none"/>
              </w:rPr>
            </w:pPr>
            <w:r>
              <w:rPr>
                <w:rFonts w:hint="eastAsia" w:ascii="宋体" w:hAnsi="宋体" w:eastAsia="宋体" w:cs="宋体"/>
                <w:sz w:val="24"/>
                <w:szCs w:val="24"/>
                <w:highlight w:val="none"/>
              </w:rPr>
              <w:t>含税总价</w:t>
            </w:r>
          </w:p>
        </w:tc>
        <w:tc>
          <w:tcPr>
            <w:tcW w:w="1092" w:type="dxa"/>
            <w:noWrap w:val="0"/>
            <w:vAlign w:val="center"/>
          </w:tcPr>
          <w:p w14:paraId="1AE3A47E">
            <w:pPr>
              <w:spacing w:before="5"/>
              <w:jc w:val="center"/>
              <w:rPr>
                <w:rFonts w:ascii="Calibri" w:hAnsi="Calibri" w:eastAsia="宋体" w:cs="Times New Roman"/>
                <w:sz w:val="24"/>
                <w:szCs w:val="24"/>
                <w:highlight w:val="none"/>
              </w:rPr>
            </w:pPr>
            <w:r>
              <w:rPr>
                <w:rFonts w:hint="eastAsia" w:ascii="宋体" w:hAnsi="宋体" w:eastAsia="宋体" w:cs="宋体"/>
                <w:sz w:val="24"/>
                <w:szCs w:val="24"/>
                <w:highlight w:val="none"/>
              </w:rPr>
              <w:t>不含税总价</w:t>
            </w:r>
          </w:p>
        </w:tc>
        <w:tc>
          <w:tcPr>
            <w:tcW w:w="1134" w:type="dxa"/>
            <w:noWrap w:val="0"/>
            <w:vAlign w:val="center"/>
          </w:tcPr>
          <w:p w14:paraId="647F014E">
            <w:pPr>
              <w:spacing w:before="5"/>
              <w:jc w:val="center"/>
              <w:rPr>
                <w:rFonts w:ascii="Calibri" w:hAnsi="Calibri" w:eastAsia="宋体" w:cs="Times New Roman"/>
                <w:sz w:val="24"/>
                <w:szCs w:val="24"/>
                <w:highlight w:val="none"/>
              </w:rPr>
            </w:pPr>
            <w:r>
              <w:rPr>
                <w:rFonts w:hint="eastAsia" w:ascii="宋体" w:hAnsi="宋体" w:eastAsia="宋体" w:cs="宋体"/>
                <w:sz w:val="24"/>
                <w:szCs w:val="24"/>
                <w:highlight w:val="none"/>
              </w:rPr>
              <w:t>增值税税额</w:t>
            </w:r>
          </w:p>
        </w:tc>
        <w:tc>
          <w:tcPr>
            <w:tcW w:w="812" w:type="dxa"/>
            <w:noWrap w:val="0"/>
            <w:vAlign w:val="center"/>
          </w:tcPr>
          <w:p w14:paraId="159753BF">
            <w:pPr>
              <w:spacing w:before="5"/>
              <w:jc w:val="center"/>
              <w:rPr>
                <w:rFonts w:ascii="Calibri" w:hAnsi="Calibri" w:eastAsia="宋体" w:cs="Times New Roman"/>
                <w:sz w:val="24"/>
                <w:szCs w:val="24"/>
                <w:highlight w:val="none"/>
              </w:rPr>
            </w:pPr>
            <w:r>
              <w:rPr>
                <w:rFonts w:hint="eastAsia" w:ascii="宋体" w:hAnsi="宋体" w:eastAsia="宋体" w:cs="宋体"/>
                <w:sz w:val="24"/>
                <w:szCs w:val="24"/>
                <w:highlight w:val="none"/>
                <w:lang w:val="en-US" w:eastAsia="zh-CN"/>
              </w:rPr>
              <w:t>备注</w:t>
            </w:r>
          </w:p>
        </w:tc>
      </w:tr>
      <w:tr w14:paraId="72E3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7D638EB0">
            <w:pPr>
              <w:keepNext w:val="0"/>
              <w:keepLines w:val="0"/>
              <w:widowControl/>
              <w:suppressLineNumbers w:val="0"/>
              <w:jc w:val="center"/>
              <w:textAlignment w:val="center"/>
              <w:rPr>
                <w:rFonts w:hint="eastAsia" w:ascii="Calibri" w:hAnsi="Calibri" w:eastAsia="宋体" w:cs="Times New Roman"/>
                <w:sz w:val="24"/>
                <w:szCs w:val="24"/>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305" w:type="dxa"/>
            <w:noWrap w:val="0"/>
            <w:vAlign w:val="center"/>
          </w:tcPr>
          <w:p w14:paraId="22AD5FBD">
            <w:pPr>
              <w:keepNext w:val="0"/>
              <w:keepLines w:val="0"/>
              <w:widowControl/>
              <w:suppressLineNumbers w:val="0"/>
              <w:jc w:val="center"/>
              <w:textAlignment w:val="center"/>
              <w:rPr>
                <w:rFonts w:ascii="Calibri" w:hAnsi="Calibri" w:eastAsia="宋体" w:cs="Times New Roman"/>
                <w:sz w:val="24"/>
                <w:szCs w:val="24"/>
                <w:highlight w:val="none"/>
              </w:rPr>
            </w:pPr>
            <w:r>
              <w:rPr>
                <w:rFonts w:hint="eastAsia" w:ascii="宋体" w:hAnsi="宋体" w:eastAsia="宋体" w:cs="宋体"/>
                <w:i w:val="0"/>
                <w:iCs w:val="0"/>
                <w:color w:val="000000"/>
                <w:kern w:val="0"/>
                <w:sz w:val="21"/>
                <w:szCs w:val="21"/>
                <w:highlight w:val="none"/>
                <w:u w:val="none"/>
                <w:lang w:val="en-US" w:eastAsia="zh-CN" w:bidi="ar"/>
              </w:rPr>
              <w:t>穿越芜申线湖区段航道排泥管（入湖位置1）</w:t>
            </w:r>
          </w:p>
        </w:tc>
        <w:tc>
          <w:tcPr>
            <w:tcW w:w="658" w:type="dxa"/>
            <w:noWrap w:val="0"/>
            <w:vAlign w:val="center"/>
          </w:tcPr>
          <w:p w14:paraId="2698C525">
            <w:pPr>
              <w:spacing w:before="5"/>
              <w:jc w:val="center"/>
              <w:rPr>
                <w:rFonts w:hint="eastAsia" w:ascii="Calibri" w:hAnsi="Calibri" w:eastAsia="宋体" w:cs="Times New Roman"/>
                <w:sz w:val="24"/>
                <w:szCs w:val="24"/>
                <w:highlight w:val="none"/>
                <w:lang w:val="en-US" w:eastAsia="zh-CN"/>
              </w:rPr>
            </w:pPr>
            <w:r>
              <w:rPr>
                <w:rFonts w:hint="eastAsia" w:ascii="宋体" w:hAnsi="宋体" w:eastAsia="宋体" w:cs="宋体"/>
                <w:sz w:val="21"/>
                <w:szCs w:val="21"/>
                <w:highlight w:val="none"/>
                <w:lang w:val="en-US" w:eastAsia="zh-CN"/>
              </w:rPr>
              <w:t>1</w:t>
            </w:r>
          </w:p>
        </w:tc>
        <w:tc>
          <w:tcPr>
            <w:tcW w:w="1176" w:type="dxa"/>
            <w:noWrap w:val="0"/>
            <w:vAlign w:val="center"/>
          </w:tcPr>
          <w:p w14:paraId="73B1E219">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2B3C5659">
            <w:pPr>
              <w:keepNext w:val="0"/>
              <w:keepLines w:val="0"/>
              <w:widowControl/>
              <w:suppressLineNumbers w:val="0"/>
              <w:jc w:val="center"/>
              <w:textAlignment w:val="center"/>
              <w:rPr>
                <w:rFonts w:ascii="Calibri" w:hAnsi="Calibri" w:eastAsia="宋体" w:cs="Times New Roman"/>
                <w:sz w:val="24"/>
                <w:szCs w:val="24"/>
                <w:highlight w:val="none"/>
              </w:rPr>
            </w:pPr>
          </w:p>
        </w:tc>
        <w:tc>
          <w:tcPr>
            <w:tcW w:w="980" w:type="dxa"/>
            <w:noWrap w:val="0"/>
            <w:vAlign w:val="center"/>
          </w:tcPr>
          <w:p w14:paraId="27A76B22">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51649BA1">
            <w:pPr>
              <w:jc w:val="center"/>
              <w:rPr>
                <w:rFonts w:ascii="Calibri" w:hAnsi="Calibri" w:eastAsia="宋体" w:cs="Times New Roman"/>
                <w:sz w:val="24"/>
                <w:szCs w:val="24"/>
                <w:highlight w:val="none"/>
              </w:rPr>
            </w:pPr>
          </w:p>
        </w:tc>
        <w:tc>
          <w:tcPr>
            <w:tcW w:w="1134" w:type="dxa"/>
            <w:noWrap w:val="0"/>
            <w:vAlign w:val="center"/>
          </w:tcPr>
          <w:p w14:paraId="431C79E6">
            <w:pPr>
              <w:spacing w:before="5"/>
              <w:jc w:val="center"/>
              <w:rPr>
                <w:rFonts w:ascii="Calibri" w:hAnsi="Calibri" w:eastAsia="宋体" w:cs="Times New Roman"/>
                <w:sz w:val="24"/>
                <w:szCs w:val="24"/>
                <w:highlight w:val="none"/>
              </w:rPr>
            </w:pPr>
          </w:p>
        </w:tc>
        <w:tc>
          <w:tcPr>
            <w:tcW w:w="812" w:type="dxa"/>
            <w:noWrap w:val="0"/>
            <w:vAlign w:val="center"/>
          </w:tcPr>
          <w:p w14:paraId="3E7F1DF2">
            <w:pPr>
              <w:spacing w:before="5"/>
              <w:jc w:val="center"/>
              <w:rPr>
                <w:rFonts w:hint="default" w:ascii="Calibri" w:hAnsi="Calibri" w:eastAsia="宋体" w:cs="Times New Roman"/>
                <w:sz w:val="24"/>
                <w:szCs w:val="24"/>
                <w:highlight w:val="none"/>
                <w:lang w:val="en-US" w:eastAsia="zh-CN"/>
              </w:rPr>
            </w:pPr>
          </w:p>
        </w:tc>
      </w:tr>
      <w:tr w14:paraId="1969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4A704CCC">
            <w:pPr>
              <w:keepNext w:val="0"/>
              <w:keepLines w:val="0"/>
              <w:widowControl/>
              <w:suppressLineNumbers w:val="0"/>
              <w:jc w:val="center"/>
              <w:textAlignment w:val="center"/>
              <w:rPr>
                <w:rFonts w:hint="eastAsia" w:ascii="Calibri" w:hAnsi="Calibri" w:eastAsia="宋体" w:cs="Times New Roman"/>
                <w:sz w:val="24"/>
                <w:szCs w:val="24"/>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1305" w:type="dxa"/>
            <w:noWrap w:val="0"/>
            <w:vAlign w:val="center"/>
          </w:tcPr>
          <w:p w14:paraId="45CF3455">
            <w:pPr>
              <w:keepNext w:val="0"/>
              <w:keepLines w:val="0"/>
              <w:widowControl/>
              <w:suppressLineNumbers w:val="0"/>
              <w:jc w:val="center"/>
              <w:textAlignment w:val="center"/>
              <w:rPr>
                <w:rFonts w:ascii="Calibri" w:hAnsi="Calibri" w:eastAsia="宋体" w:cs="Times New Roman"/>
                <w:sz w:val="24"/>
                <w:szCs w:val="24"/>
                <w:highlight w:val="none"/>
              </w:rPr>
            </w:pPr>
            <w:r>
              <w:rPr>
                <w:rFonts w:hint="eastAsia" w:ascii="宋体" w:hAnsi="宋体" w:eastAsia="宋体" w:cs="宋体"/>
                <w:i w:val="0"/>
                <w:iCs w:val="0"/>
                <w:color w:val="000000"/>
                <w:kern w:val="0"/>
                <w:sz w:val="21"/>
                <w:szCs w:val="21"/>
                <w:highlight w:val="none"/>
                <w:u w:val="none"/>
                <w:lang w:val="en-US" w:eastAsia="zh-CN" w:bidi="ar"/>
              </w:rPr>
              <w:t>穿越芜申线湖区段航道排泥管（湖区位置2）</w:t>
            </w:r>
          </w:p>
        </w:tc>
        <w:tc>
          <w:tcPr>
            <w:tcW w:w="658" w:type="dxa"/>
            <w:noWrap w:val="0"/>
            <w:vAlign w:val="center"/>
          </w:tcPr>
          <w:p w14:paraId="070EE973">
            <w:pPr>
              <w:spacing w:before="5"/>
              <w:jc w:val="center"/>
              <w:rPr>
                <w:rFonts w:hint="eastAsia" w:ascii="Calibri" w:hAnsi="Calibri" w:eastAsia="宋体" w:cs="Times New Roman"/>
                <w:sz w:val="24"/>
                <w:szCs w:val="24"/>
                <w:highlight w:val="none"/>
                <w:lang w:val="en-US" w:eastAsia="zh-CN"/>
              </w:rPr>
            </w:pPr>
            <w:r>
              <w:rPr>
                <w:rFonts w:hint="eastAsia" w:ascii="宋体" w:hAnsi="宋体" w:eastAsia="宋体" w:cs="宋体"/>
                <w:sz w:val="21"/>
                <w:szCs w:val="21"/>
                <w:highlight w:val="none"/>
                <w:lang w:val="en-US" w:eastAsia="zh-CN"/>
              </w:rPr>
              <w:t>1</w:t>
            </w:r>
          </w:p>
        </w:tc>
        <w:tc>
          <w:tcPr>
            <w:tcW w:w="1176" w:type="dxa"/>
            <w:noWrap w:val="0"/>
            <w:vAlign w:val="center"/>
          </w:tcPr>
          <w:p w14:paraId="6B15EF78">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5FFD797C">
            <w:pPr>
              <w:keepNext w:val="0"/>
              <w:keepLines w:val="0"/>
              <w:widowControl/>
              <w:suppressLineNumbers w:val="0"/>
              <w:jc w:val="center"/>
              <w:textAlignment w:val="center"/>
              <w:rPr>
                <w:rFonts w:ascii="Calibri" w:hAnsi="Calibri" w:eastAsia="宋体" w:cs="Times New Roman"/>
                <w:sz w:val="24"/>
                <w:szCs w:val="24"/>
                <w:highlight w:val="none"/>
              </w:rPr>
            </w:pPr>
          </w:p>
        </w:tc>
        <w:tc>
          <w:tcPr>
            <w:tcW w:w="980" w:type="dxa"/>
            <w:noWrap w:val="0"/>
            <w:vAlign w:val="center"/>
          </w:tcPr>
          <w:p w14:paraId="0D41BBD8">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4A02194A">
            <w:pPr>
              <w:spacing w:before="5"/>
              <w:jc w:val="center"/>
              <w:rPr>
                <w:rFonts w:ascii="Calibri" w:hAnsi="Calibri" w:eastAsia="宋体" w:cs="Times New Roman"/>
                <w:sz w:val="24"/>
                <w:szCs w:val="24"/>
                <w:highlight w:val="none"/>
              </w:rPr>
            </w:pPr>
          </w:p>
        </w:tc>
        <w:tc>
          <w:tcPr>
            <w:tcW w:w="1134" w:type="dxa"/>
            <w:noWrap w:val="0"/>
            <w:vAlign w:val="center"/>
          </w:tcPr>
          <w:p w14:paraId="2B5B7E2F">
            <w:pPr>
              <w:spacing w:before="5"/>
              <w:jc w:val="center"/>
              <w:rPr>
                <w:rFonts w:ascii="Calibri" w:hAnsi="Calibri" w:eastAsia="宋体" w:cs="Times New Roman"/>
                <w:sz w:val="24"/>
                <w:szCs w:val="24"/>
                <w:highlight w:val="none"/>
              </w:rPr>
            </w:pPr>
          </w:p>
        </w:tc>
        <w:tc>
          <w:tcPr>
            <w:tcW w:w="812" w:type="dxa"/>
            <w:noWrap w:val="0"/>
            <w:vAlign w:val="center"/>
          </w:tcPr>
          <w:p w14:paraId="0DEB0B53">
            <w:pPr>
              <w:spacing w:before="5"/>
              <w:jc w:val="center"/>
              <w:rPr>
                <w:rFonts w:ascii="Calibri" w:hAnsi="Calibri" w:eastAsia="宋体" w:cs="Times New Roman"/>
                <w:sz w:val="24"/>
                <w:szCs w:val="24"/>
                <w:highlight w:val="none"/>
              </w:rPr>
            </w:pPr>
          </w:p>
        </w:tc>
      </w:tr>
      <w:tr w14:paraId="5C98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063F9C2">
            <w:pPr>
              <w:keepNext w:val="0"/>
              <w:keepLines w:val="0"/>
              <w:widowControl/>
              <w:suppressLineNumbers w:val="0"/>
              <w:jc w:val="center"/>
              <w:textAlignment w:val="center"/>
              <w:rPr>
                <w:rFonts w:hint="eastAsia" w:ascii="Calibri" w:hAnsi="Calibri" w:eastAsia="宋体" w:cs="Times New Roman"/>
                <w:sz w:val="24"/>
                <w:szCs w:val="24"/>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w:t>
            </w:r>
          </w:p>
        </w:tc>
        <w:tc>
          <w:tcPr>
            <w:tcW w:w="1305" w:type="dxa"/>
            <w:noWrap w:val="0"/>
            <w:vAlign w:val="center"/>
          </w:tcPr>
          <w:p w14:paraId="2BF88DC8">
            <w:pPr>
              <w:keepNext w:val="0"/>
              <w:keepLines w:val="0"/>
              <w:widowControl/>
              <w:suppressLineNumbers w:val="0"/>
              <w:jc w:val="center"/>
              <w:textAlignment w:val="center"/>
              <w:rPr>
                <w:rFonts w:ascii="Calibri" w:hAnsi="Calibri" w:eastAsia="宋体" w:cs="Times New Roman"/>
                <w:sz w:val="24"/>
                <w:szCs w:val="24"/>
                <w:highlight w:val="none"/>
              </w:rPr>
            </w:pPr>
            <w:r>
              <w:rPr>
                <w:rFonts w:hint="eastAsia" w:ascii="宋体" w:hAnsi="宋体" w:eastAsia="宋体" w:cs="宋体"/>
                <w:i w:val="0"/>
                <w:iCs w:val="0"/>
                <w:color w:val="000000"/>
                <w:kern w:val="0"/>
                <w:sz w:val="21"/>
                <w:szCs w:val="21"/>
                <w:highlight w:val="none"/>
                <w:u w:val="none"/>
                <w:lang w:val="en-US" w:eastAsia="zh-CN" w:bidi="ar"/>
              </w:rPr>
              <w:t>芜申线沿河排泥管</w:t>
            </w:r>
          </w:p>
        </w:tc>
        <w:tc>
          <w:tcPr>
            <w:tcW w:w="658" w:type="dxa"/>
            <w:noWrap w:val="0"/>
            <w:vAlign w:val="center"/>
          </w:tcPr>
          <w:p w14:paraId="40AE6B26">
            <w:pPr>
              <w:spacing w:before="5"/>
              <w:jc w:val="center"/>
              <w:rPr>
                <w:rFonts w:hint="default" w:ascii="Calibri" w:hAnsi="Calibri" w:eastAsia="宋体" w:cs="Times New Roman"/>
                <w:sz w:val="24"/>
                <w:szCs w:val="24"/>
                <w:highlight w:val="none"/>
                <w:lang w:val="en-US" w:eastAsia="zh-CN"/>
              </w:rPr>
            </w:pPr>
            <w:r>
              <w:rPr>
                <w:rFonts w:hint="eastAsia" w:ascii="宋体" w:hAnsi="宋体" w:eastAsia="宋体" w:cs="宋体"/>
                <w:sz w:val="21"/>
                <w:szCs w:val="21"/>
                <w:highlight w:val="none"/>
                <w:lang w:val="en-US" w:eastAsia="zh-CN"/>
              </w:rPr>
              <w:t>1</w:t>
            </w:r>
          </w:p>
        </w:tc>
        <w:tc>
          <w:tcPr>
            <w:tcW w:w="1176" w:type="dxa"/>
            <w:noWrap w:val="0"/>
            <w:vAlign w:val="center"/>
          </w:tcPr>
          <w:p w14:paraId="5D8CDA19">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7344B8E9">
            <w:pPr>
              <w:keepNext w:val="0"/>
              <w:keepLines w:val="0"/>
              <w:widowControl/>
              <w:suppressLineNumbers w:val="0"/>
              <w:jc w:val="center"/>
              <w:textAlignment w:val="center"/>
              <w:rPr>
                <w:rFonts w:ascii="Calibri" w:hAnsi="Calibri" w:eastAsia="宋体" w:cs="Times New Roman"/>
                <w:sz w:val="24"/>
                <w:szCs w:val="24"/>
                <w:highlight w:val="none"/>
              </w:rPr>
            </w:pPr>
          </w:p>
        </w:tc>
        <w:tc>
          <w:tcPr>
            <w:tcW w:w="980" w:type="dxa"/>
            <w:noWrap w:val="0"/>
            <w:vAlign w:val="center"/>
          </w:tcPr>
          <w:p w14:paraId="1368BD7C">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14030570">
            <w:pPr>
              <w:spacing w:before="5"/>
              <w:jc w:val="center"/>
              <w:rPr>
                <w:rFonts w:ascii="Calibri" w:hAnsi="Calibri" w:eastAsia="宋体" w:cs="Times New Roman"/>
                <w:sz w:val="24"/>
                <w:szCs w:val="24"/>
                <w:highlight w:val="none"/>
              </w:rPr>
            </w:pPr>
          </w:p>
        </w:tc>
        <w:tc>
          <w:tcPr>
            <w:tcW w:w="1134" w:type="dxa"/>
            <w:noWrap w:val="0"/>
            <w:vAlign w:val="center"/>
          </w:tcPr>
          <w:p w14:paraId="5D9AF4FB">
            <w:pPr>
              <w:spacing w:before="5"/>
              <w:jc w:val="center"/>
              <w:rPr>
                <w:rFonts w:ascii="Calibri" w:hAnsi="Calibri" w:eastAsia="宋体" w:cs="Times New Roman"/>
                <w:sz w:val="24"/>
                <w:szCs w:val="24"/>
                <w:highlight w:val="none"/>
              </w:rPr>
            </w:pPr>
          </w:p>
        </w:tc>
        <w:tc>
          <w:tcPr>
            <w:tcW w:w="812" w:type="dxa"/>
            <w:noWrap w:val="0"/>
            <w:vAlign w:val="center"/>
          </w:tcPr>
          <w:p w14:paraId="744FE58C">
            <w:pPr>
              <w:spacing w:before="5"/>
              <w:jc w:val="center"/>
              <w:rPr>
                <w:rFonts w:ascii="Calibri" w:hAnsi="Calibri" w:eastAsia="宋体" w:cs="Times New Roman"/>
                <w:sz w:val="24"/>
                <w:szCs w:val="24"/>
                <w:highlight w:val="none"/>
              </w:rPr>
            </w:pPr>
          </w:p>
        </w:tc>
      </w:tr>
      <w:tr w14:paraId="491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1E17D74">
            <w:pPr>
              <w:keepNext w:val="0"/>
              <w:keepLines w:val="0"/>
              <w:widowControl/>
              <w:suppressLineNumbers w:val="0"/>
              <w:jc w:val="center"/>
              <w:textAlignment w:val="center"/>
              <w:rPr>
                <w:rStyle w:val="20"/>
                <w:rFonts w:hint="eastAsia" w:ascii="宋体" w:hAnsi="宋体" w:eastAsia="宋体" w:cs="宋体"/>
                <w:i w:val="0"/>
                <w:iCs w:val="0"/>
                <w:sz w:val="24"/>
                <w:szCs w:val="24"/>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305" w:type="dxa"/>
            <w:noWrap w:val="0"/>
            <w:vAlign w:val="center"/>
          </w:tcPr>
          <w:p w14:paraId="3B9A6ECB">
            <w:pPr>
              <w:keepNext w:val="0"/>
              <w:keepLines w:val="0"/>
              <w:widowControl/>
              <w:suppressLineNumbers w:val="0"/>
              <w:jc w:val="center"/>
              <w:textAlignment w:val="center"/>
              <w:rPr>
                <w:rStyle w:val="20"/>
                <w:rFonts w:ascii="宋体" w:hAnsi="宋体" w:eastAsia="宋体" w:cs="宋体"/>
                <w:i w:val="0"/>
                <w:iCs w:val="0"/>
                <w:sz w:val="24"/>
                <w:szCs w:val="24"/>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施荡河埋航道排泥管</w:t>
            </w:r>
          </w:p>
        </w:tc>
        <w:tc>
          <w:tcPr>
            <w:tcW w:w="658" w:type="dxa"/>
            <w:noWrap w:val="0"/>
            <w:vAlign w:val="center"/>
          </w:tcPr>
          <w:p w14:paraId="4B62D08B">
            <w:pPr>
              <w:spacing w:before="5"/>
              <w:jc w:val="center"/>
              <w:rPr>
                <w:rFonts w:hint="eastAsia" w:ascii="Calibri" w:hAnsi="Calibri" w:eastAsia="宋体" w:cs="Times New Roman"/>
                <w:sz w:val="24"/>
                <w:szCs w:val="24"/>
                <w:highlight w:val="none"/>
                <w:lang w:val="en-US" w:eastAsia="zh-CN"/>
              </w:rPr>
            </w:pPr>
            <w:r>
              <w:rPr>
                <w:rFonts w:hint="eastAsia" w:ascii="宋体" w:hAnsi="宋体" w:eastAsia="宋体" w:cs="宋体"/>
                <w:sz w:val="21"/>
                <w:szCs w:val="21"/>
                <w:highlight w:val="none"/>
                <w:lang w:val="en-US" w:eastAsia="zh-CN"/>
              </w:rPr>
              <w:t>1</w:t>
            </w:r>
          </w:p>
        </w:tc>
        <w:tc>
          <w:tcPr>
            <w:tcW w:w="1176" w:type="dxa"/>
            <w:noWrap w:val="0"/>
            <w:vAlign w:val="center"/>
          </w:tcPr>
          <w:p w14:paraId="562363A3">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0D7B479F">
            <w:pPr>
              <w:keepNext w:val="0"/>
              <w:keepLines w:val="0"/>
              <w:widowControl/>
              <w:suppressLineNumbers w:val="0"/>
              <w:jc w:val="center"/>
              <w:textAlignment w:val="center"/>
              <w:rPr>
                <w:rFonts w:ascii="Calibri" w:hAnsi="Calibri" w:eastAsia="宋体" w:cs="Times New Roman"/>
                <w:sz w:val="24"/>
                <w:szCs w:val="24"/>
                <w:highlight w:val="none"/>
              </w:rPr>
            </w:pPr>
          </w:p>
        </w:tc>
        <w:tc>
          <w:tcPr>
            <w:tcW w:w="980" w:type="dxa"/>
            <w:noWrap w:val="0"/>
            <w:vAlign w:val="center"/>
          </w:tcPr>
          <w:p w14:paraId="21B82448">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0D16B0BB">
            <w:pPr>
              <w:spacing w:before="5"/>
              <w:jc w:val="center"/>
              <w:rPr>
                <w:rFonts w:ascii="Calibri" w:hAnsi="Calibri" w:eastAsia="宋体" w:cs="Times New Roman"/>
                <w:sz w:val="24"/>
                <w:szCs w:val="24"/>
                <w:highlight w:val="none"/>
              </w:rPr>
            </w:pPr>
          </w:p>
        </w:tc>
        <w:tc>
          <w:tcPr>
            <w:tcW w:w="1134" w:type="dxa"/>
            <w:noWrap w:val="0"/>
            <w:vAlign w:val="center"/>
          </w:tcPr>
          <w:p w14:paraId="41936274">
            <w:pPr>
              <w:spacing w:before="5"/>
              <w:jc w:val="center"/>
              <w:rPr>
                <w:rFonts w:ascii="Calibri" w:hAnsi="Calibri" w:eastAsia="宋体" w:cs="Times New Roman"/>
                <w:sz w:val="24"/>
                <w:szCs w:val="24"/>
                <w:highlight w:val="none"/>
              </w:rPr>
            </w:pPr>
          </w:p>
        </w:tc>
        <w:tc>
          <w:tcPr>
            <w:tcW w:w="812" w:type="dxa"/>
            <w:noWrap w:val="0"/>
            <w:vAlign w:val="center"/>
          </w:tcPr>
          <w:p w14:paraId="465E60F2">
            <w:pPr>
              <w:spacing w:before="5"/>
              <w:jc w:val="center"/>
              <w:rPr>
                <w:rFonts w:ascii="Calibri" w:hAnsi="Calibri" w:eastAsia="宋体" w:cs="Times New Roman"/>
                <w:sz w:val="24"/>
                <w:szCs w:val="24"/>
                <w:highlight w:val="none"/>
              </w:rPr>
            </w:pPr>
          </w:p>
        </w:tc>
      </w:tr>
      <w:tr w14:paraId="56D2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3E597A7">
            <w:pPr>
              <w:keepNext w:val="0"/>
              <w:keepLines w:val="0"/>
              <w:widowControl/>
              <w:suppressLineNumbers w:val="0"/>
              <w:jc w:val="center"/>
              <w:textAlignment w:val="center"/>
              <w:rPr>
                <w:rFonts w:hint="eastAsia" w:ascii="Calibri" w:hAnsi="Calibri" w:eastAsia="宋体" w:cs="Times New Roman"/>
                <w:sz w:val="24"/>
                <w:szCs w:val="24"/>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w:t>
            </w:r>
          </w:p>
        </w:tc>
        <w:tc>
          <w:tcPr>
            <w:tcW w:w="1305" w:type="dxa"/>
            <w:noWrap w:val="0"/>
            <w:vAlign w:val="center"/>
          </w:tcPr>
          <w:p w14:paraId="7E2FAA84">
            <w:pPr>
              <w:keepNext w:val="0"/>
              <w:keepLines w:val="0"/>
              <w:widowControl/>
              <w:suppressLineNumbers w:val="0"/>
              <w:jc w:val="center"/>
              <w:textAlignment w:val="center"/>
              <w:rPr>
                <w:rFonts w:ascii="Calibri" w:hAnsi="Calibri" w:eastAsia="宋体" w:cs="Times New Roman"/>
                <w:sz w:val="24"/>
                <w:szCs w:val="24"/>
                <w:highlight w:val="none"/>
              </w:rPr>
            </w:pPr>
            <w:r>
              <w:rPr>
                <w:rFonts w:hint="eastAsia" w:ascii="宋体" w:hAnsi="宋体" w:eastAsia="宋体" w:cs="宋体"/>
                <w:i w:val="0"/>
                <w:iCs w:val="0"/>
                <w:color w:val="000000"/>
                <w:kern w:val="0"/>
                <w:sz w:val="21"/>
                <w:szCs w:val="21"/>
                <w:highlight w:val="none"/>
                <w:u w:val="none"/>
                <w:lang w:val="en-US" w:eastAsia="zh-CN" w:bidi="ar"/>
              </w:rPr>
              <w:t>施荡河新设临时转运点</w:t>
            </w:r>
          </w:p>
        </w:tc>
        <w:tc>
          <w:tcPr>
            <w:tcW w:w="658" w:type="dxa"/>
            <w:noWrap w:val="0"/>
            <w:vAlign w:val="center"/>
          </w:tcPr>
          <w:p w14:paraId="0DBC5FB3">
            <w:pPr>
              <w:spacing w:before="5"/>
              <w:jc w:val="center"/>
              <w:rPr>
                <w:rFonts w:hint="eastAsia" w:ascii="Calibri" w:hAnsi="Calibri" w:eastAsia="宋体" w:cs="Times New Roman"/>
                <w:sz w:val="24"/>
                <w:szCs w:val="24"/>
                <w:highlight w:val="none"/>
                <w:lang w:val="en-US" w:eastAsia="zh-CN"/>
              </w:rPr>
            </w:pPr>
            <w:r>
              <w:rPr>
                <w:rFonts w:hint="eastAsia" w:ascii="宋体" w:hAnsi="宋体" w:eastAsia="宋体" w:cs="宋体"/>
                <w:sz w:val="21"/>
                <w:szCs w:val="21"/>
                <w:highlight w:val="none"/>
                <w:lang w:val="en-US" w:eastAsia="zh-CN"/>
              </w:rPr>
              <w:t>1</w:t>
            </w:r>
          </w:p>
        </w:tc>
        <w:tc>
          <w:tcPr>
            <w:tcW w:w="1176" w:type="dxa"/>
            <w:noWrap w:val="0"/>
            <w:vAlign w:val="center"/>
          </w:tcPr>
          <w:p w14:paraId="15C148FC">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47914E8B">
            <w:pPr>
              <w:keepNext w:val="0"/>
              <w:keepLines w:val="0"/>
              <w:widowControl/>
              <w:suppressLineNumbers w:val="0"/>
              <w:jc w:val="center"/>
              <w:textAlignment w:val="center"/>
              <w:rPr>
                <w:rFonts w:ascii="Calibri" w:hAnsi="Calibri" w:eastAsia="宋体" w:cs="Times New Roman"/>
                <w:sz w:val="24"/>
                <w:szCs w:val="24"/>
                <w:highlight w:val="none"/>
              </w:rPr>
            </w:pPr>
          </w:p>
        </w:tc>
        <w:tc>
          <w:tcPr>
            <w:tcW w:w="980" w:type="dxa"/>
            <w:noWrap w:val="0"/>
            <w:vAlign w:val="center"/>
          </w:tcPr>
          <w:p w14:paraId="33D04729">
            <w:pPr>
              <w:keepNext w:val="0"/>
              <w:keepLines w:val="0"/>
              <w:widowControl/>
              <w:suppressLineNumbers w:val="0"/>
              <w:jc w:val="center"/>
              <w:textAlignment w:val="center"/>
              <w:rPr>
                <w:rFonts w:ascii="Calibri" w:hAnsi="Calibri" w:eastAsia="宋体" w:cs="Times New Roman"/>
                <w:sz w:val="24"/>
                <w:szCs w:val="24"/>
                <w:highlight w:val="none"/>
              </w:rPr>
            </w:pPr>
          </w:p>
        </w:tc>
        <w:tc>
          <w:tcPr>
            <w:tcW w:w="1092" w:type="dxa"/>
            <w:noWrap w:val="0"/>
            <w:vAlign w:val="center"/>
          </w:tcPr>
          <w:p w14:paraId="210AFB85">
            <w:pPr>
              <w:spacing w:before="5"/>
              <w:jc w:val="center"/>
              <w:rPr>
                <w:rFonts w:ascii="Calibri" w:hAnsi="Calibri" w:eastAsia="宋体" w:cs="Times New Roman"/>
                <w:sz w:val="24"/>
                <w:szCs w:val="24"/>
                <w:highlight w:val="none"/>
              </w:rPr>
            </w:pPr>
          </w:p>
        </w:tc>
        <w:tc>
          <w:tcPr>
            <w:tcW w:w="1134" w:type="dxa"/>
            <w:noWrap w:val="0"/>
            <w:vAlign w:val="center"/>
          </w:tcPr>
          <w:p w14:paraId="0C473D4B">
            <w:pPr>
              <w:spacing w:before="5"/>
              <w:jc w:val="center"/>
              <w:rPr>
                <w:rFonts w:ascii="Calibri" w:hAnsi="Calibri" w:eastAsia="宋体" w:cs="Times New Roman"/>
                <w:sz w:val="24"/>
                <w:szCs w:val="24"/>
                <w:highlight w:val="none"/>
              </w:rPr>
            </w:pPr>
          </w:p>
        </w:tc>
        <w:tc>
          <w:tcPr>
            <w:tcW w:w="812" w:type="dxa"/>
            <w:noWrap w:val="0"/>
            <w:vAlign w:val="center"/>
          </w:tcPr>
          <w:p w14:paraId="7CF393F6">
            <w:pPr>
              <w:spacing w:before="5"/>
              <w:jc w:val="center"/>
              <w:rPr>
                <w:rFonts w:ascii="Calibri" w:hAnsi="Calibri" w:eastAsia="宋体" w:cs="Times New Roman"/>
                <w:sz w:val="24"/>
                <w:szCs w:val="24"/>
                <w:highlight w:val="none"/>
              </w:rPr>
            </w:pPr>
          </w:p>
        </w:tc>
      </w:tr>
      <w:tr w14:paraId="3C9C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13" w:type="dxa"/>
            <w:gridSpan w:val="2"/>
            <w:noWrap w:val="0"/>
            <w:vAlign w:val="center"/>
          </w:tcPr>
          <w:p w14:paraId="3B780E6F">
            <w:pPr>
              <w:spacing w:before="5"/>
              <w:jc w:val="center"/>
              <w:rPr>
                <w:rFonts w:ascii="Calibri" w:hAnsi="Calibri" w:eastAsia="宋体" w:cs="Times New Roman"/>
                <w:sz w:val="24"/>
                <w:szCs w:val="24"/>
                <w:highlight w:val="none"/>
              </w:rPr>
            </w:pPr>
            <w:r>
              <w:rPr>
                <w:rFonts w:hint="eastAsia" w:ascii="宋体" w:hAnsi="宋体" w:eastAsia="宋体" w:cs="宋体"/>
                <w:sz w:val="24"/>
                <w:szCs w:val="24"/>
                <w:highlight w:val="none"/>
              </w:rPr>
              <w:t>合计</w:t>
            </w:r>
            <w:r>
              <w:rPr>
                <w:rFonts w:hint="eastAsia" w:ascii="宋体" w:hAnsi="宋体" w:eastAsia="宋体" w:cs="宋体"/>
                <w:sz w:val="24"/>
                <w:szCs w:val="24"/>
                <w:highlight w:val="none"/>
                <w:lang w:val="en-US" w:eastAsia="zh-CN"/>
              </w:rPr>
              <w:t>（含税）</w:t>
            </w:r>
          </w:p>
        </w:tc>
        <w:tc>
          <w:tcPr>
            <w:tcW w:w="6944" w:type="dxa"/>
            <w:gridSpan w:val="7"/>
            <w:noWrap w:val="0"/>
            <w:vAlign w:val="center"/>
          </w:tcPr>
          <w:p w14:paraId="727D2D59">
            <w:pPr>
              <w:spacing w:before="5"/>
              <w:jc w:val="both"/>
              <w:rPr>
                <w:rFonts w:hint="eastAsia" w:ascii="Calibri" w:hAnsi="Calibri" w:eastAsia="宋体" w:cs="Times New Roman"/>
                <w:sz w:val="24"/>
                <w:szCs w:val="24"/>
                <w:highlight w:val="none"/>
                <w:lang w:eastAsia="zh-CN"/>
              </w:rPr>
            </w:pPr>
            <w:r>
              <w:rPr>
                <w:rFonts w:hint="eastAsia" w:ascii="宋体" w:hAnsi="宋体" w:eastAsia="宋体" w:cs="宋体"/>
                <w:sz w:val="24"/>
                <w:szCs w:val="24"/>
                <w:highlight w:val="none"/>
              </w:rPr>
              <w:t>小写</w:t>
            </w:r>
            <w:r>
              <w:rPr>
                <w:rFonts w:hint="eastAsia" w:ascii="宋体" w:hAnsi="宋体" w:cs="宋体"/>
                <w:sz w:val="24"/>
                <w:szCs w:val="24"/>
                <w:highlight w:val="none"/>
                <w:lang w:eastAsia="zh-CN"/>
              </w:rPr>
              <w:t>：</w:t>
            </w:r>
          </w:p>
        </w:tc>
      </w:tr>
    </w:tbl>
    <w:p w14:paraId="2B5D60DE">
      <w:pPr>
        <w:spacing w:line="360" w:lineRule="auto"/>
        <w:rPr>
          <w:rFonts w:ascii="宋体" w:hAnsi="宋体"/>
          <w:b/>
          <w:szCs w:val="21"/>
          <w:highlight w:val="none"/>
        </w:rPr>
      </w:pPr>
      <w:r>
        <w:rPr>
          <w:rFonts w:hint="eastAsia" w:ascii="宋体" w:hAnsi="宋体"/>
          <w:bCs/>
          <w:sz w:val="24"/>
          <w:highlight w:val="none"/>
          <w:lang w:val="zh-CN"/>
        </w:rPr>
        <w:t>投标人签名：</w:t>
      </w:r>
      <w:r>
        <w:rPr>
          <w:rFonts w:hint="eastAsia" w:ascii="宋体" w:hAnsi="宋体"/>
          <w:bCs/>
          <w:sz w:val="24"/>
          <w:highlight w:val="none"/>
          <w:lang w:val="en-US" w:eastAsia="zh-CN"/>
        </w:rPr>
        <w:t xml:space="preserve">                                              </w:t>
      </w:r>
      <w:r>
        <w:rPr>
          <w:rFonts w:hint="eastAsia" w:ascii="宋体" w:hAnsi="宋体"/>
          <w:sz w:val="24"/>
          <w:szCs w:val="24"/>
          <w:highlight w:val="none"/>
        </w:rPr>
        <w:t>日期：</w:t>
      </w:r>
    </w:p>
    <w:p w14:paraId="7F2AEB8B">
      <w:pPr>
        <w:spacing w:line="360" w:lineRule="auto"/>
        <w:rPr>
          <w:rFonts w:hint="eastAsia" w:ascii="宋体" w:hAnsi="宋体"/>
          <w:b/>
          <w:szCs w:val="21"/>
          <w:highlight w:val="none"/>
        </w:rPr>
      </w:pPr>
      <w:bookmarkStart w:id="94" w:name="OLE_LINK149"/>
      <w:bookmarkStart w:id="95" w:name="OLE_LINK234"/>
    </w:p>
    <w:p w14:paraId="3C873E43">
      <w:pPr>
        <w:spacing w:line="360" w:lineRule="auto"/>
        <w:rPr>
          <w:rFonts w:ascii="宋体" w:hAnsi="宋体"/>
          <w:bCs/>
          <w:szCs w:val="21"/>
          <w:highlight w:val="none"/>
        </w:rPr>
      </w:pPr>
      <w:r>
        <w:rPr>
          <w:rFonts w:hint="eastAsia" w:ascii="宋体" w:hAnsi="宋体"/>
          <w:b/>
          <w:szCs w:val="21"/>
          <w:highlight w:val="none"/>
        </w:rPr>
        <w:t>注：</w:t>
      </w:r>
      <w:bookmarkEnd w:id="93"/>
      <w:bookmarkStart w:id="96" w:name="_Toc13985"/>
      <w:r>
        <w:rPr>
          <w:rFonts w:hint="eastAsia" w:ascii="宋体" w:hAnsi="宋体"/>
          <w:bCs/>
          <w:szCs w:val="21"/>
          <w:highlight w:val="none"/>
        </w:rPr>
        <w:t xml:space="preserve"> （1）投标人应当根据“第四章 项目技术要求和有关说明”的内容在上表中详细填写，须包括本次招标的所有细项；</w:t>
      </w:r>
      <w:bookmarkEnd w:id="96"/>
      <w:r>
        <w:rPr>
          <w:rFonts w:hint="eastAsia" w:ascii="宋体" w:hAnsi="宋体"/>
          <w:bCs/>
          <w:szCs w:val="21"/>
          <w:highlight w:val="none"/>
        </w:rPr>
        <w:t>“投标明细报价表”合计需与“开标一览表”合计一致。</w:t>
      </w:r>
    </w:p>
    <w:p w14:paraId="214241A3">
      <w:pPr>
        <w:ind w:left="420"/>
        <w:jc w:val="left"/>
        <w:rPr>
          <w:rFonts w:ascii="宋体" w:hAnsi="宋体"/>
          <w:bCs/>
          <w:szCs w:val="21"/>
          <w:highlight w:val="none"/>
        </w:rPr>
      </w:pPr>
      <w:r>
        <w:rPr>
          <w:rFonts w:hint="eastAsia" w:ascii="宋体" w:hAnsi="宋体"/>
          <w:bCs/>
          <w:szCs w:val="21"/>
          <w:highlight w:val="none"/>
        </w:rPr>
        <w:t>（2）表格不够可自行延长。</w:t>
      </w:r>
      <w:bookmarkEnd w:id="94"/>
      <w:bookmarkEnd w:id="95"/>
    </w:p>
    <w:p w14:paraId="7867A2C9">
      <w:pPr>
        <w:pStyle w:val="4"/>
        <w:rPr>
          <w:rFonts w:hint="eastAsia" w:ascii="黑体" w:hAnsi="宋体" w:eastAsia="黑体"/>
          <w:bCs/>
          <w:color w:val="auto"/>
          <w:sz w:val="28"/>
          <w:szCs w:val="28"/>
          <w:highlight w:val="none"/>
        </w:rPr>
      </w:pPr>
    </w:p>
    <w:p w14:paraId="319B35EB">
      <w:pPr>
        <w:rPr>
          <w:rFonts w:hint="eastAsia" w:ascii="黑体" w:hAnsi="宋体" w:eastAsia="黑体"/>
          <w:bCs/>
          <w:color w:val="auto"/>
          <w:sz w:val="28"/>
          <w:szCs w:val="28"/>
          <w:highlight w:val="none"/>
        </w:rPr>
      </w:pPr>
    </w:p>
    <w:p w14:paraId="6F5FE754">
      <w:pPr>
        <w:rPr>
          <w:rFonts w:hint="eastAsia" w:ascii="黑体" w:hAnsi="宋体" w:eastAsia="黑体"/>
          <w:bCs/>
          <w:color w:val="auto"/>
          <w:sz w:val="28"/>
          <w:szCs w:val="28"/>
          <w:highlight w:val="none"/>
        </w:rPr>
      </w:pPr>
    </w:p>
    <w:p w14:paraId="0D2B82FE">
      <w:pPr>
        <w:rPr>
          <w:rFonts w:hint="eastAsia" w:ascii="黑体" w:hAnsi="宋体" w:eastAsia="黑体"/>
          <w:bCs/>
          <w:color w:val="auto"/>
          <w:sz w:val="28"/>
          <w:szCs w:val="28"/>
          <w:highlight w:val="none"/>
        </w:rPr>
      </w:pPr>
    </w:p>
    <w:p w14:paraId="5E589DC8">
      <w:pPr>
        <w:pStyle w:val="4"/>
        <w:rPr>
          <w:rFonts w:hint="eastAsia" w:ascii="黑体" w:hAnsi="宋体" w:eastAsia="黑体"/>
          <w:bCs/>
          <w:color w:val="auto"/>
          <w:sz w:val="28"/>
          <w:szCs w:val="28"/>
          <w:highlight w:val="none"/>
        </w:rPr>
      </w:pPr>
    </w:p>
    <w:p w14:paraId="4CC472FB">
      <w:pPr>
        <w:spacing w:line="360" w:lineRule="auto"/>
        <w:jc w:val="left"/>
        <w:rPr>
          <w:rFonts w:hint="eastAsia" w:ascii="黑体" w:hAnsi="宋体" w:eastAsia="黑体"/>
          <w:bCs/>
          <w:color w:val="auto"/>
          <w:sz w:val="28"/>
          <w:szCs w:val="28"/>
          <w:highlight w:val="none"/>
        </w:rPr>
      </w:pPr>
    </w:p>
    <w:p w14:paraId="6E067B7E">
      <w:pPr>
        <w:spacing w:line="360" w:lineRule="auto"/>
        <w:jc w:val="left"/>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92"/>
    </w:p>
    <w:p w14:paraId="2B010827">
      <w:pPr>
        <w:ind w:firstLine="480" w:firstLineChars="200"/>
        <w:rPr>
          <w:rFonts w:ascii="黑体" w:eastAsia="黑体"/>
          <w:bCs/>
          <w:color w:val="auto"/>
          <w:sz w:val="36"/>
          <w:highlight w:val="none"/>
        </w:rPr>
      </w:pPr>
      <w:bookmarkStart w:id="97" w:name="_Toc8000"/>
      <w:r>
        <w:rPr>
          <w:rFonts w:hint="eastAsia" w:ascii="黑体" w:hAnsi="宋体" w:eastAsia="黑体"/>
          <w:bCs/>
          <w:color w:val="auto"/>
          <w:sz w:val="24"/>
          <w:szCs w:val="24"/>
          <w:highlight w:val="none"/>
        </w:rPr>
        <w:t>1、关于资格的声明函（格式）：</w:t>
      </w:r>
    </w:p>
    <w:p w14:paraId="4CC4E559">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5EE87A8">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65C9553F">
      <w:pPr>
        <w:spacing w:line="480" w:lineRule="auto"/>
        <w:jc w:val="center"/>
        <w:rPr>
          <w:rFonts w:ascii="宋体"/>
          <w:bCs/>
          <w:color w:val="auto"/>
          <w:sz w:val="24"/>
          <w:szCs w:val="24"/>
          <w:highlight w:val="none"/>
        </w:rPr>
      </w:pPr>
    </w:p>
    <w:p w14:paraId="0BAF3419">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554FBF31">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江苏宜公投蓝藻资源开发有限公司太湖内源污染治理（太湖西岸宜兴近岸区域）2025-2026年度工程涉航技术评价采购服务项目</w:t>
      </w:r>
      <w:r>
        <w:rPr>
          <w:rFonts w:hint="eastAsia" w:ascii="宋体"/>
          <w:bCs/>
          <w:color w:val="auto"/>
          <w:sz w:val="24"/>
          <w:szCs w:val="24"/>
          <w:highlight w:val="none"/>
        </w:rPr>
        <w:t>（</w:t>
      </w:r>
      <w:r>
        <w:rPr>
          <w:rFonts w:hint="eastAsia" w:ascii="宋体"/>
          <w:bCs/>
          <w:color w:val="auto"/>
          <w:sz w:val="24"/>
          <w:szCs w:val="24"/>
          <w:highlight w:val="none"/>
          <w:lang w:eastAsia="zh-CN"/>
        </w:rPr>
        <w:t>YXGYJT202511021</w:t>
      </w:r>
      <w:r>
        <w:rPr>
          <w:rFonts w:hint="eastAsia" w:ascii="宋体"/>
          <w:bCs/>
          <w:color w:val="auto"/>
          <w:sz w:val="24"/>
          <w:szCs w:val="24"/>
          <w:highlight w:val="none"/>
        </w:rPr>
        <w:t>）采购活动前三年内在经营活动中没有重大违法记录；同时，投标时不存在</w:t>
      </w:r>
      <w:bookmarkStart w:id="98" w:name="OLE_LINK242"/>
      <w:r>
        <w:rPr>
          <w:rFonts w:hint="eastAsia" w:ascii="宋体"/>
          <w:bCs/>
          <w:color w:val="auto"/>
          <w:sz w:val="24"/>
          <w:szCs w:val="24"/>
          <w:highlight w:val="none"/>
        </w:rPr>
        <w:t>有效期限</w:t>
      </w:r>
      <w:bookmarkEnd w:id="98"/>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YXGYJT202511021</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2BFDF215">
      <w:pPr>
        <w:spacing w:line="480" w:lineRule="auto"/>
        <w:ind w:firstLine="480" w:firstLineChars="200"/>
        <w:rPr>
          <w:rFonts w:ascii="宋体" w:hAnsi="宋体"/>
          <w:bCs/>
          <w:color w:val="auto"/>
          <w:sz w:val="24"/>
          <w:szCs w:val="24"/>
          <w:highlight w:val="none"/>
        </w:rPr>
      </w:pPr>
    </w:p>
    <w:p w14:paraId="1871205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E7430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92564A6">
      <w:pPr>
        <w:spacing w:line="360" w:lineRule="auto"/>
        <w:jc w:val="center"/>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2980055</wp:posOffset>
                </wp:positionH>
                <wp:positionV relativeFrom="paragraph">
                  <wp:posOffset>203200</wp:posOffset>
                </wp:positionV>
                <wp:extent cx="3065145" cy="2070100"/>
                <wp:effectExtent l="5080" t="4445" r="8255" b="13335"/>
                <wp:wrapNone/>
                <wp:docPr id="3"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34.65pt;margin-top:16pt;height:163pt;width:241.35pt;z-index:251660288;mso-width-relative:page;mso-height-relative:page;" fillcolor="#FFFFFF" filled="t" stroked="t" coordsize="21600,21600" o:gfxdata="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o6p8QygwU/&#10;/vxx/PXn+Ps7mSd7eg8Vom484uLw1g3YNHfrgItJ9dAEk/6oh+A+mns4myuHSDguzsurxfTlghKO&#10;e7PyFcrN9hf3x32A+EE6Q1JQ04DVy6ay/UeImApC7yDpNnBaiY3SOk9Cu32nA9kzrPQmfylLPPII&#10;pi3pa/pmMU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jjVt3ZAAAACgEAAA8AAAAAAAAAAQAg&#10;AAAAIgAAAGRycy9kb3ducmV2LnhtbFBLAQIUABQAAAAIAIdO4kA463O7DQIAADcEAAAOAAAAAAAA&#10;AAEAIAAAACgBAABkcnMvZTJvRG9jLnhtbFBLBQYAAAAABgAGAFkBAACnBQAAAAA=&#10;">
                <v:fill on="t" focussize="0,0"/>
                <v:stroke color="#000000" joinstyle="miter"/>
                <v:imagedata o:title=""/>
                <o:lock v:ext="edit" aspectratio="f"/>
                <v:textbo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177800</wp:posOffset>
                </wp:positionV>
                <wp:extent cx="2999105" cy="2070735"/>
                <wp:effectExtent l="4445" t="4445" r="13970" b="12700"/>
                <wp:wrapNone/>
                <wp:docPr id="4"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15.1pt;margin-top:14pt;height:163.05pt;width:236.15pt;z-index:251659264;mso-width-relative:page;mso-height-relative:page;" fillcolor="#FFFFFF" filled="t" stroked="t" coordsize="21600,21600" o:gfxdata="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TzZ62QAAAAoBAAAPAAAAAAAAAAEAIAAA&#10;ACIAAABkcnMvZG93bnJldi54bWxQSwECFAAUAAAACACHTuJATsDTvwsCAAA3BAAADgAAAAAAAAAB&#10;ACAAAAAoAQAAZHJzL2Uyb0RvYy54bWxQSwUGAAAAAAYABgBZAQAApQUAAAAA&#10;">
                <v:fill on="t" focussize="0,0"/>
                <v:stroke color="#000000" joinstyle="miter"/>
                <v:imagedata o:title=""/>
                <o:lock v:ext="edit" aspectratio="f"/>
                <v:textbo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32A7F2FC">
      <w:pPr>
        <w:spacing w:line="360" w:lineRule="auto"/>
        <w:rPr>
          <w:rFonts w:hint="eastAsia" w:ascii="黑体" w:eastAsia="黑体"/>
          <w:bCs/>
          <w:color w:val="auto"/>
          <w:sz w:val="28"/>
          <w:szCs w:val="28"/>
          <w:highlight w:val="none"/>
        </w:rPr>
      </w:pPr>
    </w:p>
    <w:p w14:paraId="03F445B8">
      <w:pPr>
        <w:spacing w:line="360" w:lineRule="auto"/>
        <w:rPr>
          <w:rFonts w:hint="eastAsia" w:ascii="黑体" w:eastAsia="黑体"/>
          <w:bCs/>
          <w:color w:val="auto"/>
          <w:sz w:val="28"/>
          <w:szCs w:val="28"/>
          <w:highlight w:val="none"/>
        </w:rPr>
      </w:pPr>
    </w:p>
    <w:p w14:paraId="7A3B30D7">
      <w:pPr>
        <w:spacing w:line="360" w:lineRule="auto"/>
        <w:jc w:val="both"/>
        <w:rPr>
          <w:rFonts w:hint="eastAsia" w:ascii="黑体" w:eastAsia="黑体"/>
          <w:bCs/>
          <w:color w:val="auto"/>
          <w:sz w:val="28"/>
          <w:szCs w:val="28"/>
          <w:highlight w:val="none"/>
        </w:rPr>
      </w:pPr>
    </w:p>
    <w:p w14:paraId="1CEF638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33C5E3FF">
      <w:pPr>
        <w:tabs>
          <w:tab w:val="center" w:pos="4819"/>
          <w:tab w:val="left" w:pos="6732"/>
        </w:tabs>
        <w:spacing w:before="156" w:beforeLines="50" w:after="156" w:after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法定代表人授权委托书</w:t>
      </w:r>
    </w:p>
    <w:p w14:paraId="20CD5401">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2E72046">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44BCBF6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江苏宜公投蓝藻资源开发有限公司太湖内源污染治理（太湖西岸宜兴近岸区域）2025-2026年度工程涉航技术评价采购服务项目</w:t>
      </w:r>
      <w:r>
        <w:rPr>
          <w:rFonts w:hint="eastAsia" w:ascii="宋体" w:hAnsi="宋体"/>
          <w:color w:val="auto"/>
          <w:sz w:val="24"/>
          <w:szCs w:val="21"/>
          <w:highlight w:val="none"/>
          <w:lang w:val="zh-CN"/>
        </w:rPr>
        <w:t>（YXGYJT202511021）的投标、参与开标、谈判、签约等具体工作，并签署全部有关的文件、协议及合同。</w:t>
      </w:r>
    </w:p>
    <w:p w14:paraId="693359A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64D649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0CFA0B4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6585C0E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604D6940">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CBEF26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81D7F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221A696">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36FCC63C">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1558328">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法定代表人</w:t>
      </w:r>
      <w:r>
        <w:rPr>
          <w:rFonts w:hint="eastAsia" w:ascii="宋体" w:hAnsi="宋体"/>
          <w:bCs/>
          <w:color w:val="auto"/>
          <w:sz w:val="24"/>
          <w:highlight w:val="none"/>
          <w:lang w:val="zh-CN"/>
        </w:rPr>
        <w:t>签名</w:t>
      </w:r>
      <w:r>
        <w:rPr>
          <w:rFonts w:hint="eastAsia" w:ascii="宋体" w:hAnsi="宋体"/>
          <w:bCs/>
          <w:color w:val="auto"/>
          <w:sz w:val="24"/>
          <w:highlight w:val="none"/>
          <w:lang w:val="en-US" w:eastAsia="zh-CN"/>
        </w:rPr>
        <w:t>或签章</w:t>
      </w:r>
      <w:r>
        <w:rPr>
          <w:rFonts w:hint="eastAsia" w:ascii="宋体" w:hAnsi="宋体"/>
          <w:bCs/>
          <w:color w:val="auto"/>
          <w:sz w:val="24"/>
          <w:highlight w:val="none"/>
          <w:lang w:val="zh-CN"/>
        </w:rPr>
        <w:t>：</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10160" b="1460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6" name="文本框 6"/>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ATfJJ5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6dTGfvZ1R&#10;wvFscnkxv5zOEk9xf90HiJ+kMyQZFQ3YvSwq232GOEDvICkaOK3EWmmdN6HZfNCB7Bh2ep2/I/sj&#10;mLakq+i7GcYmnOH41jg2aBqPEoBtcrxHN+Ah8Th/LxGnxFYM2iGBzJBgrDQqypCtVjLx0QoS9x5l&#10;tvi6aErGSEGJlvgYk5WRkSl9DhK10xYlTD0aepGs2G96pEnmxok99m3rg2palDR3LsNxnrL2x9lP&#10;A/twn0nv3/vy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q7N7aAAAACgEAAA8AAAAAAAAAAQAg&#10;AAAAIgAAAGRycy9kb3ducmV2LnhtbFBLAQIUABQAAAAIAIdO4kATfJJ5DAIAADcEAAAOAAAAAAAA&#10;AAEAIAAAACkBAABkcnMvZTJvRG9jLnhtbFBLBQYAAAAABgAGAFkBAACnBQAAAAA=&#10;">
                <v:fill on="t" focussize="0,0"/>
                <v:stroke color="#000000" joinstyle="miter"/>
                <v:imagedata o:title=""/>
                <o:lock v:ext="edit" aspectratio="f"/>
                <v:textbo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v:textbox>
              </v:shape>
            </w:pict>
          </mc:Fallback>
        </mc:AlternateContent>
      </w:r>
    </w:p>
    <w:p w14:paraId="64A1CA46">
      <w:pPr>
        <w:spacing w:line="360" w:lineRule="auto"/>
        <w:rPr>
          <w:rFonts w:hint="eastAsia" w:ascii="黑体" w:eastAsia="黑体"/>
          <w:bCs/>
          <w:color w:val="auto"/>
          <w:sz w:val="28"/>
          <w:szCs w:val="28"/>
          <w:highlight w:val="none"/>
        </w:rPr>
      </w:pPr>
    </w:p>
    <w:p w14:paraId="5F1677A5">
      <w:pPr>
        <w:spacing w:line="360" w:lineRule="auto"/>
        <w:rPr>
          <w:rFonts w:hint="eastAsia" w:ascii="黑体" w:eastAsia="黑体"/>
          <w:bCs/>
          <w:color w:val="auto"/>
          <w:sz w:val="28"/>
          <w:szCs w:val="28"/>
          <w:highlight w:val="none"/>
        </w:rPr>
      </w:pPr>
    </w:p>
    <w:p w14:paraId="366F5926">
      <w:pPr>
        <w:spacing w:line="360" w:lineRule="auto"/>
        <w:jc w:val="center"/>
        <w:rPr>
          <w:rFonts w:hint="eastAsia" w:ascii="黑体" w:eastAsia="黑体"/>
          <w:bCs/>
          <w:color w:val="auto"/>
          <w:sz w:val="28"/>
          <w:szCs w:val="28"/>
          <w:highlight w:val="none"/>
        </w:rPr>
      </w:pPr>
    </w:p>
    <w:p w14:paraId="774C3ACF">
      <w:pPr>
        <w:spacing w:before="156" w:beforeLines="50" w:after="156" w:afterLines="50" w:line="480" w:lineRule="auto"/>
        <w:rPr>
          <w:rFonts w:ascii="黑体" w:hAnsi="黑体" w:eastAsia="黑体"/>
          <w:bCs/>
          <w:color w:val="auto"/>
          <w:sz w:val="28"/>
          <w:szCs w:val="24"/>
          <w:highlight w:val="none"/>
        </w:rPr>
      </w:pPr>
    </w:p>
    <w:p w14:paraId="1183CE4D">
      <w:pPr>
        <w:tabs>
          <w:tab w:val="left" w:pos="255"/>
        </w:tabs>
        <w:spacing w:line="360" w:lineRule="auto"/>
        <w:ind w:left="420" w:leftChars="200" w:firstLine="480" w:firstLineChars="200"/>
        <w:rPr>
          <w:rFonts w:hint="eastAsia" w:ascii="宋体" w:hAnsi="宋体"/>
          <w:bCs/>
          <w:color w:val="auto"/>
          <w:sz w:val="24"/>
          <w:szCs w:val="24"/>
          <w:highlight w:val="none"/>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75148B43">
      <w:pPr>
        <w:spacing w:before="156" w:beforeLines="50" w:after="156" w:afterLines="50" w:line="360" w:lineRule="auto"/>
        <w:rPr>
          <w:rFonts w:hint="eastAsia" w:ascii="宋体" w:hAnsi="宋体"/>
          <w:bCs/>
          <w:color w:val="auto"/>
          <w:sz w:val="24"/>
          <w:szCs w:val="24"/>
          <w:highlight w:val="none"/>
        </w:rPr>
      </w:pPr>
      <w:r>
        <w:rPr>
          <w:rFonts w:hint="eastAsia" w:ascii="宋体" w:hAnsi="宋体"/>
          <w:b/>
          <w:bCs w:val="0"/>
          <w:color w:val="auto"/>
          <w:sz w:val="24"/>
          <w:szCs w:val="24"/>
          <w:highlight w:val="none"/>
        </w:rPr>
        <w:t xml:space="preserve">3、资格性证明材料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p>
    <w:p w14:paraId="313E2569">
      <w:pPr>
        <w:spacing w:before="156" w:beforeLines="50" w:after="156" w:afterLines="50" w:line="480" w:lineRule="auto"/>
        <w:jc w:val="center"/>
        <w:rPr>
          <w:rFonts w:hint="eastAsia" w:ascii="宋体" w:hAnsi="宋体"/>
          <w:bCs/>
          <w:sz w:val="24"/>
          <w:szCs w:val="24"/>
          <w:highlight w:val="none"/>
        </w:rPr>
      </w:pPr>
      <w:r>
        <w:rPr>
          <w:rFonts w:hint="eastAsia" w:ascii="黑体" w:hAnsi="黑体" w:eastAsia="黑体"/>
          <w:bCs/>
          <w:sz w:val="28"/>
          <w:szCs w:val="24"/>
          <w:highlight w:val="none"/>
        </w:rPr>
        <w:t>资格性证明材料</w:t>
      </w:r>
      <w:r>
        <w:rPr>
          <w:rFonts w:hint="eastAsia" w:ascii="宋体" w:hAnsi="宋体"/>
          <w:bCs/>
          <w:sz w:val="24"/>
          <w:szCs w:val="24"/>
          <w:highlight w:val="none"/>
        </w:rPr>
        <w:t xml:space="preserve">                                    </w:t>
      </w:r>
      <w:r>
        <w:rPr>
          <w:rFonts w:ascii="宋体" w:hAnsi="宋体"/>
          <w:bCs/>
          <w:sz w:val="24"/>
          <w:szCs w:val="24"/>
          <w:highlight w:val="none"/>
        </w:rPr>
        <w:t xml:space="preserve">           </w:t>
      </w:r>
    </w:p>
    <w:p w14:paraId="3C01D6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bCs/>
          <w:sz w:val="24"/>
          <w:szCs w:val="24"/>
          <w:highlight w:val="none"/>
        </w:rPr>
        <w:t>投标人应按以下顺序提供相关材料复印件：</w:t>
      </w:r>
    </w:p>
    <w:p w14:paraId="30BCB9B7">
      <w:pPr>
        <w:keepNext w:val="0"/>
        <w:keepLines w:val="0"/>
        <w:pageBreakBefore w:val="0"/>
        <w:widowControl w:val="0"/>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①具有独立承担民事责任的能力：投标人为法人或其他组织的提供营业执照或法人（登记）证书复印件，投标人为自然人的提供自然人身份证复印件； </w:t>
      </w:r>
      <w:r>
        <w:rPr>
          <w:rFonts w:hint="eastAsia" w:ascii="宋体" w:hAnsi="宋体" w:cs="宋体"/>
          <w:b/>
          <w:bCs/>
          <w:color w:val="auto"/>
          <w:sz w:val="24"/>
          <w:szCs w:val="24"/>
          <w:highlight w:val="none"/>
        </w:rPr>
        <w:t>（开标时提供原件或公证件）</w:t>
      </w:r>
    </w:p>
    <w:p w14:paraId="16E29AE4">
      <w:pPr>
        <w:keepNext w:val="0"/>
        <w:keepLines w:val="0"/>
        <w:pageBreakBefore w:val="0"/>
        <w:widowControl w:val="0"/>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93D4F4B">
      <w:pPr>
        <w:keepNext w:val="0"/>
        <w:keepLines w:val="0"/>
        <w:pageBreakBefore w:val="0"/>
        <w:widowControl w:val="0"/>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370D9094">
      <w:pPr>
        <w:keepNext w:val="0"/>
        <w:keepLines w:val="0"/>
        <w:pageBreakBefore w:val="0"/>
        <w:widowControl w:val="0"/>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619C74A8">
      <w:pPr>
        <w:keepNext w:val="0"/>
        <w:keepLines w:val="0"/>
        <w:pageBreakBefore w:val="0"/>
        <w:widowControl w:val="0"/>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5EF589F3">
      <w:pPr>
        <w:keepNext w:val="0"/>
        <w:keepLines w:val="0"/>
        <w:pageBreakBefore w:val="0"/>
        <w:widowControl w:val="0"/>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4E97EF4D">
      <w:pPr>
        <w:keepNext w:val="0"/>
        <w:keepLines w:val="0"/>
        <w:pageBreakBefore w:val="0"/>
        <w:widowControl w:val="0"/>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⑦良好的信用记录：</w:t>
      </w:r>
      <w:r>
        <w:rPr>
          <w:rFonts w:hint="eastAsia" w:ascii="宋体" w:hAnsi="宋体" w:cs="宋体"/>
          <w:color w:val="auto"/>
          <w:sz w:val="24"/>
          <w:szCs w:val="24"/>
          <w:highlight w:val="none"/>
          <w:lang w:val="zh-CN"/>
        </w:rPr>
        <w:t>投标截止时间之前，未被“信用中国”网站、“中国政府采购网”网站列入失信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lang w:val="zh-CN"/>
        </w:rPr>
        <w:t>执行人、重大税收违法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lang w:val="zh-CN"/>
        </w:rPr>
        <w:t>名单、政府采购严重违法失信行为记录名单；</w:t>
      </w:r>
      <w:r>
        <w:rPr>
          <w:rFonts w:hint="eastAsia" w:ascii="宋体" w:hAnsi="宋体" w:cs="宋体"/>
          <w:color w:val="auto"/>
          <w:sz w:val="24"/>
          <w:szCs w:val="24"/>
          <w:highlight w:val="none"/>
        </w:rPr>
        <w:t>（若投标人企业信息已录入以上网站的，无需提供相关证明材料；若投标人企业信息未录入以上网站的，须在投标文件中提供无不良信用记录承诺书）</w:t>
      </w:r>
    </w:p>
    <w:p w14:paraId="7932DADE">
      <w:pPr>
        <w:keepNext w:val="0"/>
        <w:keepLines w:val="0"/>
        <w:pageBreakBefore w:val="0"/>
        <w:widowControl w:val="0"/>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⑧</w:t>
      </w:r>
      <w:r>
        <w:rPr>
          <w:rFonts w:hint="eastAsia" w:ascii="宋体" w:hAnsi="宋体" w:cs="宋体"/>
          <w:sz w:val="24"/>
          <w:szCs w:val="24"/>
          <w:highlight w:val="none"/>
        </w:rPr>
        <w:t>投标人应具有类似项目涉航技术评价相关业绩</w:t>
      </w:r>
      <w:r>
        <w:rPr>
          <w:rFonts w:hint="eastAsia" w:ascii="宋体" w:hAnsi="宋体" w:cs="宋体"/>
          <w:color w:val="auto"/>
          <w:sz w:val="24"/>
          <w:szCs w:val="24"/>
          <w:highlight w:val="none"/>
          <w:lang w:val="en-US" w:eastAsia="zh-CN"/>
        </w:rPr>
        <w:t>复印件</w:t>
      </w:r>
      <w:r>
        <w:rPr>
          <w:rFonts w:hint="eastAsia" w:ascii="宋体" w:hAnsi="宋体" w:cs="宋体"/>
          <w:sz w:val="24"/>
          <w:szCs w:val="24"/>
          <w:highlight w:val="none"/>
        </w:rPr>
        <w:t>；</w:t>
      </w:r>
      <w:r>
        <w:rPr>
          <w:rFonts w:hint="eastAsia" w:ascii="宋体" w:hAnsi="宋体" w:cs="宋体"/>
          <w:b/>
          <w:sz w:val="24"/>
          <w:szCs w:val="24"/>
          <w:highlight w:val="none"/>
        </w:rPr>
        <w:t>（开标时提供原件）</w:t>
      </w:r>
    </w:p>
    <w:p w14:paraId="1006E252">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sz w:val="24"/>
          <w:szCs w:val="24"/>
          <w:highlight w:val="none"/>
        </w:rPr>
      </w:pPr>
      <w:r>
        <w:rPr>
          <w:rFonts w:hint="eastAsia" w:ascii="宋体" w:hAnsi="宋体" w:eastAsia="宋体" w:cs="宋体"/>
          <w:color w:val="auto"/>
          <w:sz w:val="24"/>
          <w:szCs w:val="24"/>
          <w:highlight w:val="none"/>
          <w:lang w:val="en-US" w:eastAsia="zh-CN"/>
        </w:rPr>
        <w:t>⑨</w:t>
      </w:r>
      <w:r>
        <w:rPr>
          <w:rFonts w:hint="eastAsia" w:ascii="宋体" w:hAnsi="宋体" w:cs="宋体"/>
          <w:sz w:val="24"/>
          <w:szCs w:val="24"/>
          <w:highlight w:val="none"/>
        </w:rPr>
        <w:t>投标人应在全国投资项目在线审批监管平台备案（备案专业水运（含港口河海工程））；或具有工程咨询协会颁发的</w:t>
      </w:r>
      <w:r>
        <w:rPr>
          <w:rFonts w:hint="eastAsia" w:ascii="宋体" w:hAnsi="宋体" w:cs="宋体"/>
          <w:sz w:val="24"/>
          <w:szCs w:val="24"/>
          <w:highlight w:val="none"/>
          <w:lang w:eastAsia="zh-CN"/>
        </w:rPr>
        <w:t>乙级及以上</w:t>
      </w:r>
      <w:r>
        <w:rPr>
          <w:rFonts w:hint="eastAsia" w:ascii="宋体" w:hAnsi="宋体" w:cs="宋体"/>
          <w:sz w:val="24"/>
          <w:szCs w:val="24"/>
          <w:highlight w:val="none"/>
          <w:lang w:val="en-US" w:eastAsia="zh-CN"/>
        </w:rPr>
        <w:t>资</w:t>
      </w:r>
      <w:r>
        <w:rPr>
          <w:rFonts w:hint="eastAsia" w:ascii="宋体" w:hAnsi="宋体" w:cs="宋体"/>
          <w:sz w:val="24"/>
          <w:szCs w:val="24"/>
          <w:highlight w:val="none"/>
        </w:rPr>
        <w:t>信证书</w:t>
      </w:r>
      <w:r>
        <w:rPr>
          <w:rFonts w:hint="eastAsia" w:ascii="宋体" w:hAnsi="宋体" w:cs="宋体"/>
          <w:color w:val="auto"/>
          <w:sz w:val="24"/>
          <w:szCs w:val="24"/>
          <w:highlight w:val="none"/>
          <w:lang w:val="en-US" w:eastAsia="zh-CN"/>
        </w:rPr>
        <w:t>复印件</w:t>
      </w:r>
      <w:r>
        <w:rPr>
          <w:rFonts w:hint="eastAsia" w:ascii="宋体" w:hAnsi="宋体" w:cs="宋体"/>
          <w:sz w:val="24"/>
          <w:szCs w:val="24"/>
          <w:highlight w:val="none"/>
        </w:rPr>
        <w:t>，业务范围包含水运（含港口河海工程）；</w:t>
      </w:r>
      <w:r>
        <w:rPr>
          <w:rFonts w:hint="eastAsia" w:ascii="宋体" w:hAnsi="宋体" w:cs="宋体"/>
          <w:b/>
          <w:sz w:val="24"/>
          <w:szCs w:val="24"/>
          <w:highlight w:val="none"/>
        </w:rPr>
        <w:t>（开标时提供平台备案截图或</w:t>
      </w:r>
      <w:r>
        <w:rPr>
          <w:rFonts w:hint="eastAsia" w:ascii="宋体" w:hAnsi="宋体" w:cs="宋体"/>
          <w:b/>
          <w:sz w:val="24"/>
          <w:szCs w:val="24"/>
          <w:highlight w:val="none"/>
          <w:lang w:val="en-US" w:eastAsia="zh-CN"/>
        </w:rPr>
        <w:t>资</w:t>
      </w:r>
      <w:r>
        <w:rPr>
          <w:rFonts w:hint="eastAsia" w:ascii="宋体" w:hAnsi="宋体" w:cs="宋体"/>
          <w:b/>
          <w:sz w:val="24"/>
          <w:szCs w:val="24"/>
          <w:highlight w:val="none"/>
        </w:rPr>
        <w:t>信证书原件）</w:t>
      </w:r>
    </w:p>
    <w:p w14:paraId="65AF4DD2">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highlight w:val="none"/>
          <w:lang w:val="zh-CN"/>
        </w:rPr>
      </w:pPr>
      <w:r>
        <w:rPr>
          <w:rFonts w:hint="eastAsia" w:ascii="宋体" w:hAnsi="宋体"/>
          <w:sz w:val="24"/>
          <w:szCs w:val="24"/>
          <w:highlight w:val="none"/>
        </w:rPr>
        <w:t>注：以上“近十二个月”是指</w:t>
      </w:r>
      <w:r>
        <w:rPr>
          <w:rFonts w:hint="eastAsia" w:ascii="宋体" w:hAnsi="宋体"/>
          <w:bCs/>
          <w:sz w:val="24"/>
          <w:szCs w:val="24"/>
          <w:highlight w:val="none"/>
          <w:lang w:val="zh-CN"/>
        </w:rPr>
        <w:t>提交</w:t>
      </w:r>
      <w:r>
        <w:rPr>
          <w:rFonts w:hint="eastAsia" w:ascii="宋体" w:hAnsi="宋体"/>
          <w:bCs/>
          <w:sz w:val="24"/>
          <w:szCs w:val="24"/>
          <w:highlight w:val="none"/>
          <w:lang w:val="en-US" w:eastAsia="zh-CN"/>
        </w:rPr>
        <w:t>招标</w:t>
      </w:r>
      <w:r>
        <w:rPr>
          <w:rFonts w:hint="eastAsia" w:ascii="宋体" w:hAnsi="宋体"/>
          <w:bCs/>
          <w:sz w:val="24"/>
          <w:szCs w:val="24"/>
          <w:highlight w:val="none"/>
          <w:lang w:val="zh-CN"/>
        </w:rPr>
        <w:t>文件截止</w:t>
      </w:r>
      <w:r>
        <w:rPr>
          <w:rFonts w:hint="eastAsia" w:ascii="宋体" w:hAnsi="宋体"/>
          <w:sz w:val="24"/>
          <w:szCs w:val="24"/>
          <w:highlight w:val="none"/>
        </w:rPr>
        <w:t>日之前近十二个月（不含报价当月）。</w:t>
      </w:r>
    </w:p>
    <w:p w14:paraId="7CD4AB21">
      <w:pPr>
        <w:tabs>
          <w:tab w:val="left" w:pos="0"/>
          <w:tab w:val="left" w:pos="255"/>
        </w:tabs>
        <w:spacing w:line="240" w:lineRule="auto"/>
        <w:ind w:firstLine="480" w:firstLineChars="200"/>
        <w:rPr>
          <w:rFonts w:hint="eastAsia" w:ascii="宋体" w:hAnsi="宋体" w:eastAsia="宋体" w:cs="宋体"/>
          <w:color w:val="auto"/>
          <w:sz w:val="24"/>
          <w:szCs w:val="24"/>
          <w:highlight w:val="none"/>
          <w:lang w:val="zh-CN"/>
        </w:rPr>
      </w:pPr>
    </w:p>
    <w:p w14:paraId="159B39CA">
      <w:pPr>
        <w:tabs>
          <w:tab w:val="left" w:pos="0"/>
          <w:tab w:val="left" w:pos="255"/>
        </w:tabs>
        <w:spacing w:line="360" w:lineRule="auto"/>
        <w:ind w:firstLine="482" w:firstLineChars="200"/>
        <w:rPr>
          <w:rFonts w:hint="eastAsia" w:ascii="宋体" w:hAnsi="宋体" w:cs="宋体"/>
          <w:b/>
          <w:bCs/>
          <w:color w:val="auto"/>
          <w:sz w:val="24"/>
          <w:szCs w:val="24"/>
          <w:highlight w:val="none"/>
        </w:rPr>
      </w:pPr>
    </w:p>
    <w:p w14:paraId="0FD3197C">
      <w:pPr>
        <w:tabs>
          <w:tab w:val="left" w:pos="0"/>
          <w:tab w:val="left" w:pos="255"/>
        </w:tabs>
        <w:spacing w:line="360" w:lineRule="auto"/>
        <w:ind w:firstLine="480" w:firstLineChars="200"/>
        <w:rPr>
          <w:rFonts w:hint="eastAsia" w:ascii="宋体" w:hAnsi="宋体"/>
          <w:color w:val="auto"/>
          <w:sz w:val="24"/>
          <w:szCs w:val="21"/>
          <w:highlight w:val="none"/>
        </w:rPr>
      </w:pPr>
    </w:p>
    <w:p w14:paraId="7AB39D03">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9186795">
      <w:pPr>
        <w:spacing w:line="360" w:lineRule="auto"/>
        <w:jc w:val="center"/>
        <w:rPr>
          <w:rFonts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End w:id="97"/>
    </w:p>
    <w:p w14:paraId="6545F808">
      <w:pPr>
        <w:tabs>
          <w:tab w:val="left" w:pos="0"/>
          <w:tab w:val="left" w:pos="255"/>
        </w:tabs>
        <w:spacing w:line="360" w:lineRule="auto"/>
        <w:rPr>
          <w:rFonts w:hint="eastAsia" w:ascii="黑体" w:hAnsi="宋体" w:eastAsia="黑体"/>
          <w:bCs/>
          <w:color w:val="auto"/>
          <w:sz w:val="24"/>
          <w:szCs w:val="24"/>
          <w:highlight w:val="none"/>
          <w:lang w:val="zh-CN"/>
        </w:rPr>
      </w:pPr>
    </w:p>
    <w:p w14:paraId="7E7C7A99">
      <w:pPr>
        <w:tabs>
          <w:tab w:val="left" w:pos="0"/>
          <w:tab w:val="left" w:pos="255"/>
        </w:tabs>
        <w:spacing w:line="360" w:lineRule="auto"/>
        <w:rPr>
          <w:rFonts w:hint="eastAsia" w:ascii="黑体" w:hAnsi="宋体" w:eastAsia="黑体"/>
          <w:bCs/>
          <w:color w:val="auto"/>
          <w:sz w:val="24"/>
          <w:szCs w:val="24"/>
          <w:highlight w:val="none"/>
          <w:lang w:val="zh-CN"/>
        </w:rPr>
      </w:pPr>
    </w:p>
    <w:p w14:paraId="308F9D37">
      <w:pPr>
        <w:tabs>
          <w:tab w:val="left" w:pos="0"/>
          <w:tab w:val="left" w:pos="255"/>
        </w:tabs>
        <w:spacing w:line="360" w:lineRule="auto"/>
        <w:rPr>
          <w:rFonts w:hint="eastAsia" w:ascii="黑体" w:hAnsi="宋体" w:eastAsia="黑体"/>
          <w:bCs/>
          <w:color w:val="auto"/>
          <w:sz w:val="24"/>
          <w:szCs w:val="24"/>
          <w:highlight w:val="none"/>
          <w:lang w:val="zh-CN"/>
        </w:rPr>
      </w:pPr>
    </w:p>
    <w:p w14:paraId="4A315F44">
      <w:pPr>
        <w:tabs>
          <w:tab w:val="left" w:pos="0"/>
          <w:tab w:val="left" w:pos="255"/>
        </w:tabs>
        <w:spacing w:line="360" w:lineRule="auto"/>
        <w:rPr>
          <w:rFonts w:hint="eastAsia" w:ascii="黑体" w:hAnsi="宋体" w:eastAsia="黑体"/>
          <w:bCs/>
          <w:color w:val="auto"/>
          <w:sz w:val="24"/>
          <w:szCs w:val="24"/>
          <w:highlight w:val="none"/>
          <w:lang w:val="zh-CN"/>
        </w:rPr>
      </w:pPr>
    </w:p>
    <w:p w14:paraId="647A2AC4">
      <w:pPr>
        <w:tabs>
          <w:tab w:val="left" w:pos="0"/>
          <w:tab w:val="left" w:pos="255"/>
        </w:tabs>
        <w:spacing w:line="360" w:lineRule="auto"/>
        <w:rPr>
          <w:rFonts w:hint="eastAsia" w:ascii="宋体" w:hAnsi="宋体"/>
          <w:color w:val="auto"/>
          <w:sz w:val="24"/>
          <w:szCs w:val="21"/>
          <w:highlight w:val="none"/>
          <w:lang w:val="zh-CN"/>
        </w:rPr>
      </w:pPr>
      <w:bookmarkStart w:id="99" w:name="_GoBack"/>
      <w:bookmarkEnd w:id="99"/>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3834E98E">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12D18635">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太湖内源污染治理（太湖西岸宜兴近岸区域）2025-2026年度工程涉航技术评价采购服务项目</w:t>
      </w:r>
      <w:r>
        <w:rPr>
          <w:rFonts w:hint="eastAsia" w:ascii="宋体" w:hAnsi="宋体"/>
          <w:color w:val="auto"/>
          <w:sz w:val="24"/>
          <w:szCs w:val="24"/>
          <w:highlight w:val="none"/>
        </w:rPr>
        <w:t xml:space="preserve">                                     </w:t>
      </w:r>
    </w:p>
    <w:p w14:paraId="3D20B047">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YXGYJT202511021</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0A99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CE15467">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1715AE6C">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4CB4655">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8018ACD">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014AB1C">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646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802C499">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0F5F63B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375EE9F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ECEDC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36A151C">
            <w:pPr>
              <w:jc w:val="center"/>
              <w:rPr>
                <w:rFonts w:hint="eastAsia" w:ascii="宋体" w:hAnsi="宋体"/>
                <w:color w:val="auto"/>
                <w:sz w:val="24"/>
                <w:szCs w:val="24"/>
                <w:highlight w:val="none"/>
              </w:rPr>
            </w:pPr>
          </w:p>
        </w:tc>
      </w:tr>
      <w:tr w14:paraId="614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677DAA4">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690091F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F9EC21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005940E">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739577A">
            <w:pPr>
              <w:jc w:val="center"/>
              <w:rPr>
                <w:rFonts w:hint="eastAsia" w:ascii="宋体" w:hAnsi="宋体"/>
                <w:color w:val="auto"/>
                <w:sz w:val="24"/>
                <w:szCs w:val="24"/>
                <w:highlight w:val="none"/>
              </w:rPr>
            </w:pPr>
          </w:p>
        </w:tc>
      </w:tr>
      <w:tr w14:paraId="0A6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665CD11">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2B7049B6">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77F7A68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17FFDD">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57A5608">
            <w:pPr>
              <w:jc w:val="center"/>
              <w:rPr>
                <w:rFonts w:hint="eastAsia" w:ascii="宋体" w:hAnsi="宋体"/>
                <w:color w:val="auto"/>
                <w:sz w:val="24"/>
                <w:szCs w:val="24"/>
                <w:highlight w:val="none"/>
              </w:rPr>
            </w:pPr>
          </w:p>
        </w:tc>
      </w:tr>
    </w:tbl>
    <w:p w14:paraId="44432DE2">
      <w:pPr>
        <w:spacing w:line="360" w:lineRule="auto"/>
        <w:ind w:left="5460" w:hanging="5460" w:hangingChars="2275"/>
        <w:jc w:val="center"/>
        <w:rPr>
          <w:rFonts w:hint="eastAsia" w:ascii="宋体" w:hAnsi="宋体"/>
          <w:bCs/>
          <w:color w:val="auto"/>
          <w:sz w:val="24"/>
          <w:highlight w:val="none"/>
          <w:lang w:val="zh-CN"/>
        </w:rPr>
      </w:pPr>
    </w:p>
    <w:p w14:paraId="3B72EC8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03DDBF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107F464B">
      <w:pPr>
        <w:spacing w:line="580" w:lineRule="exact"/>
        <w:ind w:firstLine="480" w:firstLineChars="200"/>
        <w:rPr>
          <w:rFonts w:hint="eastAsia" w:ascii="宋体" w:hAnsi="宋体"/>
          <w:bCs/>
          <w:color w:val="auto"/>
          <w:sz w:val="24"/>
          <w:szCs w:val="24"/>
          <w:highlight w:val="none"/>
          <w:lang w:val="zh-CN"/>
        </w:rPr>
      </w:pPr>
    </w:p>
    <w:p w14:paraId="7F5343ED">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6A975A92">
      <w:pPr>
        <w:spacing w:line="580" w:lineRule="exact"/>
        <w:rPr>
          <w:rFonts w:hint="eastAsia" w:ascii="黑体" w:hAnsi="宋体" w:eastAsia="黑体"/>
          <w:bCs/>
          <w:color w:val="auto"/>
          <w:sz w:val="24"/>
          <w:szCs w:val="24"/>
          <w:highlight w:val="none"/>
          <w:lang w:val="zh-CN"/>
        </w:rPr>
      </w:pPr>
    </w:p>
    <w:p w14:paraId="456233D9">
      <w:pPr>
        <w:spacing w:line="580" w:lineRule="exact"/>
        <w:rPr>
          <w:rFonts w:hint="eastAsia" w:ascii="黑体" w:hAnsi="宋体" w:eastAsia="黑体"/>
          <w:bCs/>
          <w:color w:val="auto"/>
          <w:sz w:val="24"/>
          <w:szCs w:val="24"/>
          <w:highlight w:val="none"/>
        </w:rPr>
      </w:pPr>
    </w:p>
    <w:p w14:paraId="3A6F3D78">
      <w:pPr>
        <w:spacing w:line="580" w:lineRule="exact"/>
        <w:rPr>
          <w:rFonts w:hint="eastAsia" w:ascii="黑体" w:hAnsi="宋体" w:eastAsia="黑体"/>
          <w:bCs/>
          <w:color w:val="auto"/>
          <w:sz w:val="24"/>
          <w:szCs w:val="24"/>
          <w:highlight w:val="none"/>
        </w:rPr>
      </w:pPr>
    </w:p>
    <w:p w14:paraId="632CFFB3">
      <w:pPr>
        <w:spacing w:line="580" w:lineRule="exact"/>
        <w:rPr>
          <w:rFonts w:hint="eastAsia" w:ascii="黑体" w:hAnsi="宋体" w:eastAsia="黑体"/>
          <w:bCs/>
          <w:color w:val="auto"/>
          <w:sz w:val="24"/>
          <w:szCs w:val="24"/>
          <w:highlight w:val="none"/>
        </w:rPr>
      </w:pPr>
    </w:p>
    <w:p w14:paraId="7D1AF90A">
      <w:pPr>
        <w:spacing w:line="580" w:lineRule="exact"/>
        <w:rPr>
          <w:rFonts w:hint="eastAsia" w:ascii="黑体" w:hAnsi="宋体" w:eastAsia="黑体"/>
          <w:bCs/>
          <w:color w:val="auto"/>
          <w:sz w:val="24"/>
          <w:szCs w:val="24"/>
          <w:highlight w:val="none"/>
        </w:rPr>
      </w:pPr>
    </w:p>
    <w:p w14:paraId="6CBC9C7A">
      <w:pPr>
        <w:spacing w:line="580" w:lineRule="exact"/>
        <w:rPr>
          <w:rFonts w:hint="eastAsia" w:ascii="黑体" w:hAnsi="宋体" w:eastAsia="黑体"/>
          <w:bCs/>
          <w:color w:val="auto"/>
          <w:sz w:val="24"/>
          <w:szCs w:val="24"/>
          <w:highlight w:val="none"/>
        </w:rPr>
      </w:pPr>
    </w:p>
    <w:p w14:paraId="5027B126">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E52710F">
      <w:pPr>
        <w:tabs>
          <w:tab w:val="left" w:pos="255"/>
        </w:tabs>
        <w:spacing w:line="360" w:lineRule="auto"/>
        <w:rPr>
          <w:rFonts w:hint="eastAsia" w:ascii="宋体" w:hAnsi="宋体"/>
          <w:bCs/>
          <w:color w:val="auto"/>
          <w:sz w:val="24"/>
          <w:szCs w:val="24"/>
          <w:highlight w:val="none"/>
          <w:lang w:val="zh-CN"/>
        </w:rPr>
      </w:pPr>
    </w:p>
    <w:p w14:paraId="5C50CCB9">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11136B1B">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93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5236849E">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C30524">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8F4025E">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79B1D8B">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DFCB3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74A684E">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F41854B">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D594935">
            <w:pPr>
              <w:jc w:val="center"/>
              <w:rPr>
                <w:bCs/>
                <w:color w:val="auto"/>
                <w:sz w:val="24"/>
                <w:highlight w:val="none"/>
              </w:rPr>
            </w:pPr>
            <w:r>
              <w:rPr>
                <w:rFonts w:hint="eastAsia"/>
                <w:bCs/>
                <w:color w:val="auto"/>
                <w:sz w:val="24"/>
                <w:highlight w:val="none"/>
              </w:rPr>
              <w:t>备注</w:t>
            </w:r>
          </w:p>
        </w:tc>
      </w:tr>
      <w:tr w14:paraId="2717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FE01B6B">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F860F4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0E30D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12793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B4F284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877781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68E4D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FE763C0">
            <w:pPr>
              <w:jc w:val="center"/>
              <w:rPr>
                <w:rFonts w:hint="eastAsia" w:ascii="宋体" w:hAnsi="宋体"/>
                <w:color w:val="auto"/>
                <w:sz w:val="24"/>
                <w:highlight w:val="none"/>
              </w:rPr>
            </w:pPr>
          </w:p>
        </w:tc>
      </w:tr>
      <w:tr w14:paraId="342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2337104">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B806FD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465C1C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CA15160">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A50CF9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7E1063">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3ABF3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067B9DF">
            <w:pPr>
              <w:jc w:val="center"/>
              <w:rPr>
                <w:rFonts w:hint="eastAsia" w:ascii="宋体" w:hAnsi="宋体"/>
                <w:color w:val="auto"/>
                <w:sz w:val="24"/>
                <w:highlight w:val="none"/>
              </w:rPr>
            </w:pPr>
          </w:p>
        </w:tc>
      </w:tr>
      <w:tr w14:paraId="295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1F2614D">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437E42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E9B47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7028534">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EC2BE2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6802F6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E9B360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FEB88D8">
            <w:pPr>
              <w:jc w:val="center"/>
              <w:rPr>
                <w:rFonts w:hint="eastAsia" w:ascii="宋体" w:hAnsi="宋体"/>
                <w:color w:val="auto"/>
                <w:sz w:val="24"/>
                <w:highlight w:val="none"/>
              </w:rPr>
            </w:pPr>
          </w:p>
        </w:tc>
      </w:tr>
      <w:tr w14:paraId="7AC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3C045C8B">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4CE8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CAF11D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23843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B6034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F973C2">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632B2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7F0A4D8">
            <w:pPr>
              <w:jc w:val="center"/>
              <w:rPr>
                <w:rFonts w:hint="eastAsia" w:ascii="宋体" w:hAnsi="宋体"/>
                <w:color w:val="auto"/>
                <w:sz w:val="24"/>
                <w:highlight w:val="none"/>
              </w:rPr>
            </w:pPr>
          </w:p>
        </w:tc>
      </w:tr>
      <w:tr w14:paraId="3258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A2D1760">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E6D5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C0CAEA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C0F9DF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4B1FC0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4D514C1">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0046B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CCDEB64">
            <w:pPr>
              <w:jc w:val="center"/>
              <w:rPr>
                <w:rFonts w:hint="eastAsia" w:ascii="宋体" w:hAnsi="宋体"/>
                <w:color w:val="auto"/>
                <w:sz w:val="24"/>
                <w:highlight w:val="none"/>
              </w:rPr>
            </w:pPr>
          </w:p>
        </w:tc>
      </w:tr>
      <w:tr w14:paraId="6F78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B06188">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68A091">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12C7A3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DD26B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E3A807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FD106F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FEED1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95BC834">
            <w:pPr>
              <w:jc w:val="center"/>
              <w:rPr>
                <w:rFonts w:hint="eastAsia" w:ascii="宋体" w:hAnsi="宋体"/>
                <w:color w:val="auto"/>
                <w:sz w:val="24"/>
                <w:highlight w:val="none"/>
              </w:rPr>
            </w:pPr>
          </w:p>
        </w:tc>
      </w:tr>
      <w:tr w14:paraId="41D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4AB86F">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CCB8034">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6295A3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0048AD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64F6D5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F7A77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81AB18">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E5F774E">
            <w:pPr>
              <w:jc w:val="center"/>
              <w:rPr>
                <w:rFonts w:hint="eastAsia" w:ascii="宋体" w:hAnsi="宋体"/>
                <w:color w:val="auto"/>
                <w:sz w:val="24"/>
                <w:highlight w:val="none"/>
              </w:rPr>
            </w:pPr>
          </w:p>
        </w:tc>
      </w:tr>
      <w:tr w14:paraId="3F66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8906CB7">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6903BAA">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FF039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4BF2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70EABD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9FC101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61A68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89A67BB">
            <w:pPr>
              <w:jc w:val="center"/>
              <w:rPr>
                <w:rFonts w:hint="eastAsia" w:ascii="宋体" w:hAnsi="宋体"/>
                <w:color w:val="auto"/>
                <w:sz w:val="24"/>
                <w:highlight w:val="none"/>
              </w:rPr>
            </w:pPr>
          </w:p>
        </w:tc>
      </w:tr>
      <w:tr w14:paraId="3C9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0172ABF">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51A7AF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21E0AB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DD12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A6B85D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4A5E19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C113C0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FE8B10F">
            <w:pPr>
              <w:jc w:val="center"/>
              <w:rPr>
                <w:rFonts w:hint="eastAsia" w:ascii="宋体" w:hAnsi="宋体"/>
                <w:color w:val="auto"/>
                <w:sz w:val="24"/>
                <w:highlight w:val="none"/>
              </w:rPr>
            </w:pPr>
          </w:p>
        </w:tc>
      </w:tr>
      <w:tr w14:paraId="657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17733D0">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874B91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51FE08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BE96A2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62C137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9480D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C68E6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D490B4D">
            <w:pPr>
              <w:jc w:val="center"/>
              <w:rPr>
                <w:rFonts w:hint="eastAsia" w:ascii="宋体" w:hAnsi="宋体"/>
                <w:color w:val="auto"/>
                <w:sz w:val="24"/>
                <w:highlight w:val="none"/>
              </w:rPr>
            </w:pPr>
          </w:p>
        </w:tc>
      </w:tr>
      <w:tr w14:paraId="11D4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CC61E37">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76B9365">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0662A40">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3B698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9D25D46">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C27413C">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203C12">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2707BE3">
            <w:pPr>
              <w:jc w:val="center"/>
              <w:rPr>
                <w:rFonts w:hint="eastAsia"/>
                <w:color w:val="auto"/>
                <w:sz w:val="24"/>
                <w:highlight w:val="none"/>
              </w:rPr>
            </w:pPr>
          </w:p>
        </w:tc>
      </w:tr>
    </w:tbl>
    <w:p w14:paraId="3AFC0981">
      <w:pPr>
        <w:tabs>
          <w:tab w:val="left" w:pos="255"/>
        </w:tabs>
        <w:spacing w:line="360" w:lineRule="auto"/>
        <w:ind w:left="840" w:leftChars="400"/>
        <w:rPr>
          <w:rFonts w:hint="eastAsia" w:ascii="宋体" w:hAnsi="宋体"/>
          <w:bCs/>
          <w:color w:val="auto"/>
          <w:sz w:val="24"/>
          <w:szCs w:val="24"/>
          <w:highlight w:val="none"/>
          <w:lang w:val="zh-CN"/>
        </w:rPr>
      </w:pPr>
    </w:p>
    <w:p w14:paraId="30C009D6">
      <w:pPr>
        <w:rPr>
          <w:rFonts w:hint="eastAsia"/>
          <w:color w:val="auto"/>
          <w:highlight w:val="none"/>
        </w:rPr>
      </w:pPr>
      <w:r>
        <w:rPr>
          <w:rFonts w:hint="eastAsia" w:ascii="宋体" w:hAnsi="宋体"/>
          <w:color w:val="auto"/>
          <w:highlight w:val="none"/>
        </w:rPr>
        <w:t>注：1.表格不够可自行延长。</w:t>
      </w:r>
    </w:p>
    <w:p w14:paraId="1DD8B8A5">
      <w:pPr>
        <w:ind w:firstLine="367" w:firstLineChars="175"/>
        <w:rPr>
          <w:rFonts w:hint="eastAsia"/>
          <w:highlight w:val="none"/>
        </w:rPr>
      </w:pPr>
      <w:r>
        <w:rPr>
          <w:rFonts w:hint="eastAsia" w:ascii="宋体" w:hAnsi="宋体"/>
          <w:color w:val="auto"/>
          <w:highlight w:val="none"/>
        </w:rPr>
        <w:t>2.</w:t>
      </w:r>
      <w:r>
        <w:rPr>
          <w:rFonts w:hint="eastAsia" w:ascii="宋体" w:hAnsi="宋体"/>
          <w:highlight w:val="none"/>
        </w:rPr>
        <w:t>上表内容须按招标文件要求提供经社保部门确认的社保缴纳名单复印件（标注各人员所处位置）和相关证书复印件作为填列证明材料，证明材料请附在本表之后。</w:t>
      </w:r>
    </w:p>
    <w:p w14:paraId="095D230B">
      <w:pPr>
        <w:ind w:firstLine="420" w:firstLineChars="200"/>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68B30ABB">
      <w:pPr>
        <w:tabs>
          <w:tab w:val="left" w:pos="255"/>
        </w:tabs>
        <w:spacing w:line="360" w:lineRule="auto"/>
        <w:ind w:left="840" w:leftChars="400"/>
        <w:rPr>
          <w:rFonts w:hint="eastAsia" w:ascii="宋体" w:hAnsi="宋体"/>
          <w:bCs/>
          <w:color w:val="auto"/>
          <w:sz w:val="24"/>
          <w:szCs w:val="24"/>
          <w:highlight w:val="none"/>
          <w:lang w:val="zh-CN"/>
        </w:rPr>
      </w:pPr>
    </w:p>
    <w:p w14:paraId="136B16DB">
      <w:pPr>
        <w:tabs>
          <w:tab w:val="left" w:pos="255"/>
        </w:tabs>
        <w:spacing w:line="360" w:lineRule="auto"/>
        <w:ind w:left="840" w:leftChars="400"/>
        <w:rPr>
          <w:rFonts w:hint="eastAsia" w:ascii="宋体" w:hAnsi="宋体"/>
          <w:bCs/>
          <w:color w:val="auto"/>
          <w:sz w:val="24"/>
          <w:szCs w:val="24"/>
          <w:highlight w:val="none"/>
          <w:lang w:val="zh-CN"/>
        </w:rPr>
      </w:pPr>
    </w:p>
    <w:p w14:paraId="6341261A">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1B823622">
      <w:pPr>
        <w:tabs>
          <w:tab w:val="left" w:pos="255"/>
        </w:tabs>
        <w:spacing w:line="360" w:lineRule="auto"/>
        <w:jc w:val="left"/>
        <w:rPr>
          <w:rFonts w:hint="eastAsia" w:ascii="黑体" w:hAnsi="宋体" w:eastAsia="黑体"/>
          <w:bCs/>
          <w:color w:val="auto"/>
          <w:sz w:val="24"/>
          <w:szCs w:val="24"/>
          <w:highlight w:val="none"/>
        </w:rPr>
      </w:pPr>
    </w:p>
    <w:p w14:paraId="2642DE88">
      <w:pPr>
        <w:tabs>
          <w:tab w:val="left" w:pos="255"/>
        </w:tabs>
        <w:spacing w:line="360" w:lineRule="auto"/>
        <w:jc w:val="left"/>
        <w:rPr>
          <w:rFonts w:hint="eastAsia" w:ascii="黑体" w:hAnsi="宋体" w:eastAsia="黑体"/>
          <w:bCs/>
          <w:color w:val="auto"/>
          <w:sz w:val="24"/>
          <w:szCs w:val="24"/>
          <w:highlight w:val="none"/>
        </w:rPr>
      </w:pPr>
    </w:p>
    <w:p w14:paraId="5CD9E344">
      <w:pPr>
        <w:tabs>
          <w:tab w:val="left" w:pos="255"/>
        </w:tabs>
        <w:spacing w:line="360" w:lineRule="auto"/>
        <w:jc w:val="left"/>
        <w:rPr>
          <w:rFonts w:hint="eastAsia" w:ascii="黑体" w:hAnsi="宋体" w:eastAsia="黑体"/>
          <w:bCs/>
          <w:color w:val="auto"/>
          <w:sz w:val="24"/>
          <w:szCs w:val="24"/>
          <w:highlight w:val="none"/>
        </w:rPr>
      </w:pPr>
    </w:p>
    <w:p w14:paraId="658FA224">
      <w:pPr>
        <w:tabs>
          <w:tab w:val="left" w:pos="255"/>
        </w:tabs>
        <w:spacing w:line="360" w:lineRule="auto"/>
        <w:jc w:val="left"/>
        <w:rPr>
          <w:rFonts w:hint="eastAsia" w:ascii="黑体" w:hAnsi="宋体" w:eastAsia="黑体"/>
          <w:bCs/>
          <w:color w:val="auto"/>
          <w:sz w:val="24"/>
          <w:szCs w:val="24"/>
          <w:highlight w:val="none"/>
        </w:rPr>
      </w:pPr>
    </w:p>
    <w:p w14:paraId="7DCDE63A">
      <w:pPr>
        <w:rPr>
          <w:rFonts w:hint="eastAsia" w:ascii="黑体" w:hAnsi="宋体" w:eastAsia="黑体"/>
          <w:bCs/>
          <w:color w:val="auto"/>
          <w:sz w:val="24"/>
          <w:szCs w:val="24"/>
          <w:highlight w:val="none"/>
          <w:lang w:val="zh-CN"/>
        </w:rPr>
      </w:pPr>
    </w:p>
    <w:p w14:paraId="4695FD48">
      <w:pPr>
        <w:rPr>
          <w:rFonts w:hint="eastAsia" w:ascii="黑体" w:hAnsi="宋体" w:eastAsia="黑体"/>
          <w:bCs/>
          <w:color w:val="auto"/>
          <w:sz w:val="24"/>
          <w:szCs w:val="24"/>
          <w:highlight w:val="none"/>
          <w:lang w:val="zh-CN"/>
        </w:rPr>
      </w:pPr>
    </w:p>
    <w:p w14:paraId="55718AA1">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46E12175">
      <w:pPr>
        <w:rPr>
          <w:rFonts w:hint="eastAsia" w:ascii="黑体" w:hAnsi="宋体" w:eastAsia="黑体"/>
          <w:bCs/>
          <w:color w:val="auto"/>
          <w:sz w:val="24"/>
          <w:szCs w:val="24"/>
          <w:highlight w:val="none"/>
          <w:lang w:val="zh-CN"/>
        </w:rPr>
      </w:pPr>
    </w:p>
    <w:p w14:paraId="30FE0D1F">
      <w:pPr>
        <w:rPr>
          <w:rFonts w:hint="eastAsia" w:ascii="黑体" w:hAnsi="宋体" w:eastAsia="黑体"/>
          <w:bCs/>
          <w:color w:val="auto"/>
          <w:sz w:val="24"/>
          <w:szCs w:val="24"/>
          <w:highlight w:val="none"/>
          <w:lang w:val="zh-CN"/>
        </w:rPr>
      </w:pPr>
    </w:p>
    <w:p w14:paraId="4D078897">
      <w:pPr>
        <w:rPr>
          <w:rFonts w:hint="eastAsia" w:ascii="黑体" w:hAnsi="宋体" w:eastAsia="黑体"/>
          <w:bCs/>
          <w:color w:val="auto"/>
          <w:sz w:val="24"/>
          <w:szCs w:val="24"/>
          <w:highlight w:val="none"/>
          <w:lang w:val="zh-CN"/>
        </w:rPr>
      </w:pPr>
    </w:p>
    <w:p w14:paraId="4D08D8B0">
      <w:pPr>
        <w:tabs>
          <w:tab w:val="left" w:pos="255"/>
        </w:tabs>
        <w:spacing w:line="360" w:lineRule="auto"/>
        <w:jc w:val="left"/>
        <w:rPr>
          <w:rFonts w:hint="eastAsia" w:ascii="黑体" w:hAnsi="宋体" w:eastAsia="黑体"/>
          <w:bCs/>
          <w:sz w:val="24"/>
          <w:szCs w:val="24"/>
          <w:highlight w:val="none"/>
          <w:lang w:val="zh-CN"/>
        </w:rPr>
      </w:pPr>
    </w:p>
    <w:p w14:paraId="2DAF2F2E">
      <w:pPr>
        <w:tabs>
          <w:tab w:val="left" w:pos="255"/>
        </w:tabs>
        <w:spacing w:line="360" w:lineRule="auto"/>
        <w:jc w:val="left"/>
        <w:rPr>
          <w:rFonts w:hint="eastAsia" w:ascii="黑体" w:hAnsi="宋体" w:eastAsia="黑体"/>
          <w:bCs/>
          <w:sz w:val="24"/>
          <w:szCs w:val="24"/>
          <w:highlight w:val="none"/>
          <w:lang w:val="zh-CN"/>
        </w:rPr>
      </w:pPr>
    </w:p>
    <w:p w14:paraId="0EDB4745">
      <w:pPr>
        <w:tabs>
          <w:tab w:val="left" w:pos="255"/>
        </w:tabs>
        <w:spacing w:line="360" w:lineRule="auto"/>
        <w:jc w:val="left"/>
        <w:rPr>
          <w:rFonts w:hint="eastAsia" w:ascii="黑体" w:hAnsi="宋体" w:eastAsia="黑体"/>
          <w:bCs/>
          <w:sz w:val="24"/>
          <w:szCs w:val="24"/>
          <w:highlight w:val="none"/>
          <w:lang w:val="zh-CN"/>
        </w:rPr>
      </w:pPr>
    </w:p>
    <w:p w14:paraId="67A9D51A">
      <w:pPr>
        <w:tabs>
          <w:tab w:val="left" w:pos="255"/>
        </w:tabs>
        <w:spacing w:line="360" w:lineRule="auto"/>
        <w:jc w:val="left"/>
        <w:rPr>
          <w:rFonts w:hint="eastAsia" w:ascii="黑体" w:hAnsi="宋体" w:eastAsia="黑体"/>
          <w:bCs/>
          <w:sz w:val="24"/>
          <w:szCs w:val="24"/>
          <w:highlight w:val="none"/>
          <w:lang w:val="zh-CN"/>
        </w:rPr>
      </w:pPr>
    </w:p>
    <w:p w14:paraId="479CD091">
      <w:pPr>
        <w:tabs>
          <w:tab w:val="left" w:pos="255"/>
        </w:tabs>
        <w:spacing w:line="360" w:lineRule="auto"/>
        <w:jc w:val="left"/>
        <w:rPr>
          <w:rFonts w:hint="eastAsia" w:ascii="黑体" w:hAnsi="宋体" w:eastAsia="黑体"/>
          <w:bCs/>
          <w:sz w:val="24"/>
          <w:szCs w:val="24"/>
          <w:highlight w:val="none"/>
          <w:lang w:val="zh-CN"/>
        </w:rPr>
      </w:pPr>
    </w:p>
    <w:p w14:paraId="0E58FC1E">
      <w:pPr>
        <w:tabs>
          <w:tab w:val="left" w:pos="255"/>
        </w:tabs>
        <w:spacing w:line="360" w:lineRule="auto"/>
        <w:jc w:val="left"/>
        <w:rPr>
          <w:rFonts w:hint="eastAsia" w:ascii="黑体" w:hAnsi="宋体" w:eastAsia="黑体"/>
          <w:bCs/>
          <w:sz w:val="24"/>
          <w:szCs w:val="24"/>
          <w:highlight w:val="none"/>
          <w:lang w:val="zh-CN"/>
        </w:rPr>
      </w:pPr>
    </w:p>
    <w:p w14:paraId="0FB2353C">
      <w:pPr>
        <w:tabs>
          <w:tab w:val="left" w:pos="255"/>
        </w:tabs>
        <w:spacing w:line="360" w:lineRule="auto"/>
        <w:jc w:val="left"/>
        <w:rPr>
          <w:rFonts w:hint="eastAsia" w:ascii="黑体" w:hAnsi="宋体" w:eastAsia="黑体"/>
          <w:bCs/>
          <w:sz w:val="24"/>
          <w:szCs w:val="24"/>
          <w:highlight w:val="none"/>
          <w:lang w:val="zh-CN"/>
        </w:rPr>
      </w:pPr>
    </w:p>
    <w:p w14:paraId="78D5B8AC">
      <w:pPr>
        <w:tabs>
          <w:tab w:val="left" w:pos="255"/>
        </w:tabs>
        <w:spacing w:line="360" w:lineRule="auto"/>
        <w:jc w:val="left"/>
        <w:rPr>
          <w:rFonts w:hint="eastAsia" w:ascii="黑体" w:hAnsi="宋体" w:eastAsia="黑体"/>
          <w:bCs/>
          <w:sz w:val="24"/>
          <w:szCs w:val="24"/>
          <w:highlight w:val="none"/>
          <w:lang w:val="zh-CN"/>
        </w:rPr>
      </w:pPr>
    </w:p>
    <w:p w14:paraId="483A56C3">
      <w:pPr>
        <w:tabs>
          <w:tab w:val="left" w:pos="255"/>
        </w:tabs>
        <w:spacing w:line="360" w:lineRule="auto"/>
        <w:jc w:val="left"/>
        <w:rPr>
          <w:rFonts w:hint="eastAsia" w:ascii="黑体" w:hAnsi="宋体" w:eastAsia="黑体"/>
          <w:bCs/>
          <w:sz w:val="24"/>
          <w:szCs w:val="24"/>
          <w:highlight w:val="none"/>
          <w:lang w:val="zh-CN"/>
        </w:rPr>
      </w:pPr>
    </w:p>
    <w:p w14:paraId="2FA6194F">
      <w:pPr>
        <w:tabs>
          <w:tab w:val="left" w:pos="255"/>
        </w:tabs>
        <w:spacing w:line="360" w:lineRule="auto"/>
        <w:jc w:val="left"/>
        <w:rPr>
          <w:rFonts w:hint="eastAsia" w:ascii="黑体" w:hAnsi="宋体" w:eastAsia="黑体"/>
          <w:bCs/>
          <w:sz w:val="24"/>
          <w:szCs w:val="24"/>
          <w:highlight w:val="none"/>
          <w:lang w:val="zh-CN"/>
        </w:rPr>
      </w:pPr>
    </w:p>
    <w:p w14:paraId="4AAC9386">
      <w:pPr>
        <w:tabs>
          <w:tab w:val="left" w:pos="255"/>
        </w:tabs>
        <w:spacing w:line="360" w:lineRule="auto"/>
        <w:jc w:val="left"/>
        <w:rPr>
          <w:rFonts w:hint="eastAsia" w:ascii="黑体" w:hAnsi="宋体" w:eastAsia="黑体"/>
          <w:bCs/>
          <w:sz w:val="24"/>
          <w:szCs w:val="24"/>
          <w:highlight w:val="none"/>
          <w:lang w:val="zh-CN"/>
        </w:rPr>
      </w:pPr>
    </w:p>
    <w:p w14:paraId="0BB121DC">
      <w:pPr>
        <w:tabs>
          <w:tab w:val="left" w:pos="255"/>
        </w:tabs>
        <w:spacing w:line="360" w:lineRule="auto"/>
        <w:jc w:val="left"/>
        <w:rPr>
          <w:rFonts w:hint="eastAsia" w:ascii="黑体" w:hAnsi="宋体" w:eastAsia="黑体"/>
          <w:bCs/>
          <w:sz w:val="24"/>
          <w:szCs w:val="24"/>
          <w:highlight w:val="none"/>
          <w:lang w:val="zh-CN"/>
        </w:rPr>
      </w:pPr>
    </w:p>
    <w:p w14:paraId="5E93B46B">
      <w:pPr>
        <w:tabs>
          <w:tab w:val="left" w:pos="255"/>
        </w:tabs>
        <w:spacing w:line="360" w:lineRule="auto"/>
        <w:jc w:val="left"/>
        <w:rPr>
          <w:rFonts w:hint="eastAsia" w:ascii="黑体" w:hAnsi="宋体" w:eastAsia="黑体"/>
          <w:bCs/>
          <w:sz w:val="24"/>
          <w:szCs w:val="24"/>
          <w:highlight w:val="none"/>
          <w:lang w:val="zh-CN"/>
        </w:rPr>
      </w:pPr>
    </w:p>
    <w:p w14:paraId="67C53F58">
      <w:pPr>
        <w:tabs>
          <w:tab w:val="left" w:pos="255"/>
        </w:tabs>
        <w:spacing w:line="360" w:lineRule="auto"/>
        <w:jc w:val="left"/>
        <w:rPr>
          <w:rFonts w:hint="eastAsia" w:ascii="黑体" w:hAnsi="宋体" w:eastAsia="黑体"/>
          <w:bCs/>
          <w:sz w:val="24"/>
          <w:szCs w:val="24"/>
          <w:highlight w:val="none"/>
          <w:lang w:val="zh-CN"/>
        </w:rPr>
      </w:pPr>
    </w:p>
    <w:p w14:paraId="20B02B87">
      <w:pPr>
        <w:tabs>
          <w:tab w:val="left" w:pos="255"/>
        </w:tabs>
        <w:spacing w:line="360" w:lineRule="auto"/>
        <w:jc w:val="left"/>
        <w:rPr>
          <w:rFonts w:hint="eastAsia" w:ascii="黑体" w:hAnsi="宋体" w:eastAsia="黑体"/>
          <w:bCs/>
          <w:sz w:val="24"/>
          <w:szCs w:val="24"/>
          <w:highlight w:val="none"/>
          <w:lang w:val="zh-CN"/>
        </w:rPr>
      </w:pPr>
    </w:p>
    <w:p w14:paraId="36AE8924">
      <w:pPr>
        <w:tabs>
          <w:tab w:val="left" w:pos="255"/>
        </w:tabs>
        <w:spacing w:line="360" w:lineRule="auto"/>
        <w:jc w:val="left"/>
        <w:rPr>
          <w:rFonts w:hint="eastAsia" w:ascii="黑体" w:hAnsi="宋体" w:eastAsia="黑体"/>
          <w:bCs/>
          <w:sz w:val="24"/>
          <w:szCs w:val="24"/>
          <w:highlight w:val="none"/>
          <w:lang w:val="zh-CN"/>
        </w:rPr>
      </w:pPr>
    </w:p>
    <w:p w14:paraId="151EA234">
      <w:pPr>
        <w:tabs>
          <w:tab w:val="left" w:pos="255"/>
        </w:tabs>
        <w:spacing w:line="360" w:lineRule="auto"/>
        <w:jc w:val="left"/>
        <w:rPr>
          <w:rFonts w:hint="eastAsia" w:ascii="黑体" w:hAnsi="宋体" w:eastAsia="黑体"/>
          <w:bCs/>
          <w:sz w:val="24"/>
          <w:szCs w:val="24"/>
          <w:highlight w:val="none"/>
          <w:lang w:val="zh-CN"/>
        </w:rPr>
      </w:pPr>
    </w:p>
    <w:p w14:paraId="029C44F6">
      <w:pPr>
        <w:tabs>
          <w:tab w:val="left" w:pos="255"/>
        </w:tabs>
        <w:spacing w:line="360" w:lineRule="auto"/>
        <w:jc w:val="left"/>
        <w:rPr>
          <w:rFonts w:hint="eastAsia" w:ascii="黑体" w:hAnsi="宋体" w:eastAsia="黑体"/>
          <w:bCs/>
          <w:sz w:val="24"/>
          <w:szCs w:val="24"/>
          <w:highlight w:val="none"/>
          <w:lang w:val="zh-CN"/>
        </w:rPr>
      </w:pPr>
    </w:p>
    <w:p w14:paraId="1BD5F805">
      <w:pPr>
        <w:tabs>
          <w:tab w:val="left" w:pos="255"/>
        </w:tabs>
        <w:spacing w:line="360" w:lineRule="auto"/>
        <w:jc w:val="left"/>
        <w:rPr>
          <w:rFonts w:hint="eastAsia" w:ascii="黑体" w:hAnsi="宋体" w:eastAsia="黑体"/>
          <w:bCs/>
          <w:sz w:val="24"/>
          <w:szCs w:val="24"/>
          <w:highlight w:val="none"/>
          <w:lang w:val="zh-CN"/>
        </w:rPr>
      </w:pPr>
    </w:p>
    <w:p w14:paraId="022B8564">
      <w:pPr>
        <w:tabs>
          <w:tab w:val="left" w:pos="255"/>
        </w:tabs>
        <w:spacing w:line="360" w:lineRule="auto"/>
        <w:jc w:val="left"/>
        <w:rPr>
          <w:rFonts w:hint="eastAsia" w:ascii="黑体" w:hAnsi="宋体" w:eastAsia="黑体"/>
          <w:bCs/>
          <w:sz w:val="24"/>
          <w:szCs w:val="24"/>
          <w:highlight w:val="none"/>
          <w:lang w:val="zh-CN"/>
        </w:rPr>
      </w:pPr>
    </w:p>
    <w:p w14:paraId="4AE414E4">
      <w:pPr>
        <w:tabs>
          <w:tab w:val="left" w:pos="255"/>
        </w:tabs>
        <w:spacing w:line="360" w:lineRule="auto"/>
        <w:jc w:val="left"/>
        <w:rPr>
          <w:rFonts w:hint="eastAsia" w:ascii="黑体" w:hAnsi="宋体" w:eastAsia="黑体"/>
          <w:bCs/>
          <w:sz w:val="24"/>
          <w:szCs w:val="24"/>
          <w:highlight w:val="none"/>
          <w:lang w:val="zh-CN"/>
        </w:rPr>
      </w:pPr>
    </w:p>
    <w:p w14:paraId="2135F11A">
      <w:pPr>
        <w:tabs>
          <w:tab w:val="left" w:pos="255"/>
        </w:tabs>
        <w:spacing w:line="360" w:lineRule="auto"/>
        <w:jc w:val="left"/>
        <w:rPr>
          <w:rFonts w:hint="eastAsia" w:ascii="黑体" w:hAnsi="宋体" w:eastAsia="黑体"/>
          <w:bCs/>
          <w:sz w:val="24"/>
          <w:szCs w:val="24"/>
          <w:highlight w:val="none"/>
          <w:lang w:val="zh-CN"/>
        </w:rPr>
      </w:pPr>
    </w:p>
    <w:p w14:paraId="1E3B9E0A">
      <w:pPr>
        <w:tabs>
          <w:tab w:val="left" w:pos="255"/>
        </w:tabs>
        <w:spacing w:line="360" w:lineRule="auto"/>
        <w:jc w:val="left"/>
        <w:rPr>
          <w:rFonts w:hint="eastAsia" w:ascii="黑体" w:hAnsi="宋体" w:eastAsia="黑体"/>
          <w:bCs/>
          <w:sz w:val="24"/>
          <w:szCs w:val="24"/>
          <w:highlight w:val="none"/>
          <w:lang w:val="zh-CN"/>
        </w:rPr>
      </w:pPr>
    </w:p>
    <w:p w14:paraId="458919CC">
      <w:pPr>
        <w:tabs>
          <w:tab w:val="left" w:pos="255"/>
        </w:tabs>
        <w:spacing w:line="360" w:lineRule="auto"/>
        <w:jc w:val="left"/>
        <w:rPr>
          <w:rFonts w:hint="eastAsia" w:ascii="黑体" w:hAnsi="宋体" w:eastAsia="黑体"/>
          <w:bCs/>
          <w:sz w:val="24"/>
          <w:szCs w:val="24"/>
          <w:highlight w:val="none"/>
          <w:lang w:val="zh-CN"/>
        </w:rPr>
      </w:pPr>
    </w:p>
    <w:p w14:paraId="71E87B84">
      <w:pPr>
        <w:tabs>
          <w:tab w:val="left" w:pos="255"/>
        </w:tabs>
        <w:spacing w:line="360" w:lineRule="auto"/>
        <w:jc w:val="left"/>
        <w:rPr>
          <w:rFonts w:hint="eastAsia" w:ascii="黑体" w:hAnsi="宋体" w:eastAsia="黑体"/>
          <w:bCs/>
          <w:sz w:val="24"/>
          <w:szCs w:val="24"/>
          <w:highlight w:val="none"/>
          <w:lang w:val="zh-CN"/>
        </w:rPr>
      </w:pPr>
    </w:p>
    <w:p w14:paraId="72BC6AB5">
      <w:pPr>
        <w:tabs>
          <w:tab w:val="left" w:pos="255"/>
        </w:tabs>
        <w:spacing w:line="360" w:lineRule="auto"/>
        <w:jc w:val="left"/>
        <w:rPr>
          <w:rFonts w:hint="eastAsia" w:ascii="宋体" w:hAnsi="宋体"/>
          <w:sz w:val="24"/>
          <w:szCs w:val="21"/>
          <w:highlight w:val="none"/>
          <w:lang w:val="zh-CN"/>
        </w:rPr>
      </w:pPr>
      <w:r>
        <w:rPr>
          <w:rFonts w:hint="eastAsia" w:ascii="黑体" w:hAnsi="宋体" w:eastAsia="黑体"/>
          <w:bCs/>
          <w:sz w:val="24"/>
          <w:szCs w:val="24"/>
          <w:highlight w:val="none"/>
          <w:lang w:val="zh-CN"/>
        </w:rPr>
        <w:t>（</w:t>
      </w:r>
      <w:r>
        <w:rPr>
          <w:rFonts w:hint="eastAsia" w:ascii="黑体" w:hAnsi="宋体" w:eastAsia="黑体"/>
          <w:bCs/>
          <w:sz w:val="24"/>
          <w:szCs w:val="24"/>
          <w:highlight w:val="none"/>
          <w:lang w:val="en-US" w:eastAsia="zh-CN"/>
        </w:rPr>
        <w:t>七</w:t>
      </w:r>
      <w:r>
        <w:rPr>
          <w:rFonts w:hint="eastAsia" w:ascii="黑体" w:hAnsi="宋体" w:eastAsia="黑体"/>
          <w:bCs/>
          <w:sz w:val="24"/>
          <w:szCs w:val="24"/>
          <w:highlight w:val="none"/>
          <w:lang w:val="zh-CN"/>
        </w:rPr>
        <w:t>）技术条款及相关要求偏离表</w:t>
      </w:r>
      <w:r>
        <w:rPr>
          <w:rFonts w:hint="eastAsia" w:ascii="黑体" w:hAnsi="宋体" w:eastAsia="黑体"/>
          <w:bCs/>
          <w:sz w:val="24"/>
          <w:szCs w:val="24"/>
          <w:highlight w:val="none"/>
        </w:rPr>
        <w:t>（格式）：</w:t>
      </w:r>
    </w:p>
    <w:p w14:paraId="4F7FAC55">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技术条款及相关要求偏离表</w:t>
      </w:r>
    </w:p>
    <w:p w14:paraId="18F7842C">
      <w:pPr>
        <w:tabs>
          <w:tab w:val="left" w:pos="255"/>
        </w:tabs>
        <w:spacing w:before="156" w:beforeLines="50" w:after="156" w:afterLines="50"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DF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B69EBF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序号</w:t>
            </w:r>
          </w:p>
        </w:tc>
        <w:tc>
          <w:tcPr>
            <w:tcW w:w="1973" w:type="dxa"/>
            <w:noWrap w:val="0"/>
            <w:vAlign w:val="center"/>
          </w:tcPr>
          <w:p w14:paraId="47EE98A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项目名称</w:t>
            </w:r>
          </w:p>
        </w:tc>
        <w:tc>
          <w:tcPr>
            <w:tcW w:w="2315" w:type="dxa"/>
            <w:noWrap w:val="0"/>
            <w:vAlign w:val="center"/>
          </w:tcPr>
          <w:p w14:paraId="48357B98">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招标内容</w:t>
            </w:r>
          </w:p>
        </w:tc>
        <w:tc>
          <w:tcPr>
            <w:tcW w:w="2327" w:type="dxa"/>
            <w:noWrap w:val="0"/>
            <w:vAlign w:val="center"/>
          </w:tcPr>
          <w:p w14:paraId="49E2C194">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投标内容</w:t>
            </w:r>
          </w:p>
        </w:tc>
        <w:tc>
          <w:tcPr>
            <w:tcW w:w="1969" w:type="dxa"/>
            <w:noWrap w:val="0"/>
            <w:vAlign w:val="center"/>
          </w:tcPr>
          <w:p w14:paraId="63B8EDB1">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正偏离/负偏离</w:t>
            </w:r>
          </w:p>
        </w:tc>
      </w:tr>
      <w:tr w14:paraId="2135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C627D1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20A2F4B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3C0FD9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BB9CB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FCBB683">
            <w:pPr>
              <w:tabs>
                <w:tab w:val="left" w:pos="255"/>
              </w:tabs>
              <w:spacing w:line="360" w:lineRule="auto"/>
              <w:ind w:left="420" w:leftChars="200" w:firstLine="480" w:firstLineChars="200"/>
              <w:rPr>
                <w:rFonts w:hint="eastAsia" w:ascii="宋体" w:hAnsi="宋体"/>
                <w:sz w:val="24"/>
                <w:szCs w:val="21"/>
                <w:highlight w:val="none"/>
                <w:lang w:val="zh-CN"/>
              </w:rPr>
            </w:pPr>
          </w:p>
        </w:tc>
      </w:tr>
      <w:tr w14:paraId="3B11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0F0048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1230C1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E557C4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465AD431">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332A32DE">
            <w:pPr>
              <w:tabs>
                <w:tab w:val="left" w:pos="255"/>
              </w:tabs>
              <w:spacing w:line="360" w:lineRule="auto"/>
              <w:ind w:left="420" w:leftChars="200" w:firstLine="480" w:firstLineChars="200"/>
              <w:rPr>
                <w:rFonts w:hint="eastAsia" w:ascii="宋体" w:hAnsi="宋体"/>
                <w:sz w:val="24"/>
                <w:szCs w:val="21"/>
                <w:highlight w:val="none"/>
                <w:lang w:val="zh-CN"/>
              </w:rPr>
            </w:pPr>
          </w:p>
        </w:tc>
      </w:tr>
      <w:tr w14:paraId="7B16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DB4482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2D1ED2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48BE73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0AD8195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78F07B0">
            <w:pPr>
              <w:tabs>
                <w:tab w:val="left" w:pos="255"/>
              </w:tabs>
              <w:spacing w:line="360" w:lineRule="auto"/>
              <w:ind w:left="420" w:leftChars="200" w:firstLine="480" w:firstLineChars="200"/>
              <w:rPr>
                <w:rFonts w:hint="eastAsia" w:ascii="宋体" w:hAnsi="宋体"/>
                <w:sz w:val="24"/>
                <w:szCs w:val="21"/>
                <w:highlight w:val="none"/>
                <w:lang w:val="zh-CN"/>
              </w:rPr>
            </w:pPr>
          </w:p>
        </w:tc>
      </w:tr>
      <w:tr w14:paraId="4E8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98714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762243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2344C7B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67222EB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D10B91F">
            <w:pPr>
              <w:tabs>
                <w:tab w:val="left" w:pos="255"/>
              </w:tabs>
              <w:spacing w:line="360" w:lineRule="auto"/>
              <w:ind w:left="420" w:leftChars="200" w:firstLine="480" w:firstLineChars="200"/>
              <w:rPr>
                <w:rFonts w:hint="eastAsia" w:ascii="宋体" w:hAnsi="宋体"/>
                <w:sz w:val="24"/>
                <w:szCs w:val="21"/>
                <w:highlight w:val="none"/>
                <w:lang w:val="zh-CN"/>
              </w:rPr>
            </w:pPr>
          </w:p>
        </w:tc>
      </w:tr>
      <w:tr w14:paraId="516B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BB319C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5A21EAC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0EDD200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7A069C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E31E561">
            <w:pPr>
              <w:tabs>
                <w:tab w:val="left" w:pos="255"/>
              </w:tabs>
              <w:spacing w:line="360" w:lineRule="auto"/>
              <w:ind w:left="420" w:leftChars="200" w:firstLine="480" w:firstLineChars="200"/>
              <w:rPr>
                <w:rFonts w:hint="eastAsia" w:ascii="宋体" w:hAnsi="宋体"/>
                <w:sz w:val="24"/>
                <w:szCs w:val="21"/>
                <w:highlight w:val="none"/>
                <w:lang w:val="zh-CN"/>
              </w:rPr>
            </w:pPr>
          </w:p>
        </w:tc>
      </w:tr>
      <w:tr w14:paraId="18E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CD0A3B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BA151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517E645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1540B5A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6526B99">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56D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C588D4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CE76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C81C4A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75CE6E">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991B50D">
            <w:pPr>
              <w:tabs>
                <w:tab w:val="left" w:pos="255"/>
              </w:tabs>
              <w:spacing w:line="360" w:lineRule="auto"/>
              <w:ind w:left="420" w:leftChars="200" w:firstLine="480" w:firstLineChars="200"/>
              <w:rPr>
                <w:rFonts w:hint="eastAsia" w:ascii="宋体" w:hAnsi="宋体"/>
                <w:sz w:val="24"/>
                <w:szCs w:val="21"/>
                <w:highlight w:val="none"/>
                <w:lang w:val="zh-CN"/>
              </w:rPr>
            </w:pPr>
          </w:p>
        </w:tc>
      </w:tr>
    </w:tbl>
    <w:p w14:paraId="0410E2B4">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注：投标人应对照招标文件“第</w:t>
      </w:r>
      <w:r>
        <w:rPr>
          <w:rFonts w:hint="eastAsia" w:ascii="宋体" w:hAnsi="宋体"/>
          <w:bCs/>
          <w:sz w:val="24"/>
          <w:szCs w:val="24"/>
          <w:highlight w:val="none"/>
        </w:rPr>
        <w:t>三</w:t>
      </w:r>
      <w:r>
        <w:rPr>
          <w:rFonts w:hint="eastAsia" w:ascii="宋体" w:hAnsi="宋体"/>
          <w:bCs/>
          <w:sz w:val="24"/>
          <w:szCs w:val="24"/>
          <w:highlight w:val="none"/>
          <w:lang w:val="zh-CN"/>
        </w:rPr>
        <w:t>章</w:t>
      </w:r>
      <w:r>
        <w:rPr>
          <w:rFonts w:hint="eastAsia" w:ascii="宋体" w:hAnsi="宋体"/>
          <w:bCs/>
          <w:sz w:val="24"/>
          <w:szCs w:val="24"/>
          <w:highlight w:val="none"/>
        </w:rPr>
        <w:t xml:space="preserve"> </w:t>
      </w:r>
      <w:r>
        <w:rPr>
          <w:rFonts w:hint="eastAsia" w:ascii="宋体" w:hAnsi="宋体"/>
          <w:bCs/>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5C1976D9">
      <w:pPr>
        <w:tabs>
          <w:tab w:val="left" w:pos="255"/>
        </w:tabs>
        <w:spacing w:line="360" w:lineRule="auto"/>
        <w:ind w:left="420" w:leftChars="200" w:firstLine="480" w:firstLineChars="200"/>
        <w:rPr>
          <w:rFonts w:hint="eastAsia" w:ascii="宋体" w:hAnsi="宋体"/>
          <w:sz w:val="24"/>
          <w:szCs w:val="21"/>
          <w:highlight w:val="none"/>
          <w:lang w:val="zh-CN"/>
        </w:rPr>
      </w:pPr>
    </w:p>
    <w:p w14:paraId="1B97B9AA">
      <w:pPr>
        <w:rPr>
          <w:rFonts w:hint="eastAsia" w:ascii="黑体" w:hAnsi="宋体" w:eastAsia="黑体"/>
          <w:bCs/>
          <w:color w:val="auto"/>
          <w:sz w:val="24"/>
          <w:szCs w:val="24"/>
          <w:highlight w:val="none"/>
          <w:lang w:val="zh-CN"/>
        </w:rPr>
      </w:pPr>
      <w:r>
        <w:rPr>
          <w:rFonts w:hint="eastAsia" w:ascii="宋体" w:hAnsi="宋体"/>
          <w:sz w:val="24"/>
          <w:szCs w:val="21"/>
          <w:highlight w:val="none"/>
          <w:lang w:val="zh-CN"/>
        </w:rPr>
        <w:t>投标人签名：                                    日期：</w:t>
      </w:r>
    </w:p>
    <w:p w14:paraId="04F9773B">
      <w:pPr>
        <w:rPr>
          <w:rFonts w:hint="eastAsia" w:ascii="黑体" w:hAnsi="宋体" w:eastAsia="黑体"/>
          <w:bCs/>
          <w:color w:val="auto"/>
          <w:sz w:val="24"/>
          <w:szCs w:val="24"/>
          <w:highlight w:val="none"/>
          <w:lang w:val="zh-CN"/>
        </w:rPr>
      </w:pPr>
    </w:p>
    <w:p w14:paraId="51820C8A">
      <w:pPr>
        <w:rPr>
          <w:rFonts w:hint="eastAsia" w:ascii="黑体" w:hAnsi="宋体" w:eastAsia="黑体"/>
          <w:bCs/>
          <w:color w:val="auto"/>
          <w:sz w:val="24"/>
          <w:szCs w:val="24"/>
          <w:highlight w:val="none"/>
          <w:lang w:val="zh-CN"/>
        </w:rPr>
      </w:pPr>
    </w:p>
    <w:p w14:paraId="5211F1BD">
      <w:pPr>
        <w:rPr>
          <w:rFonts w:hint="eastAsia" w:ascii="黑体" w:hAnsi="宋体" w:eastAsia="黑体"/>
          <w:bCs/>
          <w:color w:val="auto"/>
          <w:sz w:val="24"/>
          <w:szCs w:val="24"/>
          <w:highlight w:val="none"/>
          <w:lang w:val="zh-CN"/>
        </w:rPr>
      </w:pPr>
    </w:p>
    <w:p w14:paraId="47BC6786">
      <w:pPr>
        <w:rPr>
          <w:rFonts w:hint="eastAsia" w:ascii="黑体" w:hAnsi="宋体" w:eastAsia="黑体"/>
          <w:bCs/>
          <w:color w:val="auto"/>
          <w:sz w:val="24"/>
          <w:szCs w:val="24"/>
          <w:highlight w:val="none"/>
          <w:lang w:val="zh-CN"/>
        </w:rPr>
      </w:pPr>
    </w:p>
    <w:p w14:paraId="7EF6EC63">
      <w:pPr>
        <w:rPr>
          <w:rFonts w:hint="eastAsia" w:ascii="黑体" w:hAnsi="宋体" w:eastAsia="黑体"/>
          <w:bCs/>
          <w:color w:val="auto"/>
          <w:sz w:val="24"/>
          <w:szCs w:val="24"/>
          <w:highlight w:val="none"/>
          <w:lang w:val="zh-CN"/>
        </w:rPr>
      </w:pPr>
    </w:p>
    <w:p w14:paraId="0765B2A9">
      <w:pPr>
        <w:rPr>
          <w:rFonts w:hint="eastAsia" w:ascii="黑体" w:hAnsi="宋体" w:eastAsia="黑体"/>
          <w:bCs/>
          <w:color w:val="auto"/>
          <w:sz w:val="24"/>
          <w:szCs w:val="24"/>
          <w:highlight w:val="none"/>
          <w:lang w:val="zh-CN"/>
        </w:rPr>
      </w:pPr>
    </w:p>
    <w:p w14:paraId="2F7A3E4F">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lang w:val="zh-CN"/>
        </w:rPr>
        <w:t>）服务内容的详细说明及服务方案（格式自拟）：</w:t>
      </w:r>
    </w:p>
    <w:p w14:paraId="022AFC57">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）要求采购人提供的配合（如有自拟并自行添加）</w:t>
      </w:r>
    </w:p>
    <w:p w14:paraId="2A94DB68">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十</w:t>
      </w:r>
      <w:r>
        <w:rPr>
          <w:rFonts w:hint="eastAsia" w:ascii="黑体" w:hAnsi="宋体" w:eastAsia="黑体"/>
          <w:bCs/>
          <w:color w:val="auto"/>
          <w:sz w:val="24"/>
          <w:szCs w:val="24"/>
          <w:highlight w:val="none"/>
        </w:rPr>
        <w:t>）其他（投标人认为有必要提供的声明和文件，如有自拟并自行添加）</w:t>
      </w:r>
    </w:p>
    <w:p w14:paraId="123C46C5">
      <w:pPr>
        <w:rPr>
          <w:rFonts w:hint="eastAsia" w:ascii="黑体" w:hAnsi="宋体" w:eastAsia="黑体"/>
          <w:color w:val="auto"/>
          <w:sz w:val="32"/>
          <w:szCs w:val="32"/>
          <w:highlight w:val="none"/>
        </w:rPr>
      </w:pPr>
    </w:p>
    <w:p w14:paraId="5BA1AD62">
      <w:pPr>
        <w:rPr>
          <w:rFonts w:hint="eastAsia" w:ascii="黑体" w:hAnsi="宋体" w:eastAsia="黑体"/>
          <w:color w:val="auto"/>
          <w:sz w:val="32"/>
          <w:szCs w:val="32"/>
          <w:highlight w:val="none"/>
        </w:rPr>
      </w:pPr>
    </w:p>
    <w:p w14:paraId="6F51B0AB">
      <w:pPr>
        <w:rPr>
          <w:highlight w:val="none"/>
        </w:rPr>
      </w:pPr>
    </w:p>
    <w:p w14:paraId="63FF7ED0">
      <w:pPr>
        <w:rPr>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18BE">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3D85A">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3D85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103A">
    <w:pPr>
      <w:pStyle w:val="5"/>
      <w:framePr w:wrap="around" w:vAnchor="text" w:hAnchor="margin" w:xAlign="center" w:yAlign="top"/>
      <w:pBdr>
        <w:between w:val="none" w:color="auto" w:sz="0" w:space="0"/>
      </w:pBdr>
    </w:pPr>
    <w:r>
      <w:fldChar w:fldCharType="begin"/>
    </w:r>
    <w:r>
      <w:rPr>
        <w:rStyle w:val="13"/>
      </w:rPr>
      <w:instrText xml:space="preserve"> PAGE  </w:instrText>
    </w:r>
    <w:r>
      <w:fldChar w:fldCharType="separate"/>
    </w:r>
    <w:r>
      <w:rPr>
        <w:rStyle w:val="13"/>
      </w:rPr>
      <w:t>- 3 -</w:t>
    </w:r>
    <w:r>
      <w:fldChar w:fldCharType="end"/>
    </w:r>
  </w:p>
  <w:p w14:paraId="3636914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A8A2">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E6DF2">
                          <w:pPr>
                            <w:pStyle w:val="5"/>
                          </w:pPr>
                          <w:r>
                            <w:fldChar w:fldCharType="begin"/>
                          </w:r>
                          <w:r>
                            <w:rPr>
                              <w:rStyle w:val="13"/>
                            </w:rPr>
                            <w:instrText xml:space="preserve"> PAGE  </w:instrText>
                          </w:r>
                          <w:r>
                            <w:fldChar w:fldCharType="separate"/>
                          </w:r>
                          <w:r>
                            <w:rPr>
                              <w:rStyle w:val="13"/>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7E6DF2">
                    <w:pPr>
                      <w:pStyle w:val="5"/>
                    </w:pPr>
                    <w:r>
                      <w:fldChar w:fldCharType="begin"/>
                    </w:r>
                    <w:r>
                      <w:rPr>
                        <w:rStyle w:val="13"/>
                      </w:rPr>
                      <w:instrText xml:space="preserve"> PAGE  </w:instrText>
                    </w:r>
                    <w:r>
                      <w:fldChar w:fldCharType="separate"/>
                    </w:r>
                    <w:r>
                      <w:rPr>
                        <w:rStyle w:val="13"/>
                      </w:rP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9601">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0CEF758C"/>
    <w:multiLevelType w:val="singleLevel"/>
    <w:tmpl w:val="0CEF758C"/>
    <w:lvl w:ilvl="0" w:tentative="0">
      <w:start w:val="4"/>
      <w:numFmt w:val="chineseCounting"/>
      <w:suff w:val="nothing"/>
      <w:lvlText w:val="%1、"/>
      <w:lvlJc w:val="left"/>
      <w:rPr>
        <w:rFonts w:hint="eastAsia"/>
      </w:rPr>
    </w:lvl>
  </w:abstractNum>
  <w:abstractNum w:abstractNumId="2">
    <w:nsid w:val="23FA2401"/>
    <w:multiLevelType w:val="singleLevel"/>
    <w:tmpl w:val="23FA2401"/>
    <w:lvl w:ilvl="0" w:tentative="0">
      <w:start w:val="17"/>
      <w:numFmt w:val="decimal"/>
      <w:suff w:val="nothing"/>
      <w:lvlText w:val="%1、"/>
      <w:lvlJc w:val="left"/>
    </w:lvl>
  </w:abstractNum>
  <w:abstractNum w:abstractNumId="3">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JiZmY3MzFhNzEwMTE3NDNlYmNjMjhmN2RmN2YifQ=="/>
  </w:docVars>
  <w:rsids>
    <w:rsidRoot w:val="00000000"/>
    <w:rsid w:val="04380A7C"/>
    <w:rsid w:val="047D7F7A"/>
    <w:rsid w:val="06564FEE"/>
    <w:rsid w:val="06B036DE"/>
    <w:rsid w:val="06EF6EAB"/>
    <w:rsid w:val="080B0BCA"/>
    <w:rsid w:val="08FB3992"/>
    <w:rsid w:val="0B5C2B2A"/>
    <w:rsid w:val="0B6F3FD2"/>
    <w:rsid w:val="13395F07"/>
    <w:rsid w:val="177A6489"/>
    <w:rsid w:val="1B845F3C"/>
    <w:rsid w:val="1BFA5812"/>
    <w:rsid w:val="1D281B34"/>
    <w:rsid w:val="22B735D8"/>
    <w:rsid w:val="2364421D"/>
    <w:rsid w:val="26B00802"/>
    <w:rsid w:val="27133A29"/>
    <w:rsid w:val="29164419"/>
    <w:rsid w:val="2AAF1DD1"/>
    <w:rsid w:val="2F6D1C05"/>
    <w:rsid w:val="304F6764"/>
    <w:rsid w:val="34854AE2"/>
    <w:rsid w:val="35A24298"/>
    <w:rsid w:val="37C96A98"/>
    <w:rsid w:val="37D00C0F"/>
    <w:rsid w:val="37EB70CB"/>
    <w:rsid w:val="39523F49"/>
    <w:rsid w:val="3972278F"/>
    <w:rsid w:val="3C972F77"/>
    <w:rsid w:val="3D72758A"/>
    <w:rsid w:val="3F0C1519"/>
    <w:rsid w:val="3F617A68"/>
    <w:rsid w:val="402A3CA8"/>
    <w:rsid w:val="40CE54CC"/>
    <w:rsid w:val="46885AD7"/>
    <w:rsid w:val="49B11342"/>
    <w:rsid w:val="49FD0075"/>
    <w:rsid w:val="4E577E36"/>
    <w:rsid w:val="4EE1199D"/>
    <w:rsid w:val="54A01CD4"/>
    <w:rsid w:val="56A60C3B"/>
    <w:rsid w:val="57DF6C94"/>
    <w:rsid w:val="5800686F"/>
    <w:rsid w:val="58E33B62"/>
    <w:rsid w:val="5A0C0C27"/>
    <w:rsid w:val="5BF05996"/>
    <w:rsid w:val="60C21C2A"/>
    <w:rsid w:val="60ED6BD4"/>
    <w:rsid w:val="61C73F05"/>
    <w:rsid w:val="62872FB3"/>
    <w:rsid w:val="65B75CD2"/>
    <w:rsid w:val="66385942"/>
    <w:rsid w:val="666317B4"/>
    <w:rsid w:val="69927C43"/>
    <w:rsid w:val="6E6B2034"/>
    <w:rsid w:val="6FF24F26"/>
    <w:rsid w:val="703C22B0"/>
    <w:rsid w:val="76286AE8"/>
    <w:rsid w:val="79DA068D"/>
    <w:rsid w:val="79F479DF"/>
    <w:rsid w:val="7C1B0277"/>
    <w:rsid w:val="7C9C6C2D"/>
    <w:rsid w:val="7CB7150A"/>
    <w:rsid w:val="7D7E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index 4"/>
    <w:basedOn w:val="1"/>
    <w:next w:val="1"/>
    <w:unhideWhenUsed/>
    <w:qFormat/>
    <w:uiPriority w:val="0"/>
    <w:pPr>
      <w:ind w:left="600" w:leftChars="6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paragraph" w:styleId="9">
    <w:name w:val="Body Text First Indent"/>
    <w:basedOn w:val="3"/>
    <w:qFormat/>
    <w:uiPriority w:val="0"/>
    <w:pPr>
      <w:spacing w:after="120"/>
      <w:ind w:firstLine="420" w:firstLineChars="100"/>
    </w:pPr>
  </w:style>
  <w:style w:type="table" w:styleId="11">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FollowedHyperlink"/>
    <w:qFormat/>
    <w:uiPriority w:val="0"/>
    <w:rPr>
      <w:color w:val="auto"/>
      <w:u w:val="none"/>
    </w:rPr>
  </w:style>
  <w:style w:type="paragraph" w:customStyle="1" w:styleId="15">
    <w:name w:val="普通文字"/>
    <w:basedOn w:val="1"/>
    <w:next w:val="1"/>
    <w:qFormat/>
    <w:uiPriority w:val="0"/>
    <w:rPr>
      <w:rFonts w:ascii="宋体"/>
      <w:kern w:val="0"/>
      <w:sz w:val="24"/>
      <w:u w:val="none" w:color="000000"/>
    </w:rPr>
  </w:style>
  <w:style w:type="paragraph" w:customStyle="1" w:styleId="16">
    <w:name w:val="首行缩进"/>
    <w:basedOn w:val="1"/>
    <w:qFormat/>
    <w:uiPriority w:val="0"/>
    <w:pPr>
      <w:ind w:firstLine="480"/>
      <w:jc w:val="left"/>
    </w:pPr>
    <w:rPr>
      <w:rFonts w:ascii="宋体" w:hAnsi="宋体" w:cs="Calibri"/>
      <w:szCs w:val="21"/>
    </w:rPr>
  </w:style>
  <w:style w:type="paragraph" w:customStyle="1" w:styleId="17">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
    <w:name w:val="font61"/>
    <w:basedOn w:val="12"/>
    <w:qFormat/>
    <w:uiPriority w:val="0"/>
    <w:rPr>
      <w:rFonts w:hint="eastAsia" w:ascii="宋体" w:hAnsi="宋体" w:eastAsia="宋体" w:cs="宋体"/>
      <w:b/>
      <w:bCs/>
      <w:color w:val="000000"/>
      <w:sz w:val="20"/>
      <w:szCs w:val="20"/>
      <w:u w:val="none"/>
    </w:rPr>
  </w:style>
  <w:style w:type="character" w:customStyle="1" w:styleId="19">
    <w:name w:val="font51"/>
    <w:basedOn w:val="12"/>
    <w:qFormat/>
    <w:uiPriority w:val="0"/>
    <w:rPr>
      <w:rFonts w:hint="eastAsia" w:ascii="宋体" w:hAnsi="宋体" w:eastAsia="宋体" w:cs="宋体"/>
      <w:b/>
      <w:bCs/>
      <w:color w:val="000000"/>
      <w:sz w:val="20"/>
      <w:szCs w:val="20"/>
      <w:u w:val="none"/>
    </w:rPr>
  </w:style>
  <w:style w:type="character" w:customStyle="1" w:styleId="20">
    <w:name w:val="font71"/>
    <w:basedOn w:val="12"/>
    <w:qFormat/>
    <w:uiPriority w:val="0"/>
    <w:rPr>
      <w:rFonts w:hint="eastAsia" w:ascii="宋体" w:hAnsi="宋体" w:eastAsia="宋体" w:cs="宋体"/>
      <w:color w:val="000000"/>
      <w:sz w:val="20"/>
      <w:szCs w:val="20"/>
      <w:u w:val="none"/>
    </w:rPr>
  </w:style>
  <w:style w:type="character" w:customStyle="1" w:styleId="21">
    <w:name w:val="font21"/>
    <w:basedOn w:val="12"/>
    <w:qFormat/>
    <w:uiPriority w:val="0"/>
    <w:rPr>
      <w:rFonts w:hint="eastAsia" w:ascii="宋体" w:hAnsi="宋体" w:eastAsia="宋体" w:cs="宋体"/>
      <w:color w:val="000000"/>
      <w:sz w:val="20"/>
      <w:szCs w:val="20"/>
      <w:u w:val="none"/>
    </w:rPr>
  </w:style>
  <w:style w:type="character" w:customStyle="1" w:styleId="22">
    <w:name w:val="NormalCharacter"/>
    <w:qFormat/>
    <w:uiPriority w:val="0"/>
    <w:rPr>
      <w:kern w:val="2"/>
      <w:sz w:val="21"/>
      <w:lang w:val="en-US" w:eastAsia="zh-CN" w:bidi="ar-SA"/>
    </w:rPr>
  </w:style>
  <w:style w:type="paragraph" w:customStyle="1" w:styleId="23">
    <w:name w:val="报告文字"/>
    <w:basedOn w:val="1"/>
    <w:next w:val="1"/>
    <w:qFormat/>
    <w:uiPriority w:val="0"/>
    <w:pPr>
      <w:ind w:firstLine="480" w:firstLineChars="200"/>
      <w:jc w:val="left"/>
    </w:pPr>
    <w:rPr>
      <w:kern w:val="0"/>
      <w:sz w:val="24"/>
      <w:szCs w:val="24"/>
    </w:rPr>
  </w:style>
  <w:style w:type="paragraph" w:customStyle="1" w:styleId="2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5">
    <w:name w:val="索引 11"/>
    <w:basedOn w:val="1"/>
    <w:next w:val="1"/>
    <w:qFormat/>
    <w:uiPriority w:val="0"/>
    <w:pPr>
      <w:spacing w:line="360" w:lineRule="auto"/>
    </w:pPr>
    <w:rPr>
      <w:rFonts w:ascii="仿宋_GB2312" w:eastAsia="仿宋_GB2312"/>
      <w:sz w:val="24"/>
    </w:rPr>
  </w:style>
  <w:style w:type="paragraph" w:customStyle="1" w:styleId="2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11841</Words>
  <Characters>12603</Characters>
  <Lines>0</Lines>
  <Paragraphs>0</Paragraphs>
  <TotalTime>5</TotalTime>
  <ScaleCrop>false</ScaleCrop>
  <LinksUpToDate>false</LinksUpToDate>
  <CharactersWithSpaces>12776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2025-05-28T13:49:00Z</dcterms:created>
  <dc:creator>Administrator</dc:creator>
  <cp:lastModifiedBy>82018</cp:lastModifiedBy>
  <dcterms:modified xsi:type="dcterms:W3CDTF">2025-12-04T07:13:21Z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eyJoZGlkIjoiNDU3YzYyZmY0ZGYzZWMxY2JmY2I4MWIwMTAxNWY0YjQiLCJ1c2VySWQiOiIxNTEyNDIzODMyIn0=</vt:lpwstr>
  </property>
  <property fmtid="{D5CDD505-2E9C-101B-9397-08002B2CF9AE}" pid="4" name="ICV">
    <vt:lpwstr>253B8C502CCA462EBF7D586CF8804959_12</vt:lpwstr>
  </property>
</Properties>
</file>