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6" w:rsidRPr="00A70C7F" w:rsidRDefault="00966EE0" w:rsidP="00A70C7F">
      <w:pPr>
        <w:adjustRightInd/>
        <w:snapToGrid/>
        <w:spacing w:after="0" w:line="360" w:lineRule="auto"/>
        <w:contextualSpacing/>
        <w:jc w:val="center"/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bookmarkStart w:id="0" w:name="OLE_LINK1"/>
      <w:r w:rsidRPr="00966EE0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江苏宜公</w:t>
      </w:r>
      <w:proofErr w:type="gramStart"/>
      <w:r w:rsidRPr="00966EE0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投蓝藻资源</w:t>
      </w:r>
      <w:proofErr w:type="gramEnd"/>
      <w:r w:rsidRPr="00966EE0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开发有限公司船只上岸年检项目</w:t>
      </w:r>
      <w:r w:rsidR="00D83408" w:rsidRPr="00A70C7F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招标公告</w:t>
      </w:r>
    </w:p>
    <w:p w:rsidR="00D864C2" w:rsidRPr="00A70C7F" w:rsidRDefault="00D864C2" w:rsidP="00A70C7F">
      <w:pPr>
        <w:adjustRightInd/>
        <w:snapToGrid/>
        <w:spacing w:after="0"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因工作需要，现组织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江苏宜公</w:t>
      </w:r>
      <w:proofErr w:type="gramStart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投蓝藻资源</w:t>
      </w:r>
      <w:proofErr w:type="gramEnd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开发有限公司船只上岸年检项目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进行招标。现欢迎符合相关条件的供应商参加投标。</w:t>
      </w:r>
    </w:p>
    <w:p w:rsidR="003B0411" w:rsidRPr="00A70C7F" w:rsidRDefault="00F67696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bookmarkStart w:id="1" w:name="_Toc28359002"/>
      <w:bookmarkStart w:id="2" w:name="_Toc35393790"/>
      <w:bookmarkStart w:id="3" w:name="_Toc28359079"/>
      <w:bookmarkStart w:id="4" w:name="_Toc35393621"/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 w:rsidR="00D864C2"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主要信息：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1、项目编号：</w:t>
      </w:r>
      <w:r w:rsidR="00966EE0" w:rsidRPr="00966EE0">
        <w:rPr>
          <w:rFonts w:ascii="宋体" w:eastAsia="宋体" w:hAnsi="宋体" w:cs="Times New Roman"/>
          <w:color w:val="000000"/>
          <w:sz w:val="28"/>
          <w:szCs w:val="28"/>
        </w:rPr>
        <w:t>YXGYJT202511001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2、项目名称：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船只上岸年检项目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3、项目简要说明：详见招标文件</w:t>
      </w:r>
    </w:p>
    <w:p w:rsidR="00966EE0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4、本项目预算金额及最高限价：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48.58万元</w:t>
      </w:r>
      <w:r w:rsidR="00EF64AB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其中宜兴蓝藻分离01号船年检费用最高限价为24.66万元，宜兴蓝藻分离02号船年检费用最高限价为23.92万元。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二、供应商资格要求：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1、具有独立承担民事责任的能力；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2、具有良好的商业信誉和健全的财务会计制度；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3、具有履行合同所必需的设备和专业技术能力；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4、有依法缴纳税收和社会保障资金的良好记录；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5、不接受联合体，不接受中标后分包；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6、良好的信用记录：投标截止时间之前，未被“信用中</w:t>
      </w:r>
      <w:bookmarkStart w:id="5" w:name="_GoBack"/>
      <w:bookmarkEnd w:id="5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国”网站（www.creditchina.gov.cn）列入失信被执行人、重大税收违法失信主体名单、严重失信主体名单，未被“中国政府采购网”网站（www.ccgp.gov.cn）列入政府采购严重违法失信行为记录名单；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7、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具有市级及以上政府部门颁发的《船舶生产企业生产条件认可证书》,或具有船舶建造</w:t>
      </w:r>
      <w:proofErr w:type="gramStart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适检条件</w:t>
      </w:r>
      <w:proofErr w:type="gramEnd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评估报告证书。</w:t>
      </w:r>
    </w:p>
    <w:p w:rsidR="00DA264F" w:rsidRPr="0038386A" w:rsidRDefault="00DA264F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/>
          <w:b/>
          <w:color w:val="000000"/>
          <w:sz w:val="28"/>
          <w:szCs w:val="28"/>
        </w:rPr>
        <w:t>三、</w:t>
      </w:r>
      <w:r w:rsidR="006577C6"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投标及开标有关信息</w:t>
      </w:r>
      <w:r w:rsidR="006577C6" w:rsidRPr="0038386A"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：</w:t>
      </w:r>
    </w:p>
    <w:p w:rsidR="006577C6" w:rsidRPr="00A70C7F" w:rsidRDefault="006577C6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38386A">
        <w:rPr>
          <w:rFonts w:ascii="宋体" w:eastAsia="宋体" w:hAnsi="宋体" w:cs="Times New Roman" w:hint="eastAsia"/>
          <w:color w:val="000000"/>
          <w:sz w:val="28"/>
          <w:szCs w:val="28"/>
        </w:rPr>
        <w:t>1、提交投标文件截止及开标时间：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2025年12月10日下午3:00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2、确定采购结果时间：评审结束后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3、地点：宜兴市公用环保集团有限公司二楼开标室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4、其他有关事项：截止期后的投标文件或未按招标文件规定密封的投标文件，恕不接受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四、公告期限：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2025年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日至2025年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五、本次招标联系事项：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采购人：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江苏宜公</w:t>
      </w:r>
      <w:proofErr w:type="gramStart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投蓝藻资源</w:t>
      </w:r>
      <w:proofErr w:type="gramEnd"/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开发有限公司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联系人：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路先生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联系电话：</w:t>
      </w:r>
      <w:r w:rsidR="00966EE0" w:rsidRPr="00966EE0">
        <w:rPr>
          <w:rFonts w:ascii="宋体" w:eastAsia="宋体" w:hAnsi="宋体" w:cs="Times New Roman"/>
          <w:color w:val="000000"/>
          <w:sz w:val="28"/>
          <w:szCs w:val="28"/>
        </w:rPr>
        <w:t>18661277771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联系地址：</w:t>
      </w:r>
      <w:r w:rsidR="00966EE0"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中国宜兴环保科技工业园科技孵化园（无锡市）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采购代理机构：江苏鸿成工程项目管理有限公司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联系人：曹工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联系方式：13771319057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联系地址：宜兴市杏园路</w:t>
      </w:r>
      <w:proofErr w:type="gramStart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108号科创商务</w:t>
      </w:r>
      <w:proofErr w:type="gramEnd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中心5号楼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E5A2D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有关本次招投标活动方面的问题,可来人、来函（传真）或电话联系。</w:t>
      </w:r>
    </w:p>
    <w:p w:rsidR="00966EE0" w:rsidRPr="00A70C7F" w:rsidRDefault="00966EE0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</w:p>
    <w:bookmarkEnd w:id="0"/>
    <w:p w:rsidR="00966EE0" w:rsidRDefault="00966EE0" w:rsidP="00A70C7F">
      <w:pPr>
        <w:adjustRightInd/>
        <w:snapToGrid/>
        <w:spacing w:after="0" w:line="360" w:lineRule="auto"/>
        <w:contextualSpacing/>
        <w:jc w:val="right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江苏宜公</w:t>
      </w:r>
      <w:proofErr w:type="gramStart"/>
      <w:r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投蓝藻资源</w:t>
      </w:r>
      <w:proofErr w:type="gramEnd"/>
      <w:r w:rsidRPr="00966EE0">
        <w:rPr>
          <w:rFonts w:ascii="宋体" w:eastAsia="宋体" w:hAnsi="宋体" w:cs="Times New Roman" w:hint="eastAsia"/>
          <w:color w:val="000000"/>
          <w:sz w:val="28"/>
          <w:szCs w:val="28"/>
        </w:rPr>
        <w:t>开发有限公司</w:t>
      </w:r>
    </w:p>
    <w:p w:rsidR="00241A94" w:rsidRPr="00D4658F" w:rsidRDefault="00D4658F" w:rsidP="00A70C7F">
      <w:pPr>
        <w:adjustRightInd/>
        <w:snapToGrid/>
        <w:spacing w:after="0"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2025年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66EE0"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sectPr w:rsidR="00241A94" w:rsidRPr="00D4658F" w:rsidSect="006E5A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33" w:rsidRDefault="003B0633">
      <w:pPr>
        <w:spacing w:after="0"/>
      </w:pPr>
      <w:r>
        <w:separator/>
      </w:r>
    </w:p>
  </w:endnote>
  <w:endnote w:type="continuationSeparator" w:id="0">
    <w:p w:rsidR="003B0633" w:rsidRDefault="003B0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33" w:rsidRDefault="003B0633">
      <w:pPr>
        <w:spacing w:after="0"/>
      </w:pPr>
      <w:r>
        <w:separator/>
      </w:r>
    </w:p>
  </w:footnote>
  <w:footnote w:type="continuationSeparator" w:id="0">
    <w:p w:rsidR="003B0633" w:rsidRDefault="003B06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8C3"/>
    <w:multiLevelType w:val="hybridMultilevel"/>
    <w:tmpl w:val="303E0520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BC87931"/>
    <w:multiLevelType w:val="hybridMultilevel"/>
    <w:tmpl w:val="315E3602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7034DE9"/>
    <w:multiLevelType w:val="hybridMultilevel"/>
    <w:tmpl w:val="490EF984"/>
    <w:lvl w:ilvl="0" w:tplc="594C2EBC">
      <w:start w:val="1"/>
      <w:numFmt w:val="decimalEnclosedCircle"/>
      <w:lvlText w:val="%1"/>
      <w:lvlJc w:val="left"/>
      <w:pPr>
        <w:ind w:left="94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6" w:hanging="420"/>
      </w:p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</w:lvl>
  </w:abstractNum>
  <w:abstractNum w:abstractNumId="3">
    <w:nsid w:val="69F47225"/>
    <w:multiLevelType w:val="hybridMultilevel"/>
    <w:tmpl w:val="754424A4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106A3DFC"/>
    <w:rsid w:val="15895891"/>
    <w:rsid w:val="1C6331FE"/>
    <w:rsid w:val="232F3DC1"/>
    <w:rsid w:val="2CA03CB9"/>
    <w:rsid w:val="331738A7"/>
    <w:rsid w:val="3DF918E3"/>
    <w:rsid w:val="53B25DD1"/>
    <w:rsid w:val="66BD7952"/>
    <w:rsid w:val="69452CBA"/>
    <w:rsid w:val="77E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customStyle="1" w:styleId="a9">
    <w:name w:val="普通文字"/>
    <w:basedOn w:val="a"/>
    <w:next w:val="a"/>
    <w:qFormat/>
    <w:pPr>
      <w:widowControl w:val="0"/>
      <w:adjustRightInd/>
      <w:snapToGrid/>
      <w:spacing w:after="0"/>
      <w:jc w:val="both"/>
    </w:pPr>
    <w:rPr>
      <w:rFonts w:ascii="宋体" w:eastAsia="宋体" w:hAnsi="Times New Roman" w:cs="Times New Roman"/>
      <w:sz w:val="24"/>
      <w:szCs w:val="20"/>
      <w:u w:color="000000"/>
    </w:rPr>
  </w:style>
  <w:style w:type="character" w:customStyle="1" w:styleId="Char2">
    <w:name w:val="批注文字 Char"/>
    <w:rPr>
      <w:kern w:val="2"/>
      <w:sz w:val="21"/>
    </w:rPr>
  </w:style>
  <w:style w:type="character" w:customStyle="1" w:styleId="Char1">
    <w:name w:val="批注文字 Char1"/>
    <w:basedOn w:val="a0"/>
    <w:link w:val="a3"/>
    <w:uiPriority w:val="99"/>
    <w:semiHidden/>
    <w:rPr>
      <w:rFonts w:ascii="Tahoma" w:hAnsi="Tahoma"/>
    </w:rPr>
  </w:style>
  <w:style w:type="paragraph" w:styleId="aa">
    <w:name w:val="List Paragraph"/>
    <w:basedOn w:val="a"/>
    <w:uiPriority w:val="99"/>
    <w:unhideWhenUsed/>
    <w:rsid w:val="002D4F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customStyle="1" w:styleId="a9">
    <w:name w:val="普通文字"/>
    <w:basedOn w:val="a"/>
    <w:next w:val="a"/>
    <w:qFormat/>
    <w:pPr>
      <w:widowControl w:val="0"/>
      <w:adjustRightInd/>
      <w:snapToGrid/>
      <w:spacing w:after="0"/>
      <w:jc w:val="both"/>
    </w:pPr>
    <w:rPr>
      <w:rFonts w:ascii="宋体" w:eastAsia="宋体" w:hAnsi="Times New Roman" w:cs="Times New Roman"/>
      <w:sz w:val="24"/>
      <w:szCs w:val="20"/>
      <w:u w:color="000000"/>
    </w:rPr>
  </w:style>
  <w:style w:type="character" w:customStyle="1" w:styleId="Char2">
    <w:name w:val="批注文字 Char"/>
    <w:rPr>
      <w:kern w:val="2"/>
      <w:sz w:val="21"/>
    </w:rPr>
  </w:style>
  <w:style w:type="character" w:customStyle="1" w:styleId="Char1">
    <w:name w:val="批注文字 Char1"/>
    <w:basedOn w:val="a0"/>
    <w:link w:val="a3"/>
    <w:uiPriority w:val="99"/>
    <w:semiHidden/>
    <w:rPr>
      <w:rFonts w:ascii="Tahoma" w:hAnsi="Tahoma"/>
    </w:rPr>
  </w:style>
  <w:style w:type="paragraph" w:styleId="aa">
    <w:name w:val="List Paragraph"/>
    <w:basedOn w:val="a"/>
    <w:uiPriority w:val="99"/>
    <w:unhideWhenUsed/>
    <w:rsid w:val="002D4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816</Words>
  <Characters>154</Characters>
  <Application>Microsoft Office Word</Application>
  <DocSecurity>0</DocSecurity>
  <Lines>1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118</cp:revision>
  <dcterms:created xsi:type="dcterms:W3CDTF">2023-06-25T07:29:00Z</dcterms:created>
  <dcterms:modified xsi:type="dcterms:W3CDTF">2025-12-02T05:56:00Z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E8804CBF4BF2437FAD8968FC98AB7628</vt:lpwstr>
  </property>
</Properties>
</file>