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1DB55">
      <w:pPr>
        <w:jc w:val="center"/>
        <w:rPr>
          <w:rFonts w:hint="eastAsia" w:ascii="宋体" w:hAnsi="宋体"/>
          <w:b/>
          <w:bCs/>
          <w:color w:val="auto"/>
          <w:sz w:val="48"/>
          <w:szCs w:val="48"/>
          <w:highlight w:val="none"/>
          <w:lang w:eastAsia="zh-CN"/>
        </w:rPr>
      </w:pPr>
    </w:p>
    <w:p w14:paraId="3ACA163B">
      <w:pPr>
        <w:jc w:val="center"/>
        <w:rPr>
          <w:rFonts w:hint="eastAsia" w:ascii="宋体" w:hAnsi="宋体" w:eastAsia="宋体"/>
          <w:b/>
          <w:bCs/>
          <w:color w:val="auto"/>
          <w:sz w:val="48"/>
          <w:szCs w:val="48"/>
          <w:highlight w:val="none"/>
          <w:lang w:eastAsia="zh-CN"/>
        </w:rPr>
      </w:pPr>
      <w:r>
        <w:rPr>
          <w:rFonts w:hint="eastAsia" w:ascii="宋体" w:hAnsi="宋体"/>
          <w:b/>
          <w:bCs/>
          <w:color w:val="auto"/>
          <w:sz w:val="48"/>
          <w:szCs w:val="48"/>
          <w:highlight w:val="none"/>
          <w:lang w:eastAsia="zh-CN"/>
        </w:rPr>
        <w:t>宜兴市西氿近岸湖体修复工程不可避让论证服务项目采购</w:t>
      </w:r>
    </w:p>
    <w:p w14:paraId="499F9CE7">
      <w:pPr>
        <w:jc w:val="center"/>
        <w:rPr>
          <w:rFonts w:hint="eastAsia" w:ascii="黑体" w:hAnsi="黑体" w:eastAsia="黑体"/>
          <w:b/>
          <w:bCs/>
          <w:color w:val="auto"/>
          <w:sz w:val="96"/>
          <w:szCs w:val="96"/>
          <w:highlight w:val="none"/>
        </w:rPr>
      </w:pPr>
    </w:p>
    <w:p w14:paraId="3BB92BEB">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05EE5F32">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3931CC9A">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572C1ACA">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5CD5B73F">
      <w:pPr>
        <w:pStyle w:val="4"/>
        <w:rPr>
          <w:rFonts w:hint="eastAsia"/>
          <w:color w:val="auto"/>
          <w:highlight w:val="none"/>
        </w:rPr>
      </w:pPr>
    </w:p>
    <w:p w14:paraId="0AEED0AB">
      <w:pPr>
        <w:ind w:firstLine="2560" w:firstLineChars="800"/>
        <w:rPr>
          <w:rFonts w:hint="eastAsia" w:ascii="宋体" w:hAnsi="宋体"/>
          <w:b/>
          <w:bCs/>
          <w:color w:val="auto"/>
          <w:sz w:val="28"/>
          <w:szCs w:val="28"/>
          <w:highlight w:val="none"/>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YXGYJT202510009</w:t>
      </w:r>
      <w:r>
        <w:rPr>
          <w:rFonts w:hint="eastAsia" w:ascii="宋体" w:hAnsi="宋体" w:cs="宋体"/>
          <w:color w:val="auto"/>
          <w:sz w:val="32"/>
          <w:szCs w:val="32"/>
          <w:highlight w:val="none"/>
        </w:rPr>
        <w:t xml:space="preserve"> </w:t>
      </w:r>
    </w:p>
    <w:p w14:paraId="5933EF30">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宜兴市环保集团有限公司</w:t>
      </w:r>
    </w:p>
    <w:p w14:paraId="67EFDBF6">
      <w:pPr>
        <w:jc w:val="center"/>
        <w:rPr>
          <w:rFonts w:hint="eastAsia" w:ascii="宋体" w:hAnsi="宋体" w:eastAsia="宋体"/>
          <w:color w:val="auto"/>
          <w:sz w:val="32"/>
          <w:highlight w:val="none"/>
          <w:lang w:eastAsia="zh-CN"/>
        </w:rPr>
      </w:pPr>
      <w:r>
        <w:rPr>
          <w:rFonts w:hint="eastAsia" w:ascii="宋体" w:hAnsi="宋体"/>
          <w:color w:val="auto"/>
          <w:sz w:val="32"/>
          <w:highlight w:val="none"/>
        </w:rPr>
        <w:t>项目名称：</w:t>
      </w:r>
      <w:r>
        <w:rPr>
          <w:rFonts w:hint="eastAsia" w:ascii="宋体" w:hAnsi="宋体"/>
          <w:color w:val="auto"/>
          <w:sz w:val="32"/>
          <w:highlight w:val="none"/>
          <w:lang w:eastAsia="zh-CN"/>
        </w:rPr>
        <w:t>宜兴市西氿近岸湖体修复工程不可避让论证服务项目</w:t>
      </w:r>
    </w:p>
    <w:p w14:paraId="119AA0C0">
      <w:pPr>
        <w:jc w:val="center"/>
        <w:rPr>
          <w:rFonts w:hint="eastAsia" w:ascii="宋体" w:hAnsi="宋体"/>
          <w:color w:val="auto"/>
          <w:sz w:val="32"/>
          <w:highlight w:val="none"/>
        </w:rPr>
      </w:pPr>
      <w:r>
        <w:rPr>
          <w:rFonts w:hint="eastAsia" w:ascii="宋体" w:hAnsi="宋体"/>
          <w:color w:val="auto"/>
          <w:sz w:val="32"/>
          <w:highlight w:val="none"/>
        </w:rPr>
        <w:t>采购代理机构：江苏鸿成工程项目管理有限公司</w:t>
      </w:r>
    </w:p>
    <w:p w14:paraId="23492AAF">
      <w:pPr>
        <w:jc w:val="center"/>
        <w:rPr>
          <w:rFonts w:hint="eastAsia" w:ascii="宋体" w:hAnsi="宋体"/>
          <w:color w:val="auto"/>
          <w:sz w:val="32"/>
          <w:highlight w:val="none"/>
        </w:rPr>
      </w:pPr>
    </w:p>
    <w:p w14:paraId="09AA5F50">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十</w:t>
      </w:r>
      <w:r>
        <w:rPr>
          <w:rFonts w:hint="eastAsia" w:ascii="宋体" w:hAnsi="宋体"/>
          <w:color w:val="auto"/>
          <w:sz w:val="32"/>
          <w:highlight w:val="none"/>
        </w:rPr>
        <w:t>月</w:t>
      </w:r>
    </w:p>
    <w:p w14:paraId="4A57CBED">
      <w:pPr>
        <w:rPr>
          <w:rStyle w:val="13"/>
          <w:rFonts w:eastAsia="黑体"/>
          <w:bCs/>
          <w:color w:val="auto"/>
          <w:sz w:val="48"/>
          <w:highlight w:val="none"/>
        </w:rPr>
        <w:sectPr>
          <w:footerReference r:id="rId4" w:type="first"/>
          <w:footerReference r:id="rId3" w:type="default"/>
          <w:pgSz w:w="11906" w:h="16838"/>
          <w:pgMar w:top="1417" w:right="1417" w:bottom="1417" w:left="1417" w:header="851" w:footer="992" w:gutter="0"/>
          <w:cols w:space="720" w:num="1"/>
          <w:docGrid w:type="lines" w:linePitch="312" w:charSpace="0"/>
        </w:sectPr>
      </w:pPr>
    </w:p>
    <w:p w14:paraId="0A878D8A">
      <w:pPr>
        <w:jc w:val="center"/>
        <w:rPr>
          <w:rStyle w:val="13"/>
          <w:rFonts w:eastAsia="黑体"/>
          <w:bCs/>
          <w:color w:val="auto"/>
          <w:sz w:val="48"/>
          <w:highlight w:val="none"/>
        </w:rPr>
      </w:pPr>
      <w:r>
        <w:rPr>
          <w:rStyle w:val="13"/>
          <w:rFonts w:hint="eastAsia" w:eastAsia="黑体"/>
          <w:bCs/>
          <w:color w:val="auto"/>
          <w:sz w:val="48"/>
          <w:highlight w:val="none"/>
        </w:rPr>
        <w:t>目     录</w:t>
      </w:r>
    </w:p>
    <w:p w14:paraId="6905FC5F">
      <w:pPr>
        <w:jc w:val="center"/>
        <w:rPr>
          <w:rFonts w:ascii="黑体" w:eastAsia="黑体"/>
          <w:bCs/>
          <w:color w:val="auto"/>
          <w:sz w:val="30"/>
          <w:highlight w:val="none"/>
        </w:rPr>
      </w:pPr>
    </w:p>
    <w:p w14:paraId="1370ADEA">
      <w:pPr>
        <w:jc w:val="center"/>
        <w:rPr>
          <w:rFonts w:ascii="黑体" w:eastAsia="黑体"/>
          <w:bCs/>
          <w:color w:val="auto"/>
          <w:sz w:val="30"/>
          <w:highlight w:val="none"/>
        </w:rPr>
      </w:pPr>
    </w:p>
    <w:p w14:paraId="4CCBA4DE">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第一章 投标邀请函</w:t>
      </w:r>
      <w:r>
        <w:rPr>
          <w:rFonts w:hint="eastAsia" w:ascii="黑体" w:hAnsi="黑体" w:eastAsia="黑体"/>
          <w:color w:val="auto"/>
          <w:sz w:val="32"/>
          <w:highlight w:val="none"/>
        </w:rPr>
        <w:tab/>
      </w:r>
      <w:r>
        <w:rPr>
          <w:rFonts w:hint="eastAsia" w:ascii="黑体" w:hAnsi="黑体" w:eastAsia="黑体"/>
          <w:color w:val="auto"/>
          <w:sz w:val="32"/>
          <w:highlight w:val="none"/>
        </w:rPr>
        <w:t>- 2 -</w:t>
      </w:r>
    </w:p>
    <w:p w14:paraId="7FA206CD">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第二章 投标人须知</w:t>
      </w:r>
      <w:r>
        <w:rPr>
          <w:rFonts w:hint="eastAsia" w:ascii="黑体" w:hAnsi="黑体" w:eastAsia="黑体"/>
          <w:color w:val="auto"/>
          <w:sz w:val="32"/>
          <w:highlight w:val="none"/>
        </w:rPr>
        <w:tab/>
      </w:r>
      <w:r>
        <w:rPr>
          <w:rFonts w:hint="eastAsia" w:ascii="黑体" w:hAnsi="黑体" w:eastAsia="黑体"/>
          <w:color w:val="auto"/>
          <w:sz w:val="32"/>
          <w:highlight w:val="none"/>
        </w:rPr>
        <w:t>- 5 -</w:t>
      </w:r>
    </w:p>
    <w:p w14:paraId="5396CCFC">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第三章 项目技术要求和有关说明</w:t>
      </w:r>
      <w:r>
        <w:rPr>
          <w:rFonts w:hint="eastAsia" w:ascii="黑体" w:hAnsi="黑体" w:eastAsia="黑体"/>
          <w:color w:val="auto"/>
          <w:sz w:val="32"/>
          <w:highlight w:val="none"/>
        </w:rPr>
        <w:tab/>
      </w:r>
      <w:r>
        <w:rPr>
          <w:rFonts w:hint="eastAsia" w:ascii="黑体" w:hAnsi="黑体" w:eastAsia="黑体"/>
          <w:color w:val="auto"/>
          <w:sz w:val="32"/>
          <w:highlight w:val="none"/>
        </w:rPr>
        <w:t>- 17 -</w:t>
      </w:r>
    </w:p>
    <w:p w14:paraId="68147406">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第四章 评标方法和标准</w:t>
      </w:r>
      <w:r>
        <w:rPr>
          <w:rFonts w:hint="eastAsia" w:ascii="黑体" w:hAnsi="黑体" w:eastAsia="黑体"/>
          <w:color w:val="auto"/>
          <w:sz w:val="32"/>
          <w:highlight w:val="none"/>
        </w:rPr>
        <w:tab/>
      </w:r>
      <w:r>
        <w:rPr>
          <w:rFonts w:hint="eastAsia" w:ascii="黑体" w:hAnsi="黑体" w:eastAsia="黑体"/>
          <w:color w:val="auto"/>
          <w:sz w:val="32"/>
          <w:highlight w:val="none"/>
        </w:rPr>
        <w:t>- 20 -</w:t>
      </w:r>
    </w:p>
    <w:p w14:paraId="32E4F48C">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第五章 合同书（格式文本）</w:t>
      </w:r>
      <w:r>
        <w:rPr>
          <w:rFonts w:hint="eastAsia" w:ascii="黑体" w:hAnsi="黑体" w:eastAsia="黑体"/>
          <w:color w:val="auto"/>
          <w:sz w:val="32"/>
          <w:highlight w:val="none"/>
        </w:rPr>
        <w:tab/>
      </w:r>
      <w:r>
        <w:rPr>
          <w:rFonts w:hint="eastAsia" w:ascii="黑体" w:hAnsi="黑体" w:eastAsia="黑体"/>
          <w:color w:val="auto"/>
          <w:sz w:val="32"/>
          <w:highlight w:val="none"/>
        </w:rPr>
        <w:t>- 22 -</w:t>
      </w:r>
    </w:p>
    <w:p w14:paraId="4E2670C9">
      <w:pPr>
        <w:pStyle w:val="7"/>
        <w:tabs>
          <w:tab w:val="right" w:leader="dot" w:pos="9638"/>
        </w:tabs>
        <w:rPr>
          <w:color w:val="auto"/>
          <w:highlight w:val="none"/>
        </w:rPr>
      </w:pPr>
      <w:r>
        <w:rPr>
          <w:rFonts w:hint="eastAsia" w:ascii="黑体" w:hAnsi="黑体" w:eastAsia="黑体"/>
          <w:color w:val="auto"/>
          <w:sz w:val="32"/>
          <w:highlight w:val="none"/>
        </w:rPr>
        <w:t>第六章 附件（投标文件格式）</w:t>
      </w:r>
      <w:r>
        <w:rPr>
          <w:rFonts w:hint="eastAsia" w:ascii="黑体" w:hAnsi="黑体" w:eastAsia="黑体"/>
          <w:color w:val="auto"/>
          <w:sz w:val="32"/>
          <w:highlight w:val="none"/>
        </w:rPr>
        <w:tab/>
      </w:r>
      <w:r>
        <w:rPr>
          <w:rFonts w:hint="eastAsia" w:ascii="黑体" w:hAnsi="黑体" w:eastAsia="黑体"/>
          <w:color w:val="auto"/>
          <w:sz w:val="32"/>
          <w:highlight w:val="none"/>
        </w:rPr>
        <w:t>- 27 -</w:t>
      </w:r>
      <w:r>
        <w:rPr>
          <w:rFonts w:hint="eastAsia" w:ascii="黑体" w:hAnsi="黑体" w:eastAsia="黑体"/>
          <w:color w:val="auto"/>
          <w:sz w:val="32"/>
          <w:highlight w:val="none"/>
        </w:rPr>
        <w:fldChar w:fldCharType="begin"/>
      </w:r>
      <w:r>
        <w:rPr>
          <w:rFonts w:hint="eastAsia" w:ascii="黑体" w:hAnsi="黑体" w:eastAsia="黑体"/>
          <w:color w:val="auto"/>
          <w:sz w:val="32"/>
          <w:highlight w:val="none"/>
        </w:rPr>
        <w:instrText xml:space="preserve">TOC \o "1-1" \h  \u </w:instrText>
      </w:r>
      <w:r>
        <w:rPr>
          <w:rFonts w:hint="eastAsia" w:ascii="黑体" w:hAnsi="黑体" w:eastAsia="黑体"/>
          <w:color w:val="auto"/>
          <w:sz w:val="32"/>
          <w:highlight w:val="none"/>
        </w:rPr>
        <w:fldChar w:fldCharType="separate"/>
      </w:r>
    </w:p>
    <w:p w14:paraId="0CB7184D">
      <w:pPr>
        <w:rPr>
          <w:rFonts w:hint="eastAsia" w:ascii="楷体_GB2312" w:hAnsi="楷体_GB2312" w:eastAsia="楷体_GB2312"/>
          <w:color w:val="auto"/>
          <w:sz w:val="30"/>
          <w:highlight w:val="none"/>
        </w:rPr>
      </w:pPr>
      <w:r>
        <w:rPr>
          <w:rFonts w:hint="eastAsia" w:ascii="黑体" w:hAnsi="黑体" w:eastAsia="黑体"/>
          <w:color w:val="auto"/>
          <w:highlight w:val="none"/>
        </w:rPr>
        <w:fldChar w:fldCharType="end"/>
      </w:r>
    </w:p>
    <w:p w14:paraId="60184224">
      <w:pPr>
        <w:jc w:val="center"/>
        <w:outlineLvl w:val="0"/>
        <w:rPr>
          <w:rFonts w:hint="eastAsia" w:ascii="黑体" w:hAnsi="黑体" w:eastAsia="黑体"/>
          <w:color w:val="auto"/>
          <w:sz w:val="28"/>
          <w:highlight w:val="none"/>
        </w:rPr>
      </w:pPr>
      <w:bookmarkStart w:id="0" w:name="_Toc30211"/>
      <w:r>
        <w:rPr>
          <w:rFonts w:hint="eastAsia" w:ascii="黑体" w:hAnsi="黑体" w:eastAsia="黑体"/>
          <w:color w:val="auto"/>
          <w:sz w:val="28"/>
          <w:highlight w:val="none"/>
        </w:rPr>
        <w:br w:type="page"/>
      </w:r>
      <w:bookmarkStart w:id="1" w:name="_Toc23167"/>
      <w:r>
        <w:rPr>
          <w:rFonts w:hint="eastAsia" w:ascii="黑体" w:hAnsi="黑体" w:eastAsia="黑体"/>
          <w:color w:val="auto"/>
          <w:sz w:val="28"/>
          <w:highlight w:val="none"/>
        </w:rPr>
        <w:t>第一章 投标邀请函</w:t>
      </w:r>
      <w:bookmarkEnd w:id="0"/>
      <w:bookmarkEnd w:id="1"/>
    </w:p>
    <w:p w14:paraId="0C28F1F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宜兴市环保集团有限公司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宜兴市西氿近岸湖体修复工程不可避让论证服务项目</w:t>
      </w:r>
      <w:r>
        <w:rPr>
          <w:rFonts w:hint="eastAsia" w:ascii="宋体" w:hAnsi="宋体"/>
          <w:bCs/>
          <w:color w:val="auto"/>
          <w:sz w:val="24"/>
          <w:szCs w:val="24"/>
          <w:highlight w:val="none"/>
        </w:rPr>
        <w:t>进行公开招标，欢迎你单位参加投标并提请注意下列附表中的相关事项：</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5768"/>
      </w:tblGrid>
      <w:tr w14:paraId="7944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top"/>
          </w:tcPr>
          <w:p w14:paraId="18035400">
            <w:pPr>
              <w:snapToGrid w:val="0"/>
              <w:spacing w:line="400" w:lineRule="exact"/>
              <w:jc w:val="center"/>
              <w:rPr>
                <w:rFonts w:ascii="宋体" w:hAnsi="宋体"/>
                <w:bCs/>
                <w:color w:val="auto"/>
                <w:sz w:val="24"/>
                <w:szCs w:val="24"/>
                <w:highlight w:val="none"/>
              </w:rPr>
            </w:pPr>
            <w:bookmarkStart w:id="2" w:name="_Toc11477"/>
            <w:bookmarkStart w:id="3" w:name="_Toc29543"/>
            <w:r>
              <w:rPr>
                <w:rFonts w:hint="eastAsia" w:ascii="宋体" w:hAnsi="宋体"/>
                <w:bCs/>
                <w:color w:val="auto"/>
                <w:sz w:val="24"/>
                <w:szCs w:val="24"/>
                <w:highlight w:val="none"/>
              </w:rPr>
              <w:t>序号</w:t>
            </w:r>
          </w:p>
        </w:tc>
        <w:tc>
          <w:tcPr>
            <w:tcW w:w="8198" w:type="dxa"/>
            <w:gridSpan w:val="4"/>
            <w:noWrap w:val="0"/>
            <w:vAlign w:val="top"/>
          </w:tcPr>
          <w:p w14:paraId="6B523EE1">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3447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6" w:hRule="atLeast"/>
        </w:trPr>
        <w:tc>
          <w:tcPr>
            <w:tcW w:w="733" w:type="dxa"/>
            <w:noWrap w:val="0"/>
            <w:vAlign w:val="center"/>
          </w:tcPr>
          <w:p w14:paraId="7195DCF3">
            <w:pPr>
              <w:snapToGrid w:val="0"/>
              <w:spacing w:line="400" w:lineRule="exact"/>
              <w:jc w:val="center"/>
              <w:rPr>
                <w:rFonts w:ascii="宋体" w:hAnsi="宋体"/>
                <w:bCs/>
                <w:color w:val="auto"/>
                <w:sz w:val="24"/>
                <w:szCs w:val="24"/>
                <w:highlight w:val="none"/>
              </w:rPr>
            </w:pPr>
            <w:r>
              <w:rPr>
                <w:rFonts w:ascii="宋体" w:hAnsi="宋体"/>
                <w:bCs/>
                <w:color w:val="auto"/>
                <w:sz w:val="24"/>
                <w:szCs w:val="24"/>
                <w:highlight w:val="none"/>
              </w:rPr>
              <w:t>1</w:t>
            </w:r>
          </w:p>
        </w:tc>
        <w:tc>
          <w:tcPr>
            <w:tcW w:w="8198" w:type="dxa"/>
            <w:gridSpan w:val="4"/>
            <w:noWrap w:val="0"/>
            <w:vAlign w:val="top"/>
          </w:tcPr>
          <w:p w14:paraId="53AFC4EA">
            <w:pPr>
              <w:snapToGrid w:val="0"/>
              <w:spacing w:line="400" w:lineRule="exact"/>
              <w:jc w:val="left"/>
              <w:rPr>
                <w:rFonts w:hint="eastAsia" w:ascii="宋体" w:hAnsi="宋体" w:eastAsia="宋体"/>
                <w:bCs/>
                <w:color w:val="auto"/>
                <w:sz w:val="24"/>
                <w:szCs w:val="24"/>
                <w:highlight w:val="none"/>
                <w:lang w:eastAsia="zh-CN"/>
              </w:rPr>
            </w:pPr>
            <w:bookmarkStart w:id="4" w:name="OLE_LINK192"/>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宜兴市环保集团有限公司</w:t>
            </w:r>
          </w:p>
          <w:p w14:paraId="1CEEB41D">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：YXGYJT202510009</w:t>
            </w:r>
          </w:p>
          <w:p w14:paraId="1D00B5C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采购代理机构：江苏鸿成工程项目管理有限公司</w:t>
            </w:r>
          </w:p>
          <w:p w14:paraId="3C8CBE05">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宜兴市西氿近岸湖体修复工程不可避让论证服务项目</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0117539C">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cs="宋体"/>
                <w:color w:val="auto"/>
                <w:sz w:val="24"/>
                <w:szCs w:val="24"/>
                <w:highlight w:val="none"/>
              </w:rPr>
              <w:t>集团网站公开招标（代理）</w:t>
            </w:r>
            <w:r>
              <w:rPr>
                <w:rFonts w:hint="eastAsia" w:ascii="宋体" w:hAnsi="宋体"/>
                <w:bCs/>
                <w:color w:val="auto"/>
                <w:sz w:val="24"/>
                <w:szCs w:val="24"/>
                <w:highlight w:val="none"/>
              </w:rPr>
              <w:t xml:space="preserve"> </w:t>
            </w:r>
          </w:p>
          <w:p w14:paraId="2A5496DC">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评标方法：综合评分法</w:t>
            </w:r>
          </w:p>
          <w:bookmarkEnd w:id="4"/>
          <w:p w14:paraId="47B1F2E5">
            <w:pPr>
              <w:rPr>
                <w:rFonts w:hint="default" w:ascii="宋体" w:hAnsi="宋体" w:eastAsia="宋体" w:cs="Times New Roman"/>
                <w:bCs/>
                <w:color w:val="auto"/>
                <w:sz w:val="24"/>
                <w:szCs w:val="24"/>
                <w:highlight w:val="none"/>
                <w:lang w:val="en-US" w:eastAsia="zh-CN"/>
              </w:rPr>
            </w:pPr>
            <w:r>
              <w:rPr>
                <w:rFonts w:ascii="宋体" w:hAnsi="宋体"/>
                <w:bCs/>
                <w:color w:val="auto"/>
                <w:sz w:val="24"/>
                <w:szCs w:val="24"/>
                <w:highlight w:val="none"/>
              </w:rPr>
              <w:t>本</w:t>
            </w:r>
            <w:r>
              <w:rPr>
                <w:rFonts w:ascii="宋体" w:hAnsi="宋体" w:eastAsia="宋体" w:cs="Times New Roman"/>
                <w:bCs/>
                <w:color w:val="auto"/>
                <w:sz w:val="24"/>
                <w:szCs w:val="24"/>
                <w:highlight w:val="none"/>
              </w:rPr>
              <w:t>项目预算</w:t>
            </w:r>
            <w:r>
              <w:rPr>
                <w:rFonts w:hint="eastAsia" w:ascii="宋体" w:hAnsi="宋体" w:eastAsia="宋体" w:cs="Times New Roman"/>
                <w:bCs/>
                <w:color w:val="auto"/>
                <w:sz w:val="24"/>
                <w:szCs w:val="24"/>
                <w:highlight w:val="none"/>
              </w:rPr>
              <w:t>及最高限价</w:t>
            </w:r>
            <w:r>
              <w:rPr>
                <w:rFonts w:ascii="宋体" w:hAnsi="宋体" w:eastAsia="宋体" w:cs="Times New Roman"/>
                <w:bCs/>
                <w:color w:val="auto"/>
                <w:sz w:val="24"/>
                <w:szCs w:val="24"/>
                <w:highlight w:val="none"/>
              </w:rPr>
              <w:t>为：</w:t>
            </w:r>
            <w:r>
              <w:rPr>
                <w:rFonts w:hint="eastAsia" w:ascii="宋体" w:hAnsi="宋体" w:cs="Times New Roman"/>
                <w:bCs/>
                <w:color w:val="auto"/>
                <w:sz w:val="24"/>
                <w:szCs w:val="24"/>
                <w:highlight w:val="none"/>
                <w:lang w:val="en-US" w:eastAsia="zh-CN"/>
              </w:rPr>
              <w:t>22</w:t>
            </w:r>
            <w:r>
              <w:rPr>
                <w:rFonts w:hint="eastAsia" w:ascii="宋体" w:hAnsi="宋体" w:eastAsia="宋体" w:cs="Times New Roman"/>
                <w:bCs/>
                <w:color w:val="auto"/>
                <w:sz w:val="24"/>
                <w:szCs w:val="24"/>
                <w:highlight w:val="none"/>
                <w:lang w:val="en-US" w:eastAsia="zh-CN"/>
              </w:rPr>
              <w:t>万</w:t>
            </w:r>
          </w:p>
        </w:tc>
      </w:tr>
      <w:tr w14:paraId="75E3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33" w:type="dxa"/>
            <w:vMerge w:val="restart"/>
            <w:noWrap w:val="0"/>
            <w:vAlign w:val="center"/>
          </w:tcPr>
          <w:p w14:paraId="6D0EDF22">
            <w:pPr>
              <w:snapToGrid w:val="0"/>
              <w:spacing w:line="400" w:lineRule="exact"/>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6D5A7C3D">
            <w:pPr>
              <w:pStyle w:val="14"/>
              <w:snapToGrid w:val="0"/>
              <w:spacing w:line="400" w:lineRule="exact"/>
              <w:jc w:val="center"/>
              <w:rPr>
                <w:color w:val="auto"/>
                <w:highlight w:val="none"/>
              </w:rPr>
            </w:pPr>
            <w:bookmarkStart w:id="6" w:name="OLE_LINK208"/>
            <w:r>
              <w:rPr>
                <w:rFonts w:hint="eastAsia"/>
                <w:b/>
                <w:bCs/>
                <w:color w:val="auto"/>
                <w:highlight w:val="none"/>
                <w:lang w:val="zh-CN"/>
              </w:rPr>
              <w:t>资格审查</w:t>
            </w:r>
            <w:bookmarkEnd w:id="6"/>
          </w:p>
        </w:tc>
        <w:tc>
          <w:tcPr>
            <w:tcW w:w="7682" w:type="dxa"/>
            <w:gridSpan w:val="3"/>
            <w:noWrap w:val="0"/>
            <w:vAlign w:val="top"/>
          </w:tcPr>
          <w:p w14:paraId="0A687345">
            <w:pPr>
              <w:pStyle w:val="14"/>
              <w:spacing w:line="276" w:lineRule="auto"/>
              <w:rPr>
                <w:rFonts w:hint="eastAsia"/>
                <w:color w:val="auto"/>
                <w:highlight w:val="none"/>
                <w:lang w:val="zh-CN"/>
              </w:rPr>
            </w:pPr>
            <w:r>
              <w:rPr>
                <w:rFonts w:hint="eastAsia"/>
                <w:color w:val="auto"/>
                <w:highlight w:val="none"/>
                <w:lang w:val="zh-CN"/>
              </w:rPr>
              <w:t>2.1投标人参加本次采购活动应具备下列资格条件：</w:t>
            </w:r>
          </w:p>
          <w:p w14:paraId="1AD9ECE6">
            <w:pPr>
              <w:pStyle w:val="14"/>
              <w:spacing w:line="276" w:lineRule="auto"/>
              <w:rPr>
                <w:rFonts w:hint="eastAsia"/>
                <w:color w:val="auto"/>
                <w:highlight w:val="none"/>
                <w:lang w:val="zh-CN"/>
              </w:rPr>
            </w:pPr>
            <w:r>
              <w:rPr>
                <w:rFonts w:hint="eastAsia"/>
                <w:color w:val="auto"/>
                <w:highlight w:val="none"/>
                <w:lang w:val="zh-CN"/>
              </w:rPr>
              <w:t>①具有独立承担民事责任的能力；</w:t>
            </w:r>
          </w:p>
          <w:p w14:paraId="3CE315B9">
            <w:pPr>
              <w:pStyle w:val="14"/>
              <w:spacing w:line="276" w:lineRule="auto"/>
              <w:rPr>
                <w:rFonts w:hint="eastAsia"/>
                <w:color w:val="auto"/>
                <w:highlight w:val="none"/>
                <w:lang w:val="zh-CN"/>
              </w:rPr>
            </w:pPr>
            <w:r>
              <w:rPr>
                <w:rFonts w:hint="eastAsia"/>
                <w:color w:val="auto"/>
                <w:highlight w:val="none"/>
                <w:lang w:val="zh-CN"/>
              </w:rPr>
              <w:t>②具有良好的商业信誉和健全的财务会计制度；</w:t>
            </w:r>
          </w:p>
          <w:p w14:paraId="50D81A0F">
            <w:pPr>
              <w:pStyle w:val="14"/>
              <w:spacing w:line="276" w:lineRule="auto"/>
              <w:rPr>
                <w:rFonts w:hint="eastAsia"/>
                <w:color w:val="auto"/>
                <w:highlight w:val="none"/>
                <w:lang w:val="zh-CN"/>
              </w:rPr>
            </w:pPr>
            <w:r>
              <w:rPr>
                <w:rFonts w:hint="eastAsia"/>
                <w:color w:val="auto"/>
                <w:highlight w:val="none"/>
                <w:lang w:val="zh-CN"/>
              </w:rPr>
              <w:t>③有依法缴纳税收和社会保障资金的良好记录；</w:t>
            </w:r>
          </w:p>
          <w:p w14:paraId="40B1C590">
            <w:pPr>
              <w:pStyle w:val="14"/>
              <w:spacing w:line="276" w:lineRule="auto"/>
              <w:rPr>
                <w:rFonts w:hint="eastAsia"/>
                <w:color w:val="auto"/>
                <w:highlight w:val="none"/>
                <w:lang w:val="zh-CN"/>
              </w:rPr>
            </w:pPr>
            <w:r>
              <w:rPr>
                <w:rFonts w:hint="eastAsia"/>
                <w:color w:val="auto"/>
                <w:highlight w:val="none"/>
                <w:lang w:val="zh-CN"/>
              </w:rPr>
              <w:t>④具有履行合同所必需的设备和专业技术能力；</w:t>
            </w:r>
          </w:p>
          <w:p w14:paraId="145F9D1A">
            <w:pPr>
              <w:pStyle w:val="14"/>
              <w:spacing w:line="276" w:lineRule="auto"/>
              <w:rPr>
                <w:rFonts w:hint="eastAsia"/>
                <w:color w:val="auto"/>
                <w:highlight w:val="none"/>
                <w:lang w:val="zh-CN"/>
              </w:rPr>
            </w:pPr>
            <w:r>
              <w:rPr>
                <w:rFonts w:hint="eastAsia"/>
                <w:color w:val="auto"/>
                <w:highlight w:val="none"/>
                <w:lang w:val="zh-CN"/>
              </w:rPr>
              <w:t>⑤</w:t>
            </w:r>
            <w:r>
              <w:rPr>
                <w:rFonts w:hint="eastAsia"/>
                <w:color w:val="auto"/>
                <w:highlight w:val="none"/>
                <w:lang w:val="en-US" w:eastAsia="zh-CN"/>
              </w:rPr>
              <w:t>不</w:t>
            </w:r>
            <w:r>
              <w:rPr>
                <w:rFonts w:hint="eastAsia"/>
                <w:color w:val="auto"/>
                <w:highlight w:val="none"/>
                <w:lang w:val="zh-CN"/>
              </w:rPr>
              <w:t>接受联合体，不接受中标后分包；</w:t>
            </w:r>
          </w:p>
          <w:p w14:paraId="28A78374">
            <w:pPr>
              <w:pStyle w:val="14"/>
              <w:spacing w:line="276" w:lineRule="auto"/>
              <w:rPr>
                <w:rFonts w:hint="default"/>
                <w:color w:val="auto"/>
                <w:highlight w:val="none"/>
                <w:lang w:val="en-US"/>
              </w:rPr>
            </w:pPr>
            <w:r>
              <w:rPr>
                <w:rFonts w:hint="eastAsia"/>
                <w:color w:val="auto"/>
                <w:highlight w:val="none"/>
                <w:lang w:val="zh-CN"/>
              </w:rPr>
              <w:t>⑥良</w:t>
            </w:r>
            <w:r>
              <w:rPr>
                <w:rFonts w:hint="eastAsia" w:ascii="宋体" w:hAnsi="Times New Roman" w:eastAsia="宋体" w:cs="Times New Roman"/>
                <w:color w:val="auto"/>
                <w:highlight w:val="none"/>
                <w:lang w:val="zh-CN"/>
              </w:rPr>
              <w:t>好的信用记录。</w:t>
            </w:r>
          </w:p>
        </w:tc>
      </w:tr>
      <w:tr w14:paraId="53FA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3" w:type="dxa"/>
            <w:vMerge w:val="continue"/>
            <w:noWrap w:val="0"/>
            <w:vAlign w:val="center"/>
          </w:tcPr>
          <w:p w14:paraId="33267F53">
            <w:pPr>
              <w:snapToGrid w:val="0"/>
              <w:spacing w:line="400" w:lineRule="exact"/>
              <w:rPr>
                <w:color w:val="auto"/>
                <w:highlight w:val="none"/>
              </w:rPr>
            </w:pPr>
          </w:p>
        </w:tc>
        <w:tc>
          <w:tcPr>
            <w:tcW w:w="516" w:type="dxa"/>
            <w:vMerge w:val="continue"/>
            <w:noWrap w:val="0"/>
            <w:vAlign w:val="top"/>
          </w:tcPr>
          <w:p w14:paraId="473ECC20">
            <w:pPr>
              <w:snapToGrid w:val="0"/>
              <w:spacing w:line="400" w:lineRule="exact"/>
              <w:rPr>
                <w:color w:val="auto"/>
                <w:highlight w:val="none"/>
              </w:rPr>
            </w:pPr>
          </w:p>
        </w:tc>
        <w:tc>
          <w:tcPr>
            <w:tcW w:w="7682" w:type="dxa"/>
            <w:gridSpan w:val="3"/>
            <w:noWrap w:val="0"/>
            <w:vAlign w:val="top"/>
          </w:tcPr>
          <w:p w14:paraId="1E43405A">
            <w:pPr>
              <w:pStyle w:val="14"/>
              <w:rPr>
                <w:rFonts w:hint="eastAsia" w:hAnsi="宋体" w:cs="宋体"/>
                <w:bCs/>
                <w:color w:val="auto"/>
                <w:kern w:val="2"/>
                <w:szCs w:val="24"/>
                <w:highlight w:val="none"/>
              </w:rPr>
            </w:pPr>
            <w:r>
              <w:rPr>
                <w:rFonts w:hint="eastAsia"/>
                <w:color w:val="auto"/>
                <w:highlight w:val="none"/>
              </w:rPr>
              <w:t>2.2</w:t>
            </w:r>
            <w:r>
              <w:rPr>
                <w:rFonts w:hint="eastAsia"/>
                <w:color w:val="auto"/>
                <w:highlight w:val="none"/>
                <w:lang w:val="zh-CN"/>
              </w:rPr>
              <w:t>投标保证金：</w:t>
            </w:r>
            <w:r>
              <w:rPr>
                <w:rFonts w:hint="eastAsia" w:hAnsi="宋体" w:cs="宋体"/>
                <w:color w:val="auto"/>
                <w:szCs w:val="24"/>
                <w:highlight w:val="none"/>
              </w:rPr>
              <w:t>采购人根据项目的实际情况，要求投标人在202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10</w:t>
            </w:r>
            <w:r>
              <w:rPr>
                <w:rFonts w:hint="eastAsia" w:hAnsi="宋体" w:cs="宋体"/>
                <w:color w:val="auto"/>
                <w:szCs w:val="24"/>
                <w:highlight w:val="none"/>
              </w:rPr>
              <w:t>月</w:t>
            </w:r>
            <w:r>
              <w:rPr>
                <w:rFonts w:hint="eastAsia" w:hAnsi="宋体" w:cs="宋体"/>
                <w:color w:val="auto"/>
                <w:szCs w:val="24"/>
                <w:highlight w:val="none"/>
                <w:lang w:val="en-US" w:eastAsia="zh-CN"/>
              </w:rPr>
              <w:t>30</w:t>
            </w:r>
            <w:r>
              <w:rPr>
                <w:rFonts w:hint="eastAsia" w:hAnsi="宋体" w:cs="宋体"/>
                <w:color w:val="auto"/>
                <w:szCs w:val="24"/>
                <w:highlight w:val="none"/>
              </w:rPr>
              <w:t>日</w:t>
            </w:r>
            <w:r>
              <w:rPr>
                <w:rFonts w:hint="eastAsia" w:hAnsi="宋体" w:cs="宋体"/>
                <w:color w:val="auto"/>
                <w:szCs w:val="24"/>
                <w:highlight w:val="none"/>
                <w:lang w:val="en-US" w:eastAsia="zh-CN"/>
              </w:rPr>
              <w:t>下午5:00</w:t>
            </w:r>
            <w:r>
              <w:rPr>
                <w:rFonts w:hint="eastAsia" w:hAnsi="宋体" w:cs="宋体"/>
                <w:color w:val="auto"/>
                <w:szCs w:val="24"/>
                <w:highlight w:val="none"/>
              </w:rPr>
              <w:t>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11</w:t>
            </w:r>
            <w:r>
              <w:rPr>
                <w:rFonts w:hint="eastAsia" w:hAnsi="宋体" w:cs="宋体"/>
                <w:color w:val="auto"/>
                <w:szCs w:val="24"/>
                <w:highlight w:val="none"/>
              </w:rPr>
              <w:t>月</w:t>
            </w:r>
            <w:r>
              <w:rPr>
                <w:rFonts w:hint="eastAsia" w:hAnsi="宋体" w:cs="宋体"/>
                <w:color w:val="auto"/>
                <w:szCs w:val="24"/>
                <w:highlight w:val="none"/>
                <w:lang w:val="en-US" w:eastAsia="zh-CN"/>
              </w:rPr>
              <w:t>6</w:t>
            </w:r>
            <w:r>
              <w:rPr>
                <w:rFonts w:hint="eastAsia" w:hAnsi="宋体" w:cs="宋体"/>
                <w:color w:val="auto"/>
                <w:szCs w:val="24"/>
                <w:highlight w:val="none"/>
              </w:rPr>
              <w:t>日</w:t>
            </w:r>
            <w:r>
              <w:rPr>
                <w:rFonts w:hint="eastAsia" w:hAnsi="宋体" w:cs="宋体"/>
                <w:color w:val="auto"/>
                <w:szCs w:val="24"/>
                <w:highlight w:val="none"/>
                <w:lang w:val="en-US" w:eastAsia="zh-CN"/>
              </w:rPr>
              <w:t>下</w:t>
            </w:r>
            <w:r>
              <w:rPr>
                <w:rFonts w:hint="eastAsia" w:hAnsi="宋体" w:cs="宋体"/>
                <w:color w:val="auto"/>
                <w:szCs w:val="24"/>
                <w:highlight w:val="none"/>
              </w:rPr>
              <w:t>午</w:t>
            </w:r>
            <w:r>
              <w:rPr>
                <w:rFonts w:hint="eastAsia" w:hAnsi="宋体" w:cs="宋体"/>
                <w:color w:val="auto"/>
                <w:szCs w:val="24"/>
                <w:highlight w:val="none"/>
                <w:lang w:val="en-US" w:eastAsia="zh-CN"/>
              </w:rPr>
              <w:t>13:50</w:t>
            </w:r>
            <w:r>
              <w:rPr>
                <w:rFonts w:hint="eastAsia" w:hAnsi="宋体" w:cs="宋体"/>
                <w:color w:val="auto"/>
                <w:szCs w:val="24"/>
                <w:highlight w:val="none"/>
              </w:rPr>
              <w:t>前须交纳投标保证</w:t>
            </w:r>
            <w:r>
              <w:rPr>
                <w:rFonts w:hint="eastAsia" w:hAnsi="宋体" w:cs="宋体"/>
                <w:color w:val="auto"/>
                <w:szCs w:val="24"/>
                <w:highlight w:val="none"/>
                <w:lang w:val="en-US" w:eastAsia="zh-CN"/>
              </w:rPr>
              <w:t>金</w:t>
            </w:r>
            <w:r>
              <w:rPr>
                <w:rFonts w:hint="eastAsia" w:hAnsi="宋体" w:cs="宋体"/>
                <w:b/>
                <w:bCs/>
                <w:color w:val="auto"/>
                <w:szCs w:val="24"/>
                <w:highlight w:val="none"/>
                <w:lang w:val="en-US" w:eastAsia="zh-CN"/>
              </w:rPr>
              <w:t>肆仟</w:t>
            </w:r>
            <w:r>
              <w:rPr>
                <w:rFonts w:hint="eastAsia" w:hAnsi="宋体" w:cs="宋体"/>
                <w:b/>
                <w:bCs/>
                <w:color w:val="auto"/>
                <w:szCs w:val="24"/>
                <w:highlight w:val="none"/>
              </w:rPr>
              <w:t>元</w:t>
            </w:r>
            <w:r>
              <w:rPr>
                <w:rFonts w:hint="eastAsia" w:hAnsi="宋体" w:cs="宋体"/>
                <w:color w:val="auto"/>
                <w:szCs w:val="24"/>
                <w:highlight w:val="none"/>
              </w:rPr>
              <w:t>人民币。交纳投标保证金的单位名称必须与参加投标的投标人名称一致</w:t>
            </w:r>
            <w:r>
              <w:rPr>
                <w:rFonts w:hint="eastAsia" w:hAnsi="宋体" w:cs="宋体"/>
                <w:bCs/>
                <w:color w:val="auto"/>
                <w:kern w:val="2"/>
                <w:szCs w:val="24"/>
                <w:highlight w:val="none"/>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2806"/>
              <w:gridCol w:w="767"/>
              <w:gridCol w:w="2221"/>
            </w:tblGrid>
            <w:tr w14:paraId="2219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1544" w:type="dxa"/>
                  <w:noWrap w:val="0"/>
                  <w:vAlign w:val="center"/>
                </w:tcPr>
                <w:p w14:paraId="67A05E2E">
                  <w:pPr>
                    <w:jc w:val="center"/>
                    <w:rPr>
                      <w:rFonts w:hAnsi="宋体"/>
                      <w:bCs/>
                      <w:color w:val="auto"/>
                      <w:sz w:val="21"/>
                      <w:szCs w:val="21"/>
                      <w:highlight w:val="none"/>
                      <w:lang w:val="zh-CN"/>
                    </w:rPr>
                  </w:pPr>
                  <w:r>
                    <w:rPr>
                      <w:rFonts w:hint="eastAsia"/>
                      <w:color w:val="auto"/>
                      <w:sz w:val="21"/>
                      <w:szCs w:val="21"/>
                      <w:highlight w:val="none"/>
                    </w:rPr>
                    <w:t>交纳投标保证金账户名称</w:t>
                  </w:r>
                </w:p>
              </w:tc>
              <w:tc>
                <w:tcPr>
                  <w:tcW w:w="2806" w:type="dxa"/>
                  <w:noWrap w:val="0"/>
                  <w:vAlign w:val="center"/>
                </w:tcPr>
                <w:p w14:paraId="10BE3B91">
                  <w:pPr>
                    <w:jc w:val="center"/>
                    <w:rPr>
                      <w:rFonts w:hint="eastAsia" w:hAnsi="宋体" w:eastAsia="宋体"/>
                      <w:bCs/>
                      <w:color w:val="auto"/>
                      <w:sz w:val="21"/>
                      <w:szCs w:val="21"/>
                      <w:highlight w:val="none"/>
                      <w:lang w:val="zh-CN" w:eastAsia="zh-CN"/>
                    </w:rPr>
                  </w:pPr>
                  <w:r>
                    <w:rPr>
                      <w:rFonts w:hint="eastAsia"/>
                      <w:color w:val="auto"/>
                      <w:sz w:val="21"/>
                      <w:szCs w:val="21"/>
                      <w:highlight w:val="none"/>
                      <w:lang w:eastAsia="zh-CN"/>
                    </w:rPr>
                    <w:t>宜兴市公用环保集团有限公司</w:t>
                  </w:r>
                </w:p>
              </w:tc>
              <w:tc>
                <w:tcPr>
                  <w:tcW w:w="767" w:type="dxa"/>
                  <w:vMerge w:val="restart"/>
                  <w:noWrap w:val="0"/>
                  <w:vAlign w:val="center"/>
                </w:tcPr>
                <w:p w14:paraId="3D06C2A4">
                  <w:pPr>
                    <w:jc w:val="center"/>
                    <w:rPr>
                      <w:rFonts w:hAnsi="宋体"/>
                      <w:bCs/>
                      <w:color w:val="auto"/>
                      <w:sz w:val="21"/>
                      <w:szCs w:val="21"/>
                      <w:highlight w:val="none"/>
                      <w:lang w:val="zh-CN"/>
                    </w:rPr>
                  </w:pPr>
                  <w:r>
                    <w:rPr>
                      <w:rFonts w:hint="eastAsia" w:hAnsi="宋体"/>
                      <w:bCs/>
                      <w:color w:val="auto"/>
                      <w:sz w:val="21"/>
                      <w:szCs w:val="21"/>
                      <w:highlight w:val="none"/>
                      <w:lang w:val="zh-CN"/>
                    </w:rPr>
                    <w:t>交纳</w:t>
                  </w:r>
                </w:p>
                <w:p w14:paraId="7F71F99D">
                  <w:pPr>
                    <w:jc w:val="center"/>
                    <w:rPr>
                      <w:rFonts w:hAnsi="宋体"/>
                      <w:bCs/>
                      <w:color w:val="auto"/>
                      <w:sz w:val="21"/>
                      <w:szCs w:val="21"/>
                      <w:highlight w:val="none"/>
                      <w:lang w:val="zh-CN"/>
                    </w:rPr>
                  </w:pPr>
                  <w:r>
                    <w:rPr>
                      <w:rFonts w:hint="eastAsia" w:hAnsi="宋体"/>
                      <w:bCs/>
                      <w:color w:val="auto"/>
                      <w:sz w:val="21"/>
                      <w:szCs w:val="21"/>
                      <w:highlight w:val="none"/>
                      <w:lang w:val="zh-CN"/>
                    </w:rPr>
                    <w:t>形式</w:t>
                  </w:r>
                </w:p>
              </w:tc>
              <w:tc>
                <w:tcPr>
                  <w:tcW w:w="2221" w:type="dxa"/>
                  <w:vMerge w:val="restart"/>
                  <w:noWrap w:val="0"/>
                  <w:vAlign w:val="center"/>
                </w:tcPr>
                <w:p w14:paraId="0010AC15">
                  <w:pPr>
                    <w:jc w:val="center"/>
                    <w:rPr>
                      <w:rFonts w:hAnsi="宋体"/>
                      <w:bCs/>
                      <w:color w:val="auto"/>
                      <w:sz w:val="21"/>
                      <w:szCs w:val="21"/>
                      <w:highlight w:val="none"/>
                      <w:lang w:val="zh-CN"/>
                    </w:rPr>
                  </w:pPr>
                  <w:r>
                    <w:rPr>
                      <w:rFonts w:hint="eastAsia"/>
                      <w:color w:val="auto"/>
                      <w:sz w:val="21"/>
                      <w:szCs w:val="21"/>
                      <w:highlight w:val="none"/>
                    </w:rPr>
                    <w:t>投标保证金的交纳形式限于转账（不接受其他形式的投标保证金）</w:t>
                  </w:r>
                </w:p>
              </w:tc>
            </w:tr>
            <w:tr w14:paraId="018B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44" w:type="dxa"/>
                  <w:noWrap w:val="0"/>
                  <w:vAlign w:val="center"/>
                </w:tcPr>
                <w:p w14:paraId="405AB69E">
                  <w:pPr>
                    <w:jc w:val="center"/>
                    <w:rPr>
                      <w:color w:val="auto"/>
                      <w:sz w:val="21"/>
                      <w:szCs w:val="21"/>
                      <w:highlight w:val="none"/>
                    </w:rPr>
                  </w:pPr>
                  <w:r>
                    <w:rPr>
                      <w:rFonts w:hint="eastAsia" w:hAnsi="宋体"/>
                      <w:bCs/>
                      <w:color w:val="auto"/>
                      <w:sz w:val="21"/>
                      <w:szCs w:val="21"/>
                      <w:highlight w:val="none"/>
                      <w:lang w:val="zh-CN"/>
                    </w:rPr>
                    <w:t>开户银行</w:t>
                  </w:r>
                </w:p>
              </w:tc>
              <w:tc>
                <w:tcPr>
                  <w:tcW w:w="2806" w:type="dxa"/>
                  <w:noWrap w:val="0"/>
                  <w:vAlign w:val="center"/>
                </w:tcPr>
                <w:p w14:paraId="617D3AF6">
                  <w:pPr>
                    <w:jc w:val="center"/>
                    <w:rPr>
                      <w:rFonts w:ascii="宋体" w:hAnsi="宋体"/>
                      <w:bCs/>
                      <w:color w:val="auto"/>
                      <w:sz w:val="21"/>
                      <w:szCs w:val="21"/>
                      <w:highlight w:val="none"/>
                    </w:rPr>
                  </w:pPr>
                  <w:r>
                    <w:rPr>
                      <w:rFonts w:hint="eastAsia"/>
                      <w:color w:val="auto"/>
                      <w:sz w:val="21"/>
                      <w:szCs w:val="21"/>
                      <w:highlight w:val="none"/>
                    </w:rPr>
                    <w:t>光大银行宜兴支行</w:t>
                  </w:r>
                </w:p>
              </w:tc>
              <w:tc>
                <w:tcPr>
                  <w:tcW w:w="767" w:type="dxa"/>
                  <w:vMerge w:val="continue"/>
                  <w:noWrap w:val="0"/>
                  <w:vAlign w:val="center"/>
                </w:tcPr>
                <w:p w14:paraId="42828153">
                  <w:pPr>
                    <w:jc w:val="center"/>
                    <w:rPr>
                      <w:rFonts w:hAnsi="宋体"/>
                      <w:bCs/>
                      <w:color w:val="auto"/>
                      <w:sz w:val="21"/>
                      <w:szCs w:val="21"/>
                      <w:highlight w:val="none"/>
                      <w:lang w:val="zh-CN"/>
                    </w:rPr>
                  </w:pPr>
                </w:p>
              </w:tc>
              <w:tc>
                <w:tcPr>
                  <w:tcW w:w="2221" w:type="dxa"/>
                  <w:vMerge w:val="continue"/>
                  <w:noWrap w:val="0"/>
                  <w:vAlign w:val="center"/>
                </w:tcPr>
                <w:p w14:paraId="657F5EDA">
                  <w:pPr>
                    <w:jc w:val="center"/>
                    <w:rPr>
                      <w:color w:val="auto"/>
                      <w:sz w:val="21"/>
                      <w:szCs w:val="21"/>
                      <w:highlight w:val="none"/>
                    </w:rPr>
                  </w:pPr>
                </w:p>
              </w:tc>
            </w:tr>
            <w:tr w14:paraId="18BE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44" w:type="dxa"/>
                  <w:noWrap w:val="0"/>
                  <w:vAlign w:val="center"/>
                </w:tcPr>
                <w:p w14:paraId="29EA26D9">
                  <w:pPr>
                    <w:jc w:val="center"/>
                    <w:rPr>
                      <w:color w:val="auto"/>
                      <w:sz w:val="21"/>
                      <w:szCs w:val="21"/>
                      <w:highlight w:val="none"/>
                    </w:rPr>
                  </w:pPr>
                  <w:r>
                    <w:rPr>
                      <w:rFonts w:hint="eastAsia" w:hAnsi="宋体"/>
                      <w:bCs/>
                      <w:color w:val="auto"/>
                      <w:sz w:val="21"/>
                      <w:szCs w:val="21"/>
                      <w:highlight w:val="none"/>
                      <w:lang w:val="zh-CN"/>
                    </w:rPr>
                    <w:t>账号</w:t>
                  </w:r>
                </w:p>
              </w:tc>
              <w:tc>
                <w:tcPr>
                  <w:tcW w:w="2806" w:type="dxa"/>
                  <w:noWrap w:val="0"/>
                  <w:vAlign w:val="center"/>
                </w:tcPr>
                <w:p w14:paraId="1BCAA22F">
                  <w:pPr>
                    <w:jc w:val="center"/>
                    <w:rPr>
                      <w:rFonts w:hint="default" w:ascii="宋体" w:hAnsi="宋体" w:eastAsia="宋体"/>
                      <w:bCs/>
                      <w:color w:val="auto"/>
                      <w:sz w:val="21"/>
                      <w:szCs w:val="21"/>
                      <w:highlight w:val="none"/>
                      <w:lang w:val="en-US" w:eastAsia="zh-CN"/>
                    </w:rPr>
                  </w:pPr>
                  <w:r>
                    <w:rPr>
                      <w:rFonts w:hint="default" w:ascii="宋体" w:hAnsi="宋体" w:eastAsia="宋体"/>
                      <w:bCs/>
                      <w:color w:val="auto"/>
                      <w:sz w:val="21"/>
                      <w:szCs w:val="21"/>
                      <w:highlight w:val="none"/>
                      <w:lang w:val="en-US" w:eastAsia="zh-CN"/>
                    </w:rPr>
                    <w:t>51610188000317243</w:t>
                  </w:r>
                </w:p>
              </w:tc>
              <w:tc>
                <w:tcPr>
                  <w:tcW w:w="767" w:type="dxa"/>
                  <w:vMerge w:val="continue"/>
                  <w:noWrap w:val="0"/>
                  <w:vAlign w:val="center"/>
                </w:tcPr>
                <w:p w14:paraId="08A368EA">
                  <w:pPr>
                    <w:jc w:val="center"/>
                    <w:rPr>
                      <w:rFonts w:hAnsi="宋体"/>
                      <w:bCs/>
                      <w:color w:val="auto"/>
                      <w:sz w:val="21"/>
                      <w:szCs w:val="21"/>
                      <w:highlight w:val="none"/>
                      <w:lang w:val="zh-CN"/>
                    </w:rPr>
                  </w:pPr>
                </w:p>
              </w:tc>
              <w:tc>
                <w:tcPr>
                  <w:tcW w:w="2221" w:type="dxa"/>
                  <w:vMerge w:val="continue"/>
                  <w:noWrap w:val="0"/>
                  <w:vAlign w:val="center"/>
                </w:tcPr>
                <w:p w14:paraId="3F87C0DB">
                  <w:pPr>
                    <w:jc w:val="center"/>
                    <w:rPr>
                      <w:color w:val="auto"/>
                      <w:sz w:val="21"/>
                      <w:szCs w:val="21"/>
                      <w:highlight w:val="none"/>
                    </w:rPr>
                  </w:pPr>
                </w:p>
              </w:tc>
            </w:tr>
          </w:tbl>
          <w:p w14:paraId="75BA8FC3">
            <w:pPr>
              <w:snapToGrid w:val="0"/>
              <w:spacing w:line="240" w:lineRule="auto"/>
              <w:rPr>
                <w:rFonts w:hint="eastAsia" w:ascii="宋体"/>
                <w:color w:val="auto"/>
                <w:kern w:val="0"/>
                <w:sz w:val="24"/>
                <w:highlight w:val="none"/>
                <w:u w:val="none" w:color="000000"/>
                <w:lang w:val="zh-CN"/>
              </w:rPr>
            </w:pPr>
            <w:r>
              <w:rPr>
                <w:rFonts w:hint="eastAsia"/>
                <w:b/>
                <w:bCs/>
                <w:color w:val="auto"/>
                <w:szCs w:val="21"/>
                <w:highlight w:val="none"/>
              </w:rPr>
              <w:t>注：投标人必须在开标前</w:t>
            </w:r>
            <w:r>
              <w:rPr>
                <w:rFonts w:hint="eastAsia"/>
                <w:b/>
                <w:bCs/>
                <w:color w:val="auto"/>
                <w:szCs w:val="21"/>
                <w:highlight w:val="none"/>
                <w:lang w:val="en-US" w:eastAsia="zh-CN"/>
              </w:rPr>
              <w:t>10分钟</w:t>
            </w:r>
            <w:r>
              <w:rPr>
                <w:rFonts w:hint="eastAsia"/>
                <w:b/>
                <w:bCs/>
                <w:color w:val="auto"/>
                <w:szCs w:val="21"/>
                <w:highlight w:val="none"/>
              </w:rPr>
              <w:t>将保证金汇入以上账户，否则作废标处理, 缴纳投标保证金账户为涉密账户，账号随机，请投标单位仔细核对账号后缴纳投标保证金。</w:t>
            </w:r>
          </w:p>
        </w:tc>
      </w:tr>
      <w:tr w14:paraId="39C7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3" w:type="dxa"/>
            <w:vMerge w:val="continue"/>
            <w:noWrap w:val="0"/>
            <w:vAlign w:val="center"/>
          </w:tcPr>
          <w:p w14:paraId="6CC96384">
            <w:pPr>
              <w:snapToGrid w:val="0"/>
              <w:spacing w:line="400" w:lineRule="exact"/>
              <w:rPr>
                <w:color w:val="auto"/>
                <w:highlight w:val="none"/>
              </w:rPr>
            </w:pPr>
          </w:p>
        </w:tc>
        <w:tc>
          <w:tcPr>
            <w:tcW w:w="516" w:type="dxa"/>
            <w:vMerge w:val="continue"/>
            <w:noWrap w:val="0"/>
            <w:vAlign w:val="top"/>
          </w:tcPr>
          <w:p w14:paraId="76F4BFD3">
            <w:pPr>
              <w:snapToGrid w:val="0"/>
              <w:spacing w:line="400" w:lineRule="exact"/>
              <w:rPr>
                <w:rFonts w:hint="eastAsia" w:ascii="宋体" w:hAnsi="宋体" w:cs="宋体"/>
                <w:bCs/>
                <w:color w:val="auto"/>
                <w:sz w:val="24"/>
                <w:szCs w:val="21"/>
                <w:highlight w:val="none"/>
              </w:rPr>
            </w:pPr>
          </w:p>
        </w:tc>
        <w:tc>
          <w:tcPr>
            <w:tcW w:w="7682" w:type="dxa"/>
            <w:gridSpan w:val="3"/>
            <w:noWrap w:val="0"/>
            <w:vAlign w:val="top"/>
          </w:tcPr>
          <w:p w14:paraId="6CE32FC2">
            <w:pPr>
              <w:pStyle w:val="14"/>
              <w:spacing w:line="276" w:lineRule="auto"/>
              <w:rPr>
                <w:rFonts w:hint="eastAsia"/>
                <w:color w:val="auto"/>
                <w:highlight w:val="none"/>
                <w:lang w:val="zh-CN"/>
              </w:rPr>
            </w:pPr>
            <w:r>
              <w:rPr>
                <w:rFonts w:hint="eastAsia"/>
                <w:color w:val="auto"/>
                <w:highlight w:val="none"/>
                <w:lang w:val="zh-CN"/>
              </w:rPr>
              <w:t>2.3拒绝下述供应商参加本次采购活动：</w:t>
            </w:r>
          </w:p>
          <w:p w14:paraId="4923C101">
            <w:pPr>
              <w:pStyle w:val="14"/>
              <w:spacing w:line="276" w:lineRule="auto"/>
              <w:rPr>
                <w:rFonts w:hint="eastAsia"/>
                <w:color w:val="auto"/>
                <w:highlight w:val="none"/>
                <w:lang w:val="zh-CN"/>
              </w:rPr>
            </w:pPr>
            <w:r>
              <w:rPr>
                <w:rFonts w:hint="eastAsia"/>
                <w:color w:val="auto"/>
                <w:highlight w:val="none"/>
                <w:lang w:val="zh-CN"/>
              </w:rPr>
              <w:t>①供应商单位负责人为同一人或者存在直接控股、管理关系的不同供应商，不得参加同一合同项下的采购活动，否则相关投标将被认定为无效投标；</w:t>
            </w:r>
          </w:p>
          <w:p w14:paraId="058B25C0">
            <w:pPr>
              <w:pStyle w:val="14"/>
              <w:spacing w:line="276" w:lineRule="auto"/>
              <w:rPr>
                <w:rFonts w:hint="eastAsia" w:ascii="宋体"/>
                <w:color w:val="auto"/>
                <w:kern w:val="0"/>
                <w:sz w:val="24"/>
                <w:highlight w:val="none"/>
                <w:u w:val="none" w:color="000000"/>
                <w:lang w:val="zh-CN"/>
              </w:rPr>
            </w:pPr>
            <w:r>
              <w:rPr>
                <w:rFonts w:hint="eastAsia"/>
                <w:color w:val="auto"/>
                <w:highlight w:val="none"/>
                <w:lang w:val="zh-CN"/>
              </w:rPr>
              <w:t>②凡为采购项目提供整体设计、规范编制或者项目管理、监理、检测等服务的供应商，不得再参加本项目的采购活动，否则其投标将被认定为无效投标。</w:t>
            </w:r>
          </w:p>
        </w:tc>
      </w:tr>
      <w:bookmarkEnd w:id="5"/>
      <w:tr w14:paraId="3955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noWrap w:val="0"/>
            <w:vAlign w:val="center"/>
          </w:tcPr>
          <w:p w14:paraId="14EB1D42">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3</w:t>
            </w:r>
          </w:p>
        </w:tc>
        <w:tc>
          <w:tcPr>
            <w:tcW w:w="8198" w:type="dxa"/>
            <w:gridSpan w:val="4"/>
            <w:noWrap w:val="0"/>
            <w:vAlign w:val="top"/>
          </w:tcPr>
          <w:p w14:paraId="32646FD8">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6CE28ED5">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4A454F71">
            <w:pPr>
              <w:snapToGrid w:val="0"/>
              <w:spacing w:line="400" w:lineRule="exact"/>
              <w:rPr>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1F68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3" w:type="dxa"/>
            <w:noWrap w:val="0"/>
            <w:vAlign w:val="center"/>
          </w:tcPr>
          <w:p w14:paraId="581C455C">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4</w:t>
            </w:r>
          </w:p>
        </w:tc>
        <w:tc>
          <w:tcPr>
            <w:tcW w:w="8198" w:type="dxa"/>
            <w:gridSpan w:val="4"/>
            <w:noWrap w:val="0"/>
            <w:vAlign w:val="top"/>
          </w:tcPr>
          <w:p w14:paraId="37EEA1CB">
            <w:pPr>
              <w:snapToGrid w:val="0"/>
              <w:spacing w:line="40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：202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11</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6</w:t>
            </w:r>
            <w:r>
              <w:rPr>
                <w:rFonts w:hint="eastAsia" w:ascii="宋体" w:hAnsi="宋体"/>
                <w:bCs/>
                <w:color w:val="auto"/>
                <w:sz w:val="24"/>
                <w:szCs w:val="24"/>
                <w:highlight w:val="none"/>
              </w:rPr>
              <w:t>日</w:t>
            </w:r>
            <w:r>
              <w:rPr>
                <w:rFonts w:hint="eastAsia" w:ascii="宋体" w:hAnsi="宋体"/>
                <w:bCs/>
                <w:color w:val="auto"/>
                <w:sz w:val="24"/>
                <w:szCs w:val="24"/>
                <w:highlight w:val="none"/>
                <w:lang w:val="en-US" w:eastAsia="zh-CN"/>
              </w:rPr>
              <w:t>下午14:00</w:t>
            </w:r>
          </w:p>
          <w:p w14:paraId="43108EC0">
            <w:pPr>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定标时间：评标结束后</w:t>
            </w:r>
          </w:p>
          <w:p w14:paraId="6849001A">
            <w:pPr>
              <w:snapToGrid w:val="0"/>
              <w:spacing w:line="400" w:lineRule="exact"/>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投标地点及开标地点：宜兴市</w:t>
            </w:r>
            <w:r>
              <w:rPr>
                <w:rFonts w:hint="eastAsia" w:ascii="宋体" w:hAnsi="宋体"/>
                <w:bCs/>
                <w:color w:val="auto"/>
                <w:sz w:val="24"/>
                <w:szCs w:val="24"/>
                <w:highlight w:val="none"/>
                <w:lang w:val="en-US" w:eastAsia="zh-CN"/>
              </w:rPr>
              <w:t>公用</w:t>
            </w:r>
            <w:r>
              <w:rPr>
                <w:rFonts w:hint="eastAsia" w:ascii="宋体" w:hAnsi="宋体"/>
                <w:bCs/>
                <w:color w:val="auto"/>
                <w:sz w:val="24"/>
                <w:szCs w:val="24"/>
                <w:highlight w:val="none"/>
                <w:lang w:val="zh-CN"/>
              </w:rPr>
              <w:t>环保集团有限公司二楼开标室</w:t>
            </w:r>
          </w:p>
        </w:tc>
      </w:tr>
      <w:tr w14:paraId="2C6E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33" w:type="dxa"/>
            <w:vMerge w:val="restart"/>
            <w:noWrap w:val="0"/>
            <w:vAlign w:val="center"/>
          </w:tcPr>
          <w:p w14:paraId="442D53ED">
            <w:pPr>
              <w:snapToGrid w:val="0"/>
              <w:spacing w:line="400" w:lineRule="exact"/>
              <w:jc w:val="center"/>
              <w:rPr>
                <w:rFonts w:hint="eastAsia" w:ascii="宋体" w:hAnsi="宋体"/>
                <w:bCs/>
                <w:color w:val="auto"/>
                <w:sz w:val="24"/>
                <w:szCs w:val="24"/>
                <w:highlight w:val="none"/>
              </w:rPr>
            </w:pPr>
            <w:bookmarkStart w:id="7" w:name="OLE_LINK84" w:colFirst="1" w:colLast="2"/>
            <w:r>
              <w:rPr>
                <w:rFonts w:hint="eastAsia" w:ascii="宋体" w:hAnsi="宋体"/>
                <w:bCs/>
                <w:color w:val="auto"/>
                <w:sz w:val="24"/>
                <w:szCs w:val="24"/>
                <w:highlight w:val="none"/>
              </w:rPr>
              <w:t>6</w:t>
            </w:r>
          </w:p>
        </w:tc>
        <w:tc>
          <w:tcPr>
            <w:tcW w:w="645" w:type="dxa"/>
            <w:gridSpan w:val="2"/>
            <w:vMerge w:val="restart"/>
            <w:noWrap w:val="0"/>
            <w:vAlign w:val="center"/>
          </w:tcPr>
          <w:p w14:paraId="5AB5EEC9">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5C33A6D0">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采购人</w:t>
            </w:r>
          </w:p>
        </w:tc>
        <w:tc>
          <w:tcPr>
            <w:tcW w:w="5768" w:type="dxa"/>
            <w:noWrap w:val="0"/>
            <w:vAlign w:val="center"/>
          </w:tcPr>
          <w:p w14:paraId="0A461FAE">
            <w:pPr>
              <w:snapToGrid w:val="0"/>
              <w:spacing w:line="40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宜兴市环保集团有限公司</w:t>
            </w:r>
          </w:p>
          <w:p w14:paraId="154C3AB0">
            <w:pPr>
              <w:jc w:val="left"/>
              <w:rPr>
                <w:rFonts w:hint="eastAsia" w:ascii="宋体" w:hAnsi="宋体"/>
                <w:color w:val="auto"/>
                <w:sz w:val="24"/>
                <w:szCs w:val="28"/>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lang w:val="en-US" w:eastAsia="zh-CN"/>
              </w:rPr>
              <w:t>蒋先生</w:t>
            </w:r>
          </w:p>
          <w:p w14:paraId="3DAF7B87">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color w:val="auto"/>
                <w:sz w:val="24"/>
                <w:szCs w:val="28"/>
                <w:highlight w:val="none"/>
                <w:lang w:val="en-US" w:eastAsia="zh-CN"/>
              </w:rPr>
              <w:t>0510-80702121</w:t>
            </w:r>
          </w:p>
          <w:p w14:paraId="555F1D6E">
            <w:pPr>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7E07B9B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47A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0C2CAD18">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2C190897">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29FA47C7">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p>
        </w:tc>
        <w:tc>
          <w:tcPr>
            <w:tcW w:w="5768" w:type="dxa"/>
            <w:noWrap w:val="0"/>
            <w:vAlign w:val="top"/>
          </w:tcPr>
          <w:p w14:paraId="4967AFED">
            <w:pPr>
              <w:jc w:val="lef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刘先生</w:t>
            </w:r>
          </w:p>
          <w:p w14:paraId="60158DCD">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w:t>
            </w:r>
            <w:r>
              <w:rPr>
                <w:rFonts w:hint="eastAsia" w:ascii="宋体" w:hAnsi="宋体"/>
                <w:bCs/>
                <w:color w:val="auto"/>
                <w:sz w:val="24"/>
                <w:szCs w:val="24"/>
                <w:highlight w:val="none"/>
                <w:lang w:val="en-US" w:eastAsia="zh-CN"/>
              </w:rPr>
              <w:t xml:space="preserve">18861558989 </w:t>
            </w:r>
          </w:p>
          <w:p w14:paraId="74CAF6FB">
            <w:pPr>
              <w:jc w:val="left"/>
              <w:rPr>
                <w:rFonts w:ascii="宋体" w:hAnsi="宋体"/>
                <w:bCs/>
                <w:color w:val="auto"/>
                <w:sz w:val="24"/>
                <w:szCs w:val="24"/>
                <w:highlight w:val="none"/>
              </w:rPr>
            </w:pPr>
            <w:r>
              <w:rPr>
                <w:rFonts w:hint="eastAsia" w:ascii="宋体" w:hAnsi="宋体"/>
                <w:bCs/>
                <w:color w:val="auto"/>
                <w:sz w:val="24"/>
                <w:szCs w:val="24"/>
                <w:highlight w:val="none"/>
              </w:rPr>
              <w:t>联系地址：宜兴市杏园路108号科创商务中心5号楼</w:t>
            </w:r>
          </w:p>
          <w:p w14:paraId="3610C417">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9F3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1A568C66">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363A0A07">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0237B0E7">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5768" w:type="dxa"/>
            <w:noWrap w:val="0"/>
            <w:vAlign w:val="top"/>
          </w:tcPr>
          <w:p w14:paraId="3EE44F30">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50DAD952">
            <w:pPr>
              <w:jc w:val="left"/>
              <w:rPr>
                <w:rFonts w:hint="eastAsia" w:ascii="宋体" w:hAnsi="宋体"/>
                <w:bCs/>
                <w:color w:val="auto"/>
                <w:sz w:val="24"/>
                <w:szCs w:val="24"/>
                <w:highlight w:val="none"/>
                <w:lang w:eastAsia="zh-CN"/>
              </w:rPr>
            </w:pPr>
            <w:r>
              <w:rPr>
                <w:rFonts w:hint="eastAsia" w:ascii="宋体" w:hAnsi="宋体"/>
                <w:bCs/>
                <w:color w:val="auto"/>
                <w:sz w:val="24"/>
                <w:szCs w:val="24"/>
                <w:highlight w:val="none"/>
                <w:lang w:eastAsia="zh-CN"/>
              </w:rPr>
              <w:t>宜兴市公用环保集团有限公司</w:t>
            </w:r>
          </w:p>
          <w:p w14:paraId="14DBA79A">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11C4DEBE">
            <w:pPr>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7"/>
    </w:tbl>
    <w:p w14:paraId="5CFAA7C1">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r>
        <w:rPr>
          <w:rFonts w:hint="eastAsia" w:ascii="黑体" w:hAnsi="黑体" w:eastAsia="黑体"/>
          <w:color w:val="auto"/>
          <w:sz w:val="28"/>
          <w:highlight w:val="none"/>
        </w:rPr>
        <w:t>第二章 投标人须知</w:t>
      </w:r>
      <w:bookmarkEnd w:id="2"/>
      <w:bookmarkEnd w:id="3"/>
    </w:p>
    <w:p w14:paraId="7AA2F1FA">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259E622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lang w:val="zh-CN"/>
        </w:rPr>
        <w:t>1、定义</w:t>
      </w:r>
    </w:p>
    <w:p w14:paraId="6BC357F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5422A00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招标文件中的“法定代表人”是指投标人的营业执照中的“法定代表人”、“执行事务合伙人”、“经营者”、“负责人”，若自然人投标即指自然人本人。</w:t>
      </w:r>
    </w:p>
    <w:p w14:paraId="4E2BD35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5AECA5A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“投标人名称（盖章）”、“投标</w:t>
      </w:r>
      <w:r>
        <w:rPr>
          <w:rFonts w:hint="eastAsia" w:ascii="宋体" w:hAnsi="宋体"/>
          <w:bCs/>
          <w:color w:val="auto"/>
          <w:sz w:val="24"/>
          <w:szCs w:val="24"/>
          <w:highlight w:val="none"/>
        </w:rPr>
        <w:t>人</w:t>
      </w:r>
      <w:r>
        <w:rPr>
          <w:rFonts w:hint="eastAsia" w:ascii="宋体" w:hAnsi="宋体"/>
          <w:bCs/>
          <w:color w:val="auto"/>
          <w:sz w:val="24"/>
          <w:szCs w:val="24"/>
          <w:highlight w:val="none"/>
          <w:lang w:val="zh-CN"/>
        </w:rPr>
        <w:t>（签章）”及“投标人公章”</w:t>
      </w:r>
      <w:r>
        <w:rPr>
          <w:rFonts w:hint="eastAsia" w:ascii="宋体" w:hAnsi="宋体"/>
          <w:bCs/>
          <w:color w:val="auto"/>
          <w:sz w:val="24"/>
          <w:szCs w:val="24"/>
          <w:highlight w:val="none"/>
        </w:rPr>
        <w:t>是指投标人的公章。</w:t>
      </w:r>
    </w:p>
    <w:p w14:paraId="7B6AB28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w:t>
      </w:r>
      <w:r>
        <w:rPr>
          <w:rFonts w:hint="eastAsia" w:ascii="宋体" w:hAnsi="宋体"/>
          <w:bCs/>
          <w:color w:val="auto"/>
          <w:sz w:val="24"/>
          <w:szCs w:val="24"/>
          <w:highlight w:val="none"/>
          <w:lang w:val="zh-CN"/>
        </w:rPr>
        <w:t xml:space="preserve"> “服务”指本招标文件中所述服务及相关产品。</w:t>
      </w:r>
    </w:p>
    <w:p w14:paraId="5DDF2F3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2、投标费用</w:t>
      </w:r>
    </w:p>
    <w:p w14:paraId="0FBDDD7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0FC4720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 投标人应自行承担所有与准备和参加报价有关的一切费用（含报名费、标书制作费、评标费等费用）。</w:t>
      </w:r>
    </w:p>
    <w:p w14:paraId="52EC3A4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2.3 本次采购，招标文件费300元/套，售后不退。</w:t>
      </w:r>
    </w:p>
    <w:p w14:paraId="4013CE1A">
      <w:pPr>
        <w:spacing w:line="360" w:lineRule="auto"/>
        <w:ind w:firstLine="482" w:firstLineChars="200"/>
        <w:rPr>
          <w:rFonts w:hint="eastAsia"/>
          <w:color w:val="auto"/>
          <w:highlight w:val="none"/>
        </w:rPr>
      </w:pPr>
      <w:r>
        <w:rPr>
          <w:rFonts w:hint="eastAsia" w:ascii="宋体" w:hAnsi="宋体"/>
          <w:b/>
          <w:color w:val="auto"/>
          <w:sz w:val="24"/>
          <w:szCs w:val="24"/>
          <w:highlight w:val="none"/>
        </w:rPr>
        <w:t>2.4评审费收费标准: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投标人</w:t>
      </w:r>
      <w:r>
        <w:rPr>
          <w:rFonts w:ascii="宋体" w:hAnsi="宋体"/>
          <w:b/>
          <w:color w:val="auto"/>
          <w:sz w:val="24"/>
          <w:szCs w:val="24"/>
          <w:highlight w:val="none"/>
        </w:rPr>
        <w:t>把此费用考虑在内）。</w:t>
      </w:r>
    </w:p>
    <w:p w14:paraId="1DA3621C">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3、保密要求</w:t>
      </w:r>
    </w:p>
    <w:p w14:paraId="4196BC9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采购各方当事人，对采购活动过程中获悉的国家秘密、商业秘密，应当依法予以保密。</w:t>
      </w:r>
    </w:p>
    <w:p w14:paraId="011A224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06C6139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08356B7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4.1投标人可按招标公告要求获取招标文件及有关资料。投标人须按招标文件要求提交全部资料并对招标文件各项内容作出实质性响应，否则投标无效。</w:t>
      </w:r>
    </w:p>
    <w:p w14:paraId="3C48648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招标文件包括本文件目录所列全部内容及其附件，如有缺漏，请立即与采购人或采购代理机构联系解决。</w:t>
      </w:r>
    </w:p>
    <w:p w14:paraId="6438DB8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323AE89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7767125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bookmarkStart w:id="8" w:name="OLE_LINK307"/>
      <w:bookmarkStart w:id="9" w:name="OLE_LINK289"/>
      <w:bookmarkStart w:id="10" w:name="OLE_LINK109"/>
      <w:r>
        <w:rPr>
          <w:rFonts w:hint="eastAsia" w:ascii="宋体" w:hAnsi="宋体"/>
          <w:bCs/>
          <w:color w:val="auto"/>
          <w:sz w:val="24"/>
          <w:szCs w:val="24"/>
          <w:highlight w:val="none"/>
        </w:rPr>
        <w:t>本文件“第三章 项目技术要求和有关说明”和“第四章 评标方法和标准”由</w:t>
      </w:r>
      <w:bookmarkStart w:id="11" w:name="OLE_LINK13"/>
      <w:r>
        <w:rPr>
          <w:rFonts w:hint="eastAsia" w:ascii="宋体" w:hAnsi="宋体"/>
          <w:bCs/>
          <w:color w:val="auto"/>
          <w:sz w:val="24"/>
          <w:szCs w:val="24"/>
          <w:highlight w:val="none"/>
        </w:rPr>
        <w:t>采购人负责解释</w:t>
      </w:r>
      <w:bookmarkEnd w:id="11"/>
      <w:r>
        <w:rPr>
          <w:rFonts w:hint="eastAsia" w:ascii="宋体" w:hAnsi="宋体"/>
          <w:bCs/>
          <w:color w:val="auto"/>
          <w:sz w:val="24"/>
          <w:szCs w:val="24"/>
          <w:highlight w:val="none"/>
        </w:rPr>
        <w:t>，其他部分由</w:t>
      </w:r>
      <w:bookmarkStart w:id="12" w:name="OLE_LINK270"/>
      <w:r>
        <w:rPr>
          <w:rFonts w:hint="eastAsia" w:ascii="宋体" w:hAnsi="宋体"/>
          <w:bCs/>
          <w:color w:val="auto"/>
          <w:sz w:val="24"/>
          <w:szCs w:val="24"/>
          <w:highlight w:val="none"/>
        </w:rPr>
        <w:t>采购人和</w:t>
      </w:r>
      <w:bookmarkEnd w:id="12"/>
      <w:r>
        <w:rPr>
          <w:rFonts w:hint="eastAsia" w:ascii="宋体" w:hAnsi="宋体"/>
          <w:bCs/>
          <w:color w:val="auto"/>
          <w:sz w:val="24"/>
          <w:szCs w:val="24"/>
          <w:highlight w:val="none"/>
        </w:rPr>
        <w:t>采购代理机构负责解释</w:t>
      </w:r>
      <w:bookmarkEnd w:id="8"/>
      <w:r>
        <w:rPr>
          <w:rFonts w:hint="eastAsia" w:ascii="宋体" w:hAnsi="宋体"/>
          <w:bCs/>
          <w:color w:val="auto"/>
          <w:sz w:val="24"/>
          <w:szCs w:val="24"/>
          <w:highlight w:val="none"/>
        </w:rPr>
        <w:t>。</w:t>
      </w:r>
      <w:bookmarkEnd w:id="9"/>
      <w:bookmarkEnd w:id="10"/>
    </w:p>
    <w:p w14:paraId="1C3DC4F5">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0B3D0C4E">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rPr>
        <w:t xml:space="preserve">6.1 </w:t>
      </w:r>
      <w:bookmarkStart w:id="13" w:name="OLE_LINK14"/>
      <w:bookmarkStart w:id="14" w:name="OLE_LINK161"/>
      <w:r>
        <w:rPr>
          <w:rFonts w:hint="eastAsia" w:ascii="宋体" w:hAnsi="宋体" w:cs="宋体"/>
          <w:color w:val="auto"/>
          <w:sz w:val="24"/>
          <w:szCs w:val="24"/>
          <w:highlight w:val="none"/>
        </w:rPr>
        <w:t>采购人或者</w:t>
      </w:r>
      <w:bookmarkEnd w:id="13"/>
      <w:r>
        <w:rPr>
          <w:rFonts w:hint="eastAsia" w:ascii="宋体" w:hAnsi="宋体" w:cs="宋体"/>
          <w:color w:val="auto"/>
          <w:sz w:val="24"/>
          <w:szCs w:val="24"/>
          <w:highlight w:val="none"/>
        </w:rPr>
        <w:t>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发出的招标文件进行必要澄清或者修改的，将在投标截止时间</w:t>
      </w:r>
      <w:r>
        <w:rPr>
          <w:rFonts w:hint="eastAsia" w:ascii="宋体"/>
          <w:iCs/>
          <w:color w:val="auto"/>
          <w:sz w:val="24"/>
          <w:szCs w:val="21"/>
          <w:highlight w:val="none"/>
          <w:lang w:val="en-US" w:eastAsia="zh-CN"/>
        </w:rPr>
        <w:t>3</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color w:val="auto"/>
          <w:sz w:val="24"/>
          <w:szCs w:val="21"/>
          <w:highlight w:val="none"/>
          <w:lang w:val="en-US" w:eastAsia="zh-CN"/>
        </w:rPr>
        <w:t>3</w:t>
      </w:r>
      <w:r>
        <w:rPr>
          <w:rFonts w:hint="eastAsia" w:ascii="宋体"/>
          <w:color w:val="auto"/>
          <w:sz w:val="24"/>
          <w:szCs w:val="21"/>
          <w:highlight w:val="none"/>
        </w:rPr>
        <w:t>日的，</w:t>
      </w:r>
      <w:r>
        <w:rPr>
          <w:rFonts w:hint="eastAsia" w:ascii="宋体" w:hAnsi="宋体" w:cs="宋体"/>
          <w:color w:val="auto"/>
          <w:sz w:val="24"/>
          <w:szCs w:val="24"/>
          <w:highlight w:val="none"/>
        </w:rPr>
        <w:t>采购人或者采购代理机构有权决定是否顺延</w:t>
      </w:r>
      <w:bookmarkStart w:id="93" w:name="_GoBack"/>
      <w:bookmarkEnd w:id="93"/>
      <w:r>
        <w:rPr>
          <w:rFonts w:hint="eastAsia" w:ascii="宋体" w:hAnsi="宋体" w:cs="宋体"/>
          <w:color w:val="auto"/>
          <w:sz w:val="24"/>
          <w:szCs w:val="24"/>
          <w:highlight w:val="none"/>
        </w:rPr>
        <w:t>投标截止时间和开标时间，</w:t>
      </w:r>
      <w:r>
        <w:rPr>
          <w:rFonts w:hint="eastAsia" w:ascii="宋体"/>
          <w:color w:val="auto"/>
          <w:sz w:val="24"/>
          <w:szCs w:val="21"/>
          <w:highlight w:val="none"/>
          <w:lang w:val="zh-CN"/>
        </w:rPr>
        <w:t>该澄清或者修改的内容为招标文件的组成部分。</w:t>
      </w:r>
      <w:bookmarkEnd w:id="14"/>
    </w:p>
    <w:p w14:paraId="731B7AA8">
      <w:pPr>
        <w:spacing w:line="360" w:lineRule="auto"/>
        <w:ind w:firstLine="480" w:firstLineChars="200"/>
        <w:rPr>
          <w:rFonts w:hint="eastAsia" w:ascii="宋体" w:hAnsi="宋体"/>
          <w:color w:val="auto"/>
          <w:sz w:val="24"/>
          <w:szCs w:val="21"/>
          <w:highlight w:val="none"/>
          <w:lang w:val="zh-CN"/>
        </w:rPr>
      </w:pPr>
      <w:r>
        <w:rPr>
          <w:rFonts w:hint="eastAsia" w:asci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75D0E4F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1DE51DC4">
      <w:pPr>
        <w:spacing w:line="360" w:lineRule="auto"/>
        <w:ind w:firstLine="482" w:firstLineChars="200"/>
        <w:rPr>
          <w:rFonts w:hint="eastAsia" w:ascii="宋体" w:hAnsi="宋体"/>
          <w:b/>
          <w:color w:val="auto"/>
          <w:sz w:val="24"/>
          <w:szCs w:val="24"/>
          <w:highlight w:val="none"/>
        </w:rPr>
      </w:pPr>
      <w:bookmarkStart w:id="15" w:name="OLE_LINK16"/>
      <w:bookmarkStart w:id="16" w:name="OLE_LINK21"/>
      <w:r>
        <w:rPr>
          <w:rFonts w:hint="eastAsia" w:ascii="宋体" w:hAnsi="宋体"/>
          <w:b/>
          <w:color w:val="auto"/>
          <w:sz w:val="24"/>
          <w:szCs w:val="24"/>
          <w:highlight w:val="none"/>
        </w:rPr>
        <w:t>7、</w:t>
      </w:r>
      <w:bookmarkStart w:id="17" w:name="OLE_LINK62"/>
      <w:r>
        <w:rPr>
          <w:rFonts w:hint="eastAsia" w:ascii="宋体" w:hAnsi="宋体"/>
          <w:b/>
          <w:color w:val="auto"/>
          <w:sz w:val="24"/>
          <w:szCs w:val="24"/>
          <w:highlight w:val="none"/>
        </w:rPr>
        <w:t>投标文件的组成</w:t>
      </w:r>
      <w:bookmarkEnd w:id="15"/>
      <w:r>
        <w:rPr>
          <w:rFonts w:hint="eastAsia" w:ascii="宋体" w:hAnsi="宋体"/>
          <w:b/>
          <w:color w:val="auto"/>
          <w:sz w:val="24"/>
          <w:szCs w:val="24"/>
          <w:highlight w:val="none"/>
          <w:lang w:val="zh-CN"/>
        </w:rPr>
        <w:t>：</w:t>
      </w:r>
      <w:r>
        <w:rPr>
          <w:rFonts w:hint="eastAsia" w:ascii="宋体" w:hAnsi="宋体"/>
          <w:b/>
          <w:color w:val="auto"/>
          <w:sz w:val="24"/>
          <w:szCs w:val="24"/>
          <w:highlight w:val="none"/>
        </w:rPr>
        <w:t>对应第六章投标文件（格式）</w:t>
      </w:r>
    </w:p>
    <w:p w14:paraId="42CAC62A">
      <w:pPr>
        <w:tabs>
          <w:tab w:val="left" w:pos="0"/>
          <w:tab w:val="left" w:pos="255"/>
        </w:tabs>
        <w:spacing w:line="360" w:lineRule="auto"/>
        <w:ind w:firstLine="480" w:firstLineChars="200"/>
        <w:rPr>
          <w:rFonts w:hint="eastAsia" w:ascii="宋体" w:hAnsi="宋体"/>
          <w:color w:val="auto"/>
          <w:sz w:val="24"/>
          <w:szCs w:val="21"/>
          <w:highlight w:val="none"/>
          <w:lang w:val="zh-CN"/>
        </w:rPr>
      </w:pPr>
      <w:bookmarkStart w:id="18" w:name="OLE_LINK92"/>
      <w:bookmarkStart w:id="19" w:name="OLE_LINK51"/>
      <w:r>
        <w:rPr>
          <w:rFonts w:hint="eastAsia" w:ascii="宋体" w:hAnsi="宋体"/>
          <w:color w:val="auto"/>
          <w:sz w:val="24"/>
          <w:szCs w:val="21"/>
          <w:highlight w:val="none"/>
        </w:rPr>
        <w:t>7.1</w:t>
      </w:r>
      <w:r>
        <w:rPr>
          <w:rFonts w:hint="eastAsia" w:ascii="宋体" w:hAnsi="宋体"/>
          <w:color w:val="auto"/>
          <w:sz w:val="24"/>
          <w:szCs w:val="21"/>
          <w:highlight w:val="none"/>
          <w:lang w:val="zh-CN"/>
        </w:rPr>
        <w:t>投标函</w:t>
      </w:r>
    </w:p>
    <w:p w14:paraId="274C5797">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lang w:val="zh-CN"/>
        </w:rPr>
        <w:t>报价文件：</w:t>
      </w:r>
    </w:p>
    <w:p w14:paraId="202387B5">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p>
    <w:p w14:paraId="6C0902EE">
      <w:pPr>
        <w:tabs>
          <w:tab w:val="left" w:pos="0"/>
          <w:tab w:val="left" w:pos="255"/>
        </w:tabs>
        <w:spacing w:line="360" w:lineRule="auto"/>
        <w:ind w:firstLine="480" w:firstLineChars="200"/>
        <w:rPr>
          <w:rFonts w:hint="eastAsia" w:ascii="宋体" w:hAnsi="宋体"/>
          <w:color w:val="auto"/>
          <w:sz w:val="24"/>
          <w:szCs w:val="24"/>
          <w:highlight w:val="none"/>
        </w:rPr>
      </w:pPr>
      <w:bookmarkStart w:id="20" w:name="OLE_LINK20"/>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资格证明文件</w:t>
      </w:r>
      <w:bookmarkEnd w:id="20"/>
      <w:r>
        <w:rPr>
          <w:rFonts w:hint="eastAsia" w:ascii="宋体" w:hAnsi="宋体"/>
          <w:color w:val="auto"/>
          <w:sz w:val="24"/>
          <w:szCs w:val="24"/>
          <w:highlight w:val="none"/>
        </w:rPr>
        <w:t>：</w:t>
      </w:r>
    </w:p>
    <w:p w14:paraId="0F2CEFB3">
      <w:pPr>
        <w:tabs>
          <w:tab w:val="left" w:pos="0"/>
          <w:tab w:val="left" w:pos="255"/>
        </w:tabs>
        <w:spacing w:line="360" w:lineRule="auto"/>
        <w:ind w:firstLine="480" w:firstLineChars="200"/>
        <w:rPr>
          <w:rFonts w:hint="eastAsia" w:ascii="宋体" w:hAnsi="宋体"/>
          <w:color w:val="auto"/>
          <w:sz w:val="24"/>
          <w:szCs w:val="24"/>
          <w:highlight w:val="none"/>
        </w:rPr>
      </w:pPr>
      <w:bookmarkStart w:id="21" w:name="OLE_LINK8"/>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.1关于资格的声明函</w:t>
      </w:r>
      <w:bookmarkStart w:id="22" w:name="OLE_LINK111"/>
      <w:r>
        <w:rPr>
          <w:rFonts w:hint="eastAsia" w:ascii="宋体" w:hAnsi="宋体"/>
          <w:color w:val="auto"/>
          <w:sz w:val="24"/>
          <w:szCs w:val="24"/>
          <w:highlight w:val="none"/>
        </w:rPr>
        <w:t>（附法定代表人身份证复印件）</w:t>
      </w:r>
      <w:bookmarkEnd w:id="22"/>
      <w:r>
        <w:rPr>
          <w:rFonts w:hint="eastAsia" w:ascii="宋体" w:hAnsi="宋体"/>
          <w:color w:val="auto"/>
          <w:sz w:val="24"/>
          <w:szCs w:val="24"/>
          <w:highlight w:val="none"/>
        </w:rPr>
        <w:t>（格式见附件）；</w:t>
      </w:r>
    </w:p>
    <w:p w14:paraId="00A68942">
      <w:pPr>
        <w:tabs>
          <w:tab w:val="left" w:pos="0"/>
          <w:tab w:val="left" w:pos="255"/>
        </w:tabs>
        <w:spacing w:line="360" w:lineRule="auto"/>
        <w:ind w:firstLine="480" w:firstLineChars="200"/>
        <w:rPr>
          <w:rFonts w:hint="eastAsia" w:ascii="宋体" w:hAnsi="宋体"/>
          <w:b/>
          <w:color w:val="auto"/>
          <w:sz w:val="24"/>
          <w:szCs w:val="24"/>
          <w:highlight w:val="none"/>
        </w:rPr>
      </w:pPr>
      <w:bookmarkStart w:id="23" w:name="OLE_LINK112"/>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bookmarkEnd w:id="23"/>
      <w:r>
        <w:rPr>
          <w:rFonts w:hint="eastAsia" w:ascii="宋体" w:hAnsi="宋体" w:cs="宋体"/>
          <w:b/>
          <w:color w:val="auto"/>
          <w:sz w:val="24"/>
          <w:szCs w:val="24"/>
          <w:highlight w:val="none"/>
        </w:rPr>
        <w:t>（开标时提供身份证原件）</w:t>
      </w:r>
    </w:p>
    <w:p w14:paraId="2B2A6AAA">
      <w:pPr>
        <w:pStyle w:val="14"/>
        <w:spacing w:line="360" w:lineRule="auto"/>
        <w:ind w:firstLine="480" w:firstLineChars="200"/>
        <w:rPr>
          <w:rFonts w:hint="eastAsia" w:hAnsi="宋体" w:cs="宋体"/>
          <w:b/>
          <w:color w:val="auto"/>
          <w:szCs w:val="24"/>
          <w:highlight w:val="none"/>
        </w:rPr>
      </w:pPr>
      <w:bookmarkStart w:id="24" w:name="OLE_LINK113"/>
      <w:r>
        <w:rPr>
          <w:rFonts w:hint="eastAsia" w:hAnsi="宋体"/>
          <w:bCs/>
          <w:color w:val="auto"/>
          <w:szCs w:val="24"/>
          <w:highlight w:val="none"/>
        </w:rPr>
        <w:t>7.</w:t>
      </w:r>
      <w:r>
        <w:rPr>
          <w:rFonts w:hint="eastAsia" w:hAnsi="宋体"/>
          <w:bCs/>
          <w:color w:val="auto"/>
          <w:szCs w:val="24"/>
          <w:highlight w:val="none"/>
          <w:lang w:val="en-US" w:eastAsia="zh-CN"/>
        </w:rPr>
        <w:t>3</w:t>
      </w:r>
      <w:r>
        <w:rPr>
          <w:rFonts w:hint="eastAsia" w:hAnsi="宋体"/>
          <w:bCs/>
          <w:color w:val="auto"/>
          <w:szCs w:val="24"/>
          <w:highlight w:val="none"/>
        </w:rPr>
        <w:t>.3</w:t>
      </w:r>
      <w:r>
        <w:rPr>
          <w:rFonts w:hint="eastAsia" w:hAnsi="宋体"/>
          <w:bCs/>
          <w:color w:val="auto"/>
          <w:szCs w:val="24"/>
          <w:highlight w:val="none"/>
          <w:lang w:val="zh-CN"/>
        </w:rPr>
        <w:t>具有独立承担民事责任的能力：投标人为法人或其他组织的提供营业执照或法人（登记）证书复印件，投标人为自然人的提供自然人身份证复印件；</w:t>
      </w:r>
      <w:r>
        <w:rPr>
          <w:rFonts w:hint="eastAsia" w:hAnsi="宋体"/>
          <w:color w:val="auto"/>
          <w:szCs w:val="24"/>
          <w:highlight w:val="none"/>
        </w:rPr>
        <w:t xml:space="preserve"> </w:t>
      </w:r>
      <w:r>
        <w:rPr>
          <w:rFonts w:hint="eastAsia" w:hAnsi="宋体" w:cs="宋体"/>
          <w:b/>
          <w:color w:val="auto"/>
          <w:szCs w:val="24"/>
          <w:highlight w:val="none"/>
        </w:rPr>
        <w:t>（开标时提供原件或公证件）</w:t>
      </w:r>
    </w:p>
    <w:p w14:paraId="59A4F463">
      <w:pPr>
        <w:pStyle w:val="14"/>
        <w:spacing w:line="360" w:lineRule="auto"/>
        <w:ind w:firstLine="480" w:firstLineChars="200"/>
        <w:rPr>
          <w:rFonts w:hint="eastAsia"/>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bookmarkEnd w:id="24"/>
    <w:p w14:paraId="40DDAE9E">
      <w:p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.5投标人依法缴纳</w:t>
      </w:r>
      <w:bookmarkStart w:id="25" w:name="OLE_LINK181"/>
      <w:r>
        <w:rPr>
          <w:rFonts w:hint="eastAsia" w:ascii="宋体" w:hAnsi="宋体"/>
          <w:color w:val="auto"/>
          <w:sz w:val="24"/>
          <w:szCs w:val="24"/>
          <w:highlight w:val="none"/>
        </w:rPr>
        <w:t>近十二个月</w:t>
      </w:r>
      <w:bookmarkEnd w:id="25"/>
      <w:r>
        <w:rPr>
          <w:rFonts w:hint="eastAsia" w:ascii="宋体" w:hAnsi="宋体"/>
          <w:color w:val="auto"/>
          <w:sz w:val="24"/>
          <w:szCs w:val="24"/>
          <w:highlight w:val="none"/>
        </w:rPr>
        <w:t>中任意一个月份税收的相关材料（提供相关主管部门证明或银行代扣证明）复印件；</w:t>
      </w:r>
    </w:p>
    <w:p w14:paraId="062291AD">
      <w:p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.6投标人依法缴纳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46B24367">
      <w:p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.7投标人为本项目被授权代表在近三个月内（不含投标当月）任意一个月缴纳的社保证明复印件（提供相关主管部门证明或银行代扣证明，法定代表人亲自参加报价的除外）；</w:t>
      </w:r>
    </w:p>
    <w:p w14:paraId="280E3D22">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3</w:t>
      </w:r>
      <w:r>
        <w:rPr>
          <w:rFonts w:hint="eastAsia" w:ascii="宋体" w:hAnsi="宋体"/>
          <w:color w:val="auto"/>
          <w:sz w:val="24"/>
          <w:szCs w:val="21"/>
          <w:highlight w:val="none"/>
        </w:rPr>
        <w:t>.8投标保证金交纳证明复印件（银行转账记录）；</w:t>
      </w:r>
    </w:p>
    <w:p w14:paraId="073666BA">
      <w:pPr>
        <w:tabs>
          <w:tab w:val="left" w:pos="0"/>
          <w:tab w:val="left" w:pos="255"/>
        </w:tabs>
        <w:spacing w:line="360" w:lineRule="auto"/>
        <w:ind w:firstLine="480" w:firstLineChars="200"/>
        <w:rPr>
          <w:rFonts w:hint="eastAsia" w:ascii="宋体" w:hAnsi="宋体" w:cs="宋体"/>
          <w:b/>
          <w:color w:val="auto"/>
          <w:sz w:val="24"/>
          <w:szCs w:val="24"/>
          <w:highlight w:val="none"/>
        </w:rPr>
      </w:pPr>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.9</w:t>
      </w:r>
      <w:r>
        <w:rPr>
          <w:rFonts w:hint="eastAsia" w:ascii="宋体" w:hAnsi="宋体" w:cs="宋体"/>
          <w:color w:val="auto"/>
          <w:sz w:val="24"/>
          <w:szCs w:val="24"/>
          <w:highlight w:val="none"/>
        </w:rPr>
        <w:t>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color w:val="auto"/>
          <w:sz w:val="24"/>
          <w:szCs w:val="24"/>
          <w:highlight w:val="none"/>
        </w:rPr>
        <w:t>（</w:t>
      </w:r>
      <w:r>
        <w:rPr>
          <w:rFonts w:ascii="宋体" w:hAnsi="宋体" w:cs="宋体"/>
          <w:b/>
          <w:color w:val="auto"/>
          <w:sz w:val="24"/>
          <w:szCs w:val="24"/>
          <w:highlight w:val="none"/>
        </w:rPr>
        <w:t>若投标人企业信息已录入以上网站的，</w:t>
      </w:r>
      <w:r>
        <w:rPr>
          <w:rFonts w:hint="eastAsia" w:ascii="宋体" w:hAnsi="宋体" w:cs="宋体"/>
          <w:b/>
          <w:color w:val="auto"/>
          <w:sz w:val="24"/>
          <w:szCs w:val="24"/>
          <w:highlight w:val="none"/>
        </w:rPr>
        <w:t>无需提供相关证明材料</w:t>
      </w:r>
      <w:r>
        <w:rPr>
          <w:rFonts w:ascii="宋体" w:hAnsi="宋体" w:cs="宋体"/>
          <w:b/>
          <w:color w:val="auto"/>
          <w:sz w:val="24"/>
          <w:szCs w:val="24"/>
          <w:highlight w:val="none"/>
        </w:rPr>
        <w:t>；</w:t>
      </w:r>
      <w:r>
        <w:rPr>
          <w:rFonts w:hint="eastAsia" w:ascii="宋体" w:hAnsi="宋体" w:cs="宋体"/>
          <w:b/>
          <w:color w:val="auto"/>
          <w:sz w:val="24"/>
          <w:szCs w:val="24"/>
          <w:highlight w:val="none"/>
        </w:rPr>
        <w:t>若投标人企业信息</w:t>
      </w:r>
      <w:r>
        <w:rPr>
          <w:rFonts w:ascii="宋体" w:hAnsi="宋体" w:cs="宋体"/>
          <w:b/>
          <w:color w:val="auto"/>
          <w:sz w:val="24"/>
          <w:szCs w:val="24"/>
          <w:highlight w:val="none"/>
        </w:rPr>
        <w:t>未</w:t>
      </w:r>
      <w:r>
        <w:rPr>
          <w:rFonts w:hint="eastAsia" w:ascii="宋体" w:hAnsi="宋体" w:cs="宋体"/>
          <w:b/>
          <w:color w:val="auto"/>
          <w:sz w:val="24"/>
          <w:szCs w:val="24"/>
          <w:highlight w:val="none"/>
        </w:rPr>
        <w:t>录入以上网站的，须在投标文件中提供</w:t>
      </w:r>
      <w:r>
        <w:rPr>
          <w:rFonts w:ascii="宋体" w:hAnsi="宋体" w:cs="宋体"/>
          <w:b/>
          <w:color w:val="auto"/>
          <w:sz w:val="24"/>
          <w:szCs w:val="24"/>
          <w:highlight w:val="none"/>
        </w:rPr>
        <w:t>无不良信用记录</w:t>
      </w:r>
      <w:r>
        <w:rPr>
          <w:rFonts w:hint="eastAsia" w:ascii="宋体" w:hAnsi="宋体" w:cs="宋体"/>
          <w:b/>
          <w:color w:val="auto"/>
          <w:sz w:val="24"/>
          <w:szCs w:val="24"/>
          <w:highlight w:val="none"/>
        </w:rPr>
        <w:t>承诺</w:t>
      </w:r>
      <w:r>
        <w:rPr>
          <w:rFonts w:ascii="宋体" w:hAnsi="宋体" w:cs="宋体"/>
          <w:b/>
          <w:color w:val="auto"/>
          <w:sz w:val="24"/>
          <w:szCs w:val="24"/>
          <w:highlight w:val="none"/>
        </w:rPr>
        <w:t>书</w:t>
      </w:r>
      <w:r>
        <w:rPr>
          <w:rFonts w:hint="eastAsia" w:ascii="宋体" w:hAnsi="宋体" w:cs="宋体"/>
          <w:b/>
          <w:color w:val="auto"/>
          <w:sz w:val="24"/>
          <w:szCs w:val="24"/>
          <w:highlight w:val="none"/>
        </w:rPr>
        <w:t>）</w:t>
      </w:r>
    </w:p>
    <w:p w14:paraId="5FEB819C">
      <w:pPr>
        <w:tabs>
          <w:tab w:val="left" w:pos="0"/>
          <w:tab w:val="left" w:pos="255"/>
        </w:tabs>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7.3.10其他要求：/</w:t>
      </w:r>
    </w:p>
    <w:p w14:paraId="423B616D">
      <w:pPr>
        <w:pStyle w:val="8"/>
        <w:spacing w:line="360" w:lineRule="auto"/>
        <w:ind w:left="0" w:leftChars="0" w:firstLine="720" w:firstLineChars="300"/>
        <w:rPr>
          <w:rFonts w:hint="eastAsia"/>
          <w:color w:val="auto"/>
          <w:highlight w:val="none"/>
          <w:lang w:val="zh-CN"/>
        </w:rPr>
      </w:pPr>
      <w:r>
        <w:rPr>
          <w:rFonts w:hint="eastAsia" w:ascii="宋体" w:hAnsi="宋体" w:eastAsia="宋体" w:cs="宋体"/>
          <w:color w:val="auto"/>
          <w:sz w:val="24"/>
          <w:szCs w:val="24"/>
          <w:highlight w:val="none"/>
          <w:lang w:val="en-US" w:eastAsia="zh-CN"/>
        </w:rPr>
        <w:t>注：</w:t>
      </w:r>
      <w:r>
        <w:rPr>
          <w:rFonts w:hint="eastAsia" w:ascii="宋体" w:hAnsi="宋体"/>
          <w:color w:val="auto"/>
          <w:sz w:val="24"/>
          <w:szCs w:val="24"/>
          <w:highlight w:val="none"/>
        </w:rPr>
        <w:t>以上“近十二个月”是指</w:t>
      </w:r>
      <w:r>
        <w:rPr>
          <w:rFonts w:hint="eastAsia" w:ascii="宋体" w:hAnsi="宋体"/>
          <w:bCs/>
          <w:color w:val="auto"/>
          <w:sz w:val="24"/>
          <w:szCs w:val="24"/>
          <w:highlight w:val="none"/>
          <w:lang w:val="zh-CN"/>
        </w:rPr>
        <w:t>提交</w:t>
      </w:r>
      <w:r>
        <w:rPr>
          <w:rFonts w:hint="eastAsia" w:ascii="宋体" w:hAnsi="宋体"/>
          <w:bCs/>
          <w:color w:val="auto"/>
          <w:sz w:val="24"/>
          <w:szCs w:val="24"/>
          <w:highlight w:val="none"/>
        </w:rPr>
        <w:t>招标</w:t>
      </w:r>
      <w:r>
        <w:rPr>
          <w:rFonts w:hint="eastAsia" w:ascii="宋体" w:hAnsi="宋体"/>
          <w:bCs/>
          <w:color w:val="auto"/>
          <w:sz w:val="24"/>
          <w:szCs w:val="24"/>
          <w:highlight w:val="none"/>
          <w:lang w:val="zh-CN"/>
        </w:rPr>
        <w:t>文件截止</w:t>
      </w:r>
      <w:r>
        <w:rPr>
          <w:rFonts w:hint="eastAsia" w:ascii="宋体" w:hAnsi="宋体"/>
          <w:color w:val="auto"/>
          <w:sz w:val="24"/>
          <w:szCs w:val="24"/>
          <w:highlight w:val="none"/>
        </w:rPr>
        <w:t>日之前近十二个月（不含报价当月）。</w:t>
      </w:r>
    </w:p>
    <w:bookmarkEnd w:id="21"/>
    <w:p w14:paraId="7DCA3637">
      <w:pPr>
        <w:tabs>
          <w:tab w:val="left" w:pos="0"/>
          <w:tab w:val="left" w:pos="255"/>
        </w:tabs>
        <w:spacing w:line="360" w:lineRule="auto"/>
        <w:ind w:firstLine="480" w:firstLineChars="200"/>
        <w:rPr>
          <w:rFonts w:hint="eastAsia" w:ascii="宋体" w:hAnsi="宋体"/>
          <w:color w:val="auto"/>
          <w:sz w:val="24"/>
          <w:szCs w:val="24"/>
          <w:highlight w:val="none"/>
        </w:rPr>
      </w:pPr>
      <w:bookmarkStart w:id="26" w:name="OLE_LINK7"/>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技术商务部分评分导读表</w:t>
      </w:r>
      <w:bookmarkEnd w:id="26"/>
    </w:p>
    <w:p w14:paraId="0A36ACF3">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val="zh-CN"/>
        </w:rPr>
        <w:t>项目人员配置清单</w:t>
      </w:r>
    </w:p>
    <w:p w14:paraId="016B0B37">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7.6</w:t>
      </w:r>
      <w:r>
        <w:rPr>
          <w:rFonts w:hint="eastAsia" w:ascii="宋体" w:hAnsi="宋体"/>
          <w:color w:val="auto"/>
          <w:sz w:val="24"/>
          <w:szCs w:val="24"/>
          <w:highlight w:val="none"/>
        </w:rPr>
        <w:t>招标文件</w:t>
      </w:r>
      <w:r>
        <w:rPr>
          <w:rFonts w:hint="eastAsia" w:ascii="宋体" w:hAnsi="宋体"/>
          <w:color w:val="auto"/>
          <w:sz w:val="24"/>
          <w:szCs w:val="21"/>
          <w:highlight w:val="none"/>
        </w:rPr>
        <w:t>“</w:t>
      </w: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 xml:space="preserve">章 </w:t>
      </w:r>
      <w:r>
        <w:rPr>
          <w:rFonts w:hint="eastAsia" w:ascii="宋体" w:hAnsi="宋体"/>
          <w:color w:val="auto"/>
          <w:sz w:val="24"/>
          <w:szCs w:val="21"/>
          <w:highlight w:val="none"/>
        </w:rPr>
        <w:t>项目技术要求和有关说明”中要求提供的相关文件、证明材料等</w:t>
      </w:r>
      <w:r>
        <w:rPr>
          <w:rFonts w:hint="eastAsia" w:ascii="宋体" w:hAnsi="宋体"/>
          <w:color w:val="auto"/>
          <w:sz w:val="24"/>
          <w:szCs w:val="24"/>
          <w:highlight w:val="none"/>
        </w:rPr>
        <w:t>（如有自行添加）</w:t>
      </w:r>
    </w:p>
    <w:p w14:paraId="2611F4B6">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73F0951F">
      <w:pPr>
        <w:tabs>
          <w:tab w:val="left" w:pos="0"/>
          <w:tab w:val="left" w:pos="255"/>
        </w:tabs>
        <w:spacing w:line="360" w:lineRule="auto"/>
        <w:ind w:firstLine="480" w:firstLineChars="200"/>
        <w:rPr>
          <w:rFonts w:hint="eastAsia" w:ascii="宋体" w:hAnsi="宋体"/>
          <w:color w:val="auto"/>
          <w:sz w:val="24"/>
          <w:szCs w:val="24"/>
          <w:highlight w:val="none"/>
          <w:lang w:val="zh-CN"/>
        </w:rPr>
      </w:pPr>
      <w:bookmarkStart w:id="27" w:name="OLE_LINK116"/>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val="zh-CN"/>
        </w:rPr>
        <w:t>要求采购人提供的配合（如有自拟并自行添加）</w:t>
      </w:r>
    </w:p>
    <w:p w14:paraId="348086C0">
      <w:pPr>
        <w:tabs>
          <w:tab w:val="left" w:pos="0"/>
          <w:tab w:val="left" w:pos="255"/>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bookmarkEnd w:id="27"/>
    </w:p>
    <w:bookmarkEnd w:id="16"/>
    <w:bookmarkEnd w:id="17"/>
    <w:bookmarkEnd w:id="18"/>
    <w:bookmarkEnd w:id="19"/>
    <w:p w14:paraId="451BAE91">
      <w:pPr>
        <w:spacing w:line="360" w:lineRule="auto"/>
        <w:ind w:firstLine="482" w:firstLineChars="200"/>
        <w:rPr>
          <w:rFonts w:hint="eastAsia"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rPr>
        <w:t>7.1-7.</w:t>
      </w:r>
      <w:r>
        <w:rPr>
          <w:rFonts w:hint="eastAsia" w:ascii="宋体" w:hAnsi="宋体"/>
          <w:b/>
          <w:color w:val="auto"/>
          <w:sz w:val="24"/>
          <w:szCs w:val="24"/>
          <w:highlight w:val="none"/>
          <w:lang w:val="en-US" w:eastAsia="zh-CN"/>
        </w:rPr>
        <w:t>6</w:t>
      </w:r>
      <w:r>
        <w:rPr>
          <w:rFonts w:hint="eastAsia" w:ascii="宋体" w:hAnsi="宋体"/>
          <w:b/>
          <w:bCs/>
          <w:color w:val="auto"/>
          <w:sz w:val="24"/>
          <w:szCs w:val="24"/>
          <w:highlight w:val="none"/>
          <w:lang w:val="zh-CN"/>
        </w:rPr>
        <w:t>项投标人必须按要求全部提供，否则投标无效。</w:t>
      </w:r>
      <w:r>
        <w:rPr>
          <w:rFonts w:hint="eastAsia" w:ascii="宋体" w:hAnsi="宋体"/>
          <w:b/>
          <w:color w:val="auto"/>
          <w:sz w:val="24"/>
          <w:szCs w:val="24"/>
          <w:highlight w:val="none"/>
        </w:rPr>
        <w:t>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lang w:val="zh-CN"/>
        </w:rPr>
        <w:t>如上述证明文件遇年检、换证，则必须提供法定年检、换证单位出具的有效证明复印件，原件一并提交。如上述“</w:t>
      </w:r>
      <w:bookmarkStart w:id="28" w:name="OLE_LINK118"/>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lang w:val="zh-CN"/>
        </w:rPr>
        <w:t>资格证明文件”第</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.5、7.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7.3.7</w:t>
      </w:r>
      <w:r>
        <w:rPr>
          <w:rFonts w:hint="eastAsia" w:ascii="宋体" w:hAnsi="宋体"/>
          <w:bCs/>
          <w:color w:val="auto"/>
          <w:sz w:val="24"/>
          <w:szCs w:val="24"/>
          <w:highlight w:val="none"/>
          <w:lang w:val="zh-CN"/>
        </w:rPr>
        <w:t>项，依法免税或</w:t>
      </w:r>
      <w:bookmarkStart w:id="29" w:name="OLE_LINK19"/>
      <w:r>
        <w:rPr>
          <w:rFonts w:hint="eastAsia" w:ascii="宋体" w:hAnsi="宋体"/>
          <w:bCs/>
          <w:color w:val="auto"/>
          <w:sz w:val="24"/>
          <w:szCs w:val="24"/>
          <w:highlight w:val="none"/>
          <w:lang w:val="zh-CN"/>
        </w:rPr>
        <w:t>不需要缴纳社会保障资金</w:t>
      </w:r>
      <w:bookmarkEnd w:id="29"/>
      <w:r>
        <w:rPr>
          <w:rFonts w:hint="eastAsia" w:ascii="宋体" w:hAnsi="宋体"/>
          <w:bCs/>
          <w:color w:val="auto"/>
          <w:sz w:val="24"/>
          <w:szCs w:val="24"/>
          <w:highlight w:val="none"/>
          <w:lang w:val="zh-CN"/>
        </w:rPr>
        <w:t>的投标人，须在投标文件中提供相应文件证明其依法免税或不需要缴纳社会保障资金。</w:t>
      </w:r>
      <w:bookmarkEnd w:id="28"/>
      <w:r>
        <w:rPr>
          <w:rFonts w:hint="eastAsia" w:ascii="宋体" w:hAnsi="宋体"/>
          <w:bCs/>
          <w:color w:val="auto"/>
          <w:sz w:val="24"/>
          <w:szCs w:val="24"/>
          <w:highlight w:val="none"/>
          <w:lang w:val="zh-CN"/>
        </w:rPr>
        <w:t>投标人法定代表人或授权代表为外籍、港、澳、台地区人士的，其身份证明须提供有效的护照或港澳同胞来往内地通行证、台湾同胞来往大陆通行证，或其它可在中国大陆有效居留的许可证明。</w:t>
      </w:r>
    </w:p>
    <w:p w14:paraId="71DF27F7">
      <w:pPr>
        <w:spacing w:line="360" w:lineRule="auto"/>
        <w:ind w:firstLine="482" w:firstLineChars="200"/>
        <w:rPr>
          <w:rFonts w:hint="eastAsia" w:ascii="宋体" w:hAnsi="宋体"/>
          <w:b/>
          <w:color w:val="auto"/>
          <w:sz w:val="24"/>
          <w:szCs w:val="24"/>
          <w:highlight w:val="none"/>
        </w:rPr>
      </w:pPr>
      <w:bookmarkStart w:id="30" w:name="OLE_LINK219"/>
      <w:r>
        <w:rPr>
          <w:rFonts w:hint="eastAsia" w:ascii="宋体" w:hAnsi="宋体"/>
          <w:b/>
          <w:color w:val="auto"/>
          <w:sz w:val="24"/>
          <w:szCs w:val="24"/>
          <w:highlight w:val="none"/>
        </w:rPr>
        <w:t>8、</w:t>
      </w:r>
      <w:bookmarkStart w:id="31" w:name="_Toc23231"/>
      <w:bookmarkStart w:id="32" w:name="_Toc19624"/>
      <w:bookmarkStart w:id="33" w:name="_Toc2248"/>
      <w:bookmarkStart w:id="34" w:name="_Toc520356155"/>
      <w:bookmarkStart w:id="35" w:name="_Toc515647770"/>
      <w:r>
        <w:rPr>
          <w:rFonts w:hint="eastAsia" w:ascii="宋体" w:hAnsi="宋体"/>
          <w:b/>
          <w:color w:val="auto"/>
          <w:sz w:val="24"/>
          <w:szCs w:val="24"/>
          <w:highlight w:val="none"/>
        </w:rPr>
        <w:t>投标报价</w:t>
      </w:r>
      <w:bookmarkEnd w:id="31"/>
      <w:bookmarkEnd w:id="32"/>
      <w:bookmarkEnd w:id="33"/>
      <w:bookmarkEnd w:id="34"/>
      <w:bookmarkEnd w:id="35"/>
    </w:p>
    <w:bookmarkEnd w:id="30"/>
    <w:p w14:paraId="3D52B929">
      <w:pPr>
        <w:spacing w:line="360" w:lineRule="auto"/>
        <w:ind w:firstLine="480" w:firstLineChars="200"/>
        <w:rPr>
          <w:rFonts w:hint="eastAsia" w:ascii="宋体" w:hAnsi="宋体"/>
          <w:bCs/>
          <w:color w:val="auto"/>
          <w:sz w:val="24"/>
          <w:szCs w:val="24"/>
          <w:highlight w:val="none"/>
          <w:lang w:val="zh-CN"/>
        </w:rPr>
      </w:pPr>
      <w:bookmarkStart w:id="36" w:name="OLE_LINK93"/>
      <w:r>
        <w:rPr>
          <w:rFonts w:hint="eastAsia" w:ascii="宋体" w:hAnsi="宋体"/>
          <w:bCs/>
          <w:color w:val="auto"/>
          <w:sz w:val="24"/>
          <w:szCs w:val="24"/>
          <w:highlight w:val="none"/>
        </w:rPr>
        <w:t>8</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37" w:name="OLE_LINK204"/>
      <w:r>
        <w:rPr>
          <w:rFonts w:hint="eastAsia" w:ascii="宋体" w:hAnsi="宋体"/>
          <w:bCs/>
          <w:color w:val="auto"/>
          <w:sz w:val="24"/>
          <w:szCs w:val="24"/>
          <w:highlight w:val="none"/>
          <w:lang w:val="zh-CN"/>
        </w:rPr>
        <w:t>。</w:t>
      </w:r>
      <w:bookmarkEnd w:id="37"/>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5CB0E86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投标人所报的各分项投标单价（投标比率）在合同履行过程中是固定不变的，不得以任何理由予以变更。任何包含价格调整要求的投标，其投标将被认定为投标无效。</w:t>
      </w:r>
    </w:p>
    <w:p w14:paraId="0B0AD740">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每种服务及货物只能有一个投标报价。采购人不接受具有附加条件的报价。</w:t>
      </w:r>
    </w:p>
    <w:p w14:paraId="6835F07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9、投标文件的制作及密封</w:t>
      </w:r>
    </w:p>
    <w:bookmarkEnd w:id="36"/>
    <w:p w14:paraId="76B31401">
      <w:pPr>
        <w:spacing w:line="360" w:lineRule="auto"/>
        <w:ind w:firstLine="480" w:firstLineChars="200"/>
        <w:rPr>
          <w:rFonts w:hint="eastAsia" w:ascii="宋体" w:hAnsi="宋体"/>
          <w:bCs/>
          <w:color w:val="auto"/>
          <w:sz w:val="24"/>
          <w:szCs w:val="24"/>
          <w:highlight w:val="none"/>
          <w:lang w:val="zh-CN"/>
        </w:rPr>
      </w:pPr>
      <w:bookmarkStart w:id="38" w:name="OLE_LINK94"/>
      <w:r>
        <w:rPr>
          <w:rFonts w:hint="eastAsia" w:ascii="宋体" w:hAnsi="宋体"/>
          <w:bCs/>
          <w:color w:val="auto"/>
          <w:sz w:val="24"/>
          <w:szCs w:val="24"/>
          <w:highlight w:val="none"/>
        </w:rPr>
        <w:t>9.1</w:t>
      </w:r>
      <w:bookmarkStart w:id="39" w:name="OLE_LINK203"/>
      <w:r>
        <w:rPr>
          <w:rFonts w:hint="eastAsia" w:ascii="宋体" w:hAnsi="宋体"/>
          <w:bCs/>
          <w:color w:val="auto"/>
          <w:sz w:val="24"/>
          <w:szCs w:val="24"/>
          <w:highlight w:val="none"/>
        </w:rPr>
        <w:t xml:space="preserve"> </w:t>
      </w:r>
      <w:bookmarkEnd w:id="39"/>
      <w:r>
        <w:rPr>
          <w:rFonts w:hint="eastAsia" w:ascii="宋体" w:hAnsi="宋体"/>
          <w:bCs/>
          <w:color w:val="auto"/>
          <w:sz w:val="24"/>
          <w:szCs w:val="24"/>
          <w:highlight w:val="none"/>
          <w:lang w:val="zh-CN"/>
        </w:rPr>
        <w:t>所有文件、往来函件均应使用简体中文（规格、型号辅助符号例外）。</w:t>
      </w:r>
    </w:p>
    <w:p w14:paraId="52E82FF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9.2 </w:t>
      </w:r>
      <w:r>
        <w:rPr>
          <w:rFonts w:hint="eastAsia" w:ascii="宋体" w:hAnsi="宋体"/>
          <w:bCs/>
          <w:color w:val="auto"/>
          <w:sz w:val="24"/>
          <w:szCs w:val="24"/>
          <w:highlight w:val="none"/>
          <w:lang w:val="zh-CN"/>
        </w:rPr>
        <w:t>投标人所使用的计量单位应为国家法定计量单位。</w:t>
      </w:r>
    </w:p>
    <w:p w14:paraId="2B775E0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40"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41" w:name="OLE_LINK225"/>
      <w:r>
        <w:rPr>
          <w:rFonts w:hint="eastAsia" w:ascii="宋体" w:hAnsi="宋体"/>
          <w:bCs/>
          <w:color w:val="auto"/>
          <w:sz w:val="24"/>
          <w:szCs w:val="24"/>
          <w:highlight w:val="none"/>
        </w:rPr>
        <w:t>承诺实质性响应</w:t>
      </w:r>
      <w:bookmarkEnd w:id="41"/>
      <w:r>
        <w:rPr>
          <w:rFonts w:hint="eastAsia" w:ascii="宋体" w:hAnsi="宋体"/>
          <w:bCs/>
          <w:color w:val="auto"/>
          <w:sz w:val="24"/>
          <w:szCs w:val="24"/>
          <w:highlight w:val="none"/>
        </w:rPr>
        <w:t>招标文件的要求。</w:t>
      </w:r>
      <w:bookmarkEnd w:id="40"/>
    </w:p>
    <w:p w14:paraId="02D55F1C">
      <w:pPr>
        <w:spacing w:line="360" w:lineRule="auto"/>
        <w:ind w:firstLine="480" w:firstLineChars="200"/>
        <w:rPr>
          <w:rFonts w:hint="eastAsia" w:ascii="宋体" w:hAnsi="宋体"/>
          <w:color w:val="auto"/>
          <w:sz w:val="24"/>
          <w:szCs w:val="28"/>
          <w:highlight w:val="none"/>
        </w:rPr>
      </w:pPr>
      <w:r>
        <w:rPr>
          <w:rFonts w:hint="eastAsia" w:ascii="宋体" w:hAnsi="宋体"/>
          <w:bCs/>
          <w:color w:val="auto"/>
          <w:sz w:val="24"/>
          <w:szCs w:val="24"/>
          <w:highlight w:val="none"/>
        </w:rPr>
        <w:t>9</w:t>
      </w:r>
      <w:r>
        <w:rPr>
          <w:rFonts w:hint="eastAsia" w:ascii="宋体" w:hAnsi="宋体"/>
          <w:color w:val="auto"/>
          <w:sz w:val="24"/>
          <w:szCs w:val="28"/>
          <w:highlight w:val="none"/>
        </w:rPr>
        <w:t xml:space="preserve">.4 </w:t>
      </w:r>
      <w:bookmarkStart w:id="42" w:name="OLE_LINK120"/>
      <w:bookmarkStart w:id="43"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42"/>
      <w:r>
        <w:rPr>
          <w:rFonts w:hint="eastAsia" w:ascii="宋体" w:hAnsi="宋体"/>
          <w:color w:val="auto"/>
          <w:sz w:val="24"/>
          <w:szCs w:val="28"/>
          <w:highlight w:val="none"/>
        </w:rPr>
        <w:t>并加盖投标人公章。</w:t>
      </w:r>
      <w:bookmarkEnd w:id="43"/>
    </w:p>
    <w:p w14:paraId="5BF0616A">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8"/>
          <w:highlight w:val="none"/>
        </w:rPr>
        <w:t>9.5 投标文件可</w:t>
      </w:r>
      <w:r>
        <w:rPr>
          <w:rFonts w:hint="eastAsia" w:ascii="宋体" w:hAnsi="宋体"/>
          <w:bCs/>
          <w:color w:val="auto"/>
          <w:sz w:val="24"/>
          <w:szCs w:val="24"/>
          <w:highlight w:val="none"/>
        </w:rPr>
        <w:t>按照“投标文件的组成”顺序</w:t>
      </w:r>
      <w:r>
        <w:rPr>
          <w:rFonts w:hint="eastAsia" w:ascii="宋体" w:hAnsi="宋体"/>
          <w:bCs/>
          <w:color w:val="auto"/>
          <w:sz w:val="24"/>
          <w:szCs w:val="24"/>
          <w:highlight w:val="none"/>
          <w:lang w:val="zh-CN"/>
        </w:rPr>
        <w:t>打印或用不褪色墨水书写，装订成册，</w:t>
      </w:r>
      <w:bookmarkStart w:id="44" w:name="OLE_LINK122"/>
      <w:r>
        <w:rPr>
          <w:rFonts w:hint="eastAsia" w:ascii="宋体" w:hAnsi="宋体"/>
          <w:bCs/>
          <w:color w:val="auto"/>
          <w:sz w:val="24"/>
          <w:szCs w:val="24"/>
          <w:highlight w:val="none"/>
        </w:rPr>
        <w:t>注明“正本”、“副本”字样</w:t>
      </w:r>
      <w:bookmarkEnd w:id="44"/>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7F3269CE">
      <w:pPr>
        <w:pStyle w:val="15"/>
        <w:spacing w:line="360" w:lineRule="auto"/>
        <w:rPr>
          <w:rFonts w:hint="eastAsia"/>
          <w:color w:val="auto"/>
          <w:highlight w:val="none"/>
        </w:rPr>
      </w:pPr>
      <w:r>
        <w:rPr>
          <w:rFonts w:hint="eastAsia" w:cs="Times New Roman"/>
          <w:color w:val="auto"/>
          <w:sz w:val="24"/>
          <w:szCs w:val="28"/>
          <w:highlight w:val="none"/>
        </w:rPr>
        <w:t>9.6纸质投标文件采用</w:t>
      </w:r>
      <w:r>
        <w:rPr>
          <w:rFonts w:hint="eastAsia" w:cs="Times New Roman"/>
          <w:b/>
          <w:bCs/>
          <w:color w:val="auto"/>
          <w:sz w:val="24"/>
          <w:szCs w:val="28"/>
          <w:highlight w:val="none"/>
        </w:rPr>
        <w:t>胶装</w:t>
      </w:r>
      <w:r>
        <w:rPr>
          <w:rFonts w:hint="eastAsia" w:cs="Times New Roman"/>
          <w:color w:val="auto"/>
          <w:sz w:val="24"/>
          <w:szCs w:val="28"/>
          <w:highlight w:val="none"/>
        </w:rPr>
        <w:t>方式装订，装订应牢固、不易拆散和换页，不得采用活页装订。</w:t>
      </w:r>
    </w:p>
    <w:p w14:paraId="73ACB96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9.7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5AF2FF8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9.8 </w:t>
      </w:r>
      <w:bookmarkStart w:id="45" w:name="OLE_LINK123"/>
      <w:r>
        <w:rPr>
          <w:rFonts w:hint="eastAsia" w:ascii="宋体" w:hAnsi="宋体"/>
          <w:bCs/>
          <w:color w:val="auto"/>
          <w:sz w:val="24"/>
          <w:szCs w:val="24"/>
          <w:highlight w:val="none"/>
        </w:rPr>
        <w:t>投标人须对投标文件进行密封，同时注明投标人名称。</w:t>
      </w:r>
      <w:bookmarkEnd w:id="45"/>
    </w:p>
    <w:p w14:paraId="6B2D58B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10、投标文件的真实性</w:t>
      </w:r>
    </w:p>
    <w:p w14:paraId="023AF706">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10.1 投标人（含中标供应商）应对其投标文件中提供的所有材料的真实性负责。</w:t>
      </w:r>
    </w:p>
    <w:p w14:paraId="7D19D913">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10.2 如</w:t>
      </w:r>
      <w:bookmarkStart w:id="46" w:name="OLE_LINK45"/>
      <w:r>
        <w:rPr>
          <w:rFonts w:hint="eastAsia" w:ascii="宋体" w:hAnsi="宋体"/>
          <w:color w:val="auto"/>
          <w:sz w:val="24"/>
          <w:szCs w:val="28"/>
          <w:highlight w:val="none"/>
        </w:rPr>
        <w:t>采购人、</w:t>
      </w:r>
      <w:bookmarkEnd w:id="46"/>
      <w:r>
        <w:rPr>
          <w:rFonts w:hint="eastAsia" w:ascii="宋体" w:hAnsi="宋体"/>
          <w:color w:val="auto"/>
          <w:sz w:val="24"/>
          <w:szCs w:val="28"/>
          <w:highlight w:val="none"/>
        </w:rPr>
        <w:t>采购机构</w:t>
      </w:r>
      <w:r>
        <w:rPr>
          <w:rFonts w:hint="eastAsia" w:ascii="宋体" w:hAnsi="宋体"/>
          <w:bCs/>
          <w:color w:val="auto"/>
          <w:sz w:val="24"/>
          <w:szCs w:val="24"/>
          <w:highlight w:val="none"/>
        </w:rPr>
        <w:t>、评标委员会</w:t>
      </w:r>
      <w:r>
        <w:rPr>
          <w:rFonts w:hint="eastAsia" w:ascii="宋体" w:hAnsi="宋体"/>
          <w:color w:val="auto"/>
          <w:sz w:val="24"/>
          <w:szCs w:val="28"/>
          <w:highlight w:val="none"/>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38CFEF1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w:t>
      </w:r>
    </w:p>
    <w:p w14:paraId="317A047A">
      <w:pPr>
        <w:spacing w:line="360" w:lineRule="auto"/>
        <w:ind w:firstLine="480" w:firstLineChars="200"/>
        <w:rPr>
          <w:rFonts w:hint="eastAsia" w:ascii="宋体" w:hAnsi="宋体"/>
          <w:bCs/>
          <w:color w:val="auto"/>
          <w:sz w:val="24"/>
          <w:szCs w:val="24"/>
          <w:highlight w:val="none"/>
        </w:rPr>
      </w:pPr>
      <w:bookmarkStart w:id="47" w:name="OLE_LINK259"/>
      <w:bookmarkStart w:id="48" w:name="OLE_LINK124"/>
      <w:r>
        <w:rPr>
          <w:rFonts w:hint="eastAsia" w:ascii="宋体" w:hAnsi="宋体"/>
          <w:bCs/>
          <w:color w:val="auto"/>
          <w:sz w:val="24"/>
          <w:szCs w:val="24"/>
          <w:highlight w:val="none"/>
        </w:rPr>
        <w:t>投标人应在招标文件规定的</w:t>
      </w:r>
      <w:bookmarkStart w:id="49" w:name="OLE_LINK6"/>
      <w:r>
        <w:rPr>
          <w:rFonts w:hint="eastAsia" w:ascii="宋体" w:hAnsi="宋体"/>
          <w:bCs/>
          <w:color w:val="auto"/>
          <w:sz w:val="24"/>
          <w:szCs w:val="24"/>
          <w:highlight w:val="none"/>
        </w:rPr>
        <w:t>投标</w:t>
      </w:r>
      <w:bookmarkEnd w:id="49"/>
      <w:r>
        <w:rPr>
          <w:rFonts w:hint="eastAsia" w:ascii="宋体" w:hAnsi="宋体"/>
          <w:bCs/>
          <w:color w:val="auto"/>
          <w:sz w:val="24"/>
          <w:szCs w:val="24"/>
          <w:highlight w:val="none"/>
        </w:rPr>
        <w:t>截止时间之前，将投标文件及相关资料送达招标文件指定地点，并递交给采购人或采购机构现场工作人员。</w:t>
      </w:r>
      <w:bookmarkEnd w:id="47"/>
    </w:p>
    <w:p w14:paraId="37F005A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12、有下列情形之一的投标文件将拒收</w:t>
      </w:r>
    </w:p>
    <w:p w14:paraId="727142D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12.1 在招标文件要求提交投标文件的截止时间之后送达的；</w:t>
      </w:r>
    </w:p>
    <w:p w14:paraId="4AABF82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s="宋体"/>
          <w:color w:val="auto"/>
          <w:sz w:val="24"/>
          <w:szCs w:val="24"/>
          <w:highlight w:val="none"/>
        </w:rPr>
        <w:t>未按照招标文件要求密封的。</w:t>
      </w:r>
      <w:bookmarkEnd w:id="38"/>
    </w:p>
    <w:bookmarkEnd w:id="48"/>
    <w:p w14:paraId="6A1E152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13、投标文件的有效期</w:t>
      </w:r>
    </w:p>
    <w:p w14:paraId="4F8C125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14:paraId="43FEF11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14、投标文件的退还</w:t>
      </w:r>
    </w:p>
    <w:p w14:paraId="36F747D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投标截止时间后，采购人和采购机构对所有投标人的投标文件一律不予退还。</w:t>
      </w:r>
    </w:p>
    <w:p w14:paraId="1ED9375A">
      <w:pPr>
        <w:spacing w:line="360" w:lineRule="auto"/>
        <w:ind w:firstLine="482" w:firstLineChars="200"/>
        <w:rPr>
          <w:rFonts w:hint="eastAsia" w:ascii="宋体" w:hAnsi="宋体"/>
          <w:b/>
          <w:color w:val="auto"/>
          <w:sz w:val="24"/>
          <w:szCs w:val="24"/>
          <w:highlight w:val="none"/>
        </w:rPr>
      </w:pPr>
      <w:bookmarkStart w:id="50" w:name="OLE_LINK125"/>
      <w:r>
        <w:rPr>
          <w:rFonts w:hint="eastAsia" w:ascii="宋体" w:hAnsi="宋体"/>
          <w:b/>
          <w:color w:val="auto"/>
          <w:sz w:val="24"/>
          <w:szCs w:val="24"/>
          <w:highlight w:val="none"/>
        </w:rPr>
        <w:t>15、投标文件的修改和撤回</w:t>
      </w:r>
    </w:p>
    <w:bookmarkEnd w:id="50"/>
    <w:p w14:paraId="7E700AD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15.1</w:t>
      </w:r>
      <w:r>
        <w:rPr>
          <w:rFonts w:hint="eastAsia" w:ascii="宋体" w:hAnsi="宋体"/>
          <w:bCs/>
          <w:color w:val="auto"/>
          <w:sz w:val="24"/>
          <w:szCs w:val="24"/>
          <w:highlight w:val="none"/>
          <w:lang w:val="zh-CN"/>
        </w:rPr>
        <w:t>投标人在投标截止时间前，可以对所递交的投标文件进行补充、修改或撤回，并书面通知</w:t>
      </w:r>
      <w:r>
        <w:rPr>
          <w:rFonts w:hint="eastAsia" w:ascii="宋体" w:hAnsi="宋体"/>
          <w:bCs/>
          <w:color w:val="auto"/>
          <w:sz w:val="24"/>
          <w:szCs w:val="24"/>
          <w:highlight w:val="none"/>
        </w:rPr>
        <w:t>采购人或采购代理机构</w:t>
      </w:r>
      <w:r>
        <w:rPr>
          <w:rFonts w:hint="eastAsia" w:ascii="宋体" w:hAnsi="宋体"/>
          <w:bCs/>
          <w:color w:val="auto"/>
          <w:sz w:val="24"/>
          <w:szCs w:val="24"/>
          <w:highlight w:val="none"/>
          <w:lang w:val="zh-CN"/>
        </w:rPr>
        <w:t>。补充、修改的内容应当按照招标文件要求签署、盖章、密封后，并作为投标文件的组成部分。</w:t>
      </w:r>
    </w:p>
    <w:p w14:paraId="1296AC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15.2在投标截止时间之后，采购人、</w:t>
      </w:r>
      <w:bookmarkStart w:id="51" w:name="OLE_LINK74"/>
      <w:r>
        <w:rPr>
          <w:rFonts w:hint="eastAsia" w:ascii="宋体" w:hAnsi="宋体"/>
          <w:bCs/>
          <w:color w:val="auto"/>
          <w:sz w:val="24"/>
          <w:szCs w:val="24"/>
          <w:highlight w:val="none"/>
        </w:rPr>
        <w:t>采购机构</w:t>
      </w:r>
      <w:bookmarkEnd w:id="51"/>
      <w:r>
        <w:rPr>
          <w:rFonts w:hint="eastAsia" w:ascii="宋体" w:hAnsi="宋体"/>
          <w:bCs/>
          <w:color w:val="auto"/>
          <w:sz w:val="24"/>
          <w:szCs w:val="24"/>
          <w:highlight w:val="none"/>
        </w:rPr>
        <w:t>、评标委员会不接受投标人主动对其投标文件做任何补充、修改。</w:t>
      </w:r>
    </w:p>
    <w:p w14:paraId="7794FDED">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16、</w:t>
      </w:r>
      <w:r>
        <w:rPr>
          <w:rFonts w:hint="eastAsia" w:ascii="宋体" w:hAnsi="宋体"/>
          <w:b/>
          <w:color w:val="auto"/>
          <w:sz w:val="24"/>
          <w:szCs w:val="24"/>
          <w:highlight w:val="none"/>
          <w:lang w:val="zh-CN"/>
        </w:rPr>
        <w:t>无效投标的确认</w:t>
      </w:r>
    </w:p>
    <w:p w14:paraId="7AE4203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16.1 </w:t>
      </w:r>
      <w:r>
        <w:rPr>
          <w:rFonts w:hint="eastAsia" w:ascii="宋体" w:hAnsi="宋体"/>
          <w:bCs/>
          <w:color w:val="auto"/>
          <w:sz w:val="24"/>
          <w:szCs w:val="24"/>
          <w:highlight w:val="none"/>
          <w:lang w:val="zh-CN"/>
        </w:rPr>
        <w:t>投标人有下列情况之一者，其投标无效：</w:t>
      </w:r>
    </w:p>
    <w:p w14:paraId="6BE6A7F5">
      <w:pPr>
        <w:tabs>
          <w:tab w:val="left" w:pos="425"/>
        </w:tabs>
        <w:spacing w:line="360" w:lineRule="auto"/>
        <w:ind w:firstLine="480" w:firstLineChars="200"/>
        <w:rPr>
          <w:rFonts w:hint="eastAsia" w:ascii="宋体" w:hAnsi="宋体"/>
          <w:bCs/>
          <w:color w:val="auto"/>
          <w:sz w:val="24"/>
          <w:szCs w:val="24"/>
          <w:highlight w:val="none"/>
          <w:lang w:val="zh-CN"/>
        </w:rPr>
      </w:pPr>
      <w:bookmarkStart w:id="52" w:name="OLE_LINK126"/>
      <w:r>
        <w:rPr>
          <w:rFonts w:hint="eastAsia" w:ascii="宋体" w:hAnsi="宋体" w:cs="宋体"/>
          <w:color w:val="auto"/>
          <w:sz w:val="24"/>
          <w:szCs w:val="24"/>
          <w:highlight w:val="none"/>
        </w:rPr>
        <w:t>16.1.1未按照招标文件的规定提交投标保证金的；</w:t>
      </w:r>
    </w:p>
    <w:p w14:paraId="49C42881">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16.1.2投标文件未按招标文件给定格式如实填写（编写）的或未按要求签署、盖章的；</w:t>
      </w:r>
    </w:p>
    <w:p w14:paraId="41DFEBB3">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16.1.3不具备招标文件投标邀请函中“2.1投标人参加本次采购活动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2EAEC76A">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16.1.4投标文件中有招标文件未允许提供的选择性内容的</w:t>
      </w:r>
      <w:r>
        <w:rPr>
          <w:rFonts w:hint="eastAsia" w:ascii="宋体" w:hAnsi="宋体"/>
          <w:bCs/>
          <w:color w:val="auto"/>
          <w:sz w:val="24"/>
          <w:szCs w:val="24"/>
          <w:highlight w:val="none"/>
          <w:lang w:val="zh-CN"/>
        </w:rPr>
        <w:t>；</w:t>
      </w:r>
    </w:p>
    <w:p w14:paraId="5325FF10">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16.1.5投标文件含有采购人不能接受的附加条件的；</w:t>
      </w:r>
    </w:p>
    <w:p w14:paraId="26E9029A">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16.1.6</w:t>
      </w: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4FE8D856">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16.1.7</w:t>
      </w: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5B1CEC56">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16.1.8评标委员会认为投标人的报价明显低于其他通过符合性审查投标人的报价，有可能影响产品质量或者不能诚信履约，且投标人不能证明其报价合理性的；</w:t>
      </w:r>
    </w:p>
    <w:p w14:paraId="2B6D653D">
      <w:pPr>
        <w:tabs>
          <w:tab w:val="left" w:pos="0"/>
          <w:tab w:val="left" w:pos="425"/>
        </w:tabs>
        <w:spacing w:line="360" w:lineRule="auto"/>
        <w:ind w:firstLine="480" w:firstLineChars="200"/>
        <w:rPr>
          <w:rFonts w:hint="eastAsia" w:ascii="宋体" w:hAnsi="宋体" w:cs="宋体"/>
          <w:color w:val="auto"/>
          <w:sz w:val="24"/>
          <w:szCs w:val="24"/>
          <w:highlight w:val="none"/>
          <w:lang w:val="zh-CN"/>
        </w:rPr>
      </w:pPr>
      <w:r>
        <w:rPr>
          <w:rFonts w:hint="eastAsia" w:ascii="宋体" w:hAnsi="宋体"/>
          <w:bCs/>
          <w:color w:val="auto"/>
          <w:sz w:val="24"/>
          <w:szCs w:val="24"/>
          <w:highlight w:val="none"/>
        </w:rPr>
        <w:t>16.1.9属于投标邀请函2.3拒绝参加本次采购活动供应商的；</w:t>
      </w:r>
    </w:p>
    <w:p w14:paraId="2527EE65">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16.1.10与其他投标人串通投标的，包括但不限于以下几种情况：</w:t>
      </w:r>
    </w:p>
    <w:p w14:paraId="3C8DFCC8">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4011F4FD">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1E0DE27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694DE61A">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26B7DF27">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不同投标人的投标文件相互混装；</w:t>
      </w:r>
    </w:p>
    <w:p w14:paraId="57BE2377">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p>
    <w:p w14:paraId="6CD40ACD">
      <w:pPr>
        <w:tabs>
          <w:tab w:val="left" w:pos="425"/>
        </w:tabs>
        <w:spacing w:line="360" w:lineRule="auto"/>
        <w:ind w:firstLine="480" w:firstLineChars="200"/>
        <w:rPr>
          <w:rFonts w:hint="eastAsia" w:ascii="宋体" w:hAnsi="宋体"/>
          <w:bCs/>
          <w:color w:val="auto"/>
          <w:sz w:val="24"/>
          <w:szCs w:val="24"/>
          <w:highlight w:val="none"/>
          <w:lang w:val="zh-CN"/>
        </w:rPr>
      </w:pPr>
      <w:bookmarkStart w:id="53" w:name="OLE_LINK81"/>
      <w:r>
        <w:rPr>
          <w:rFonts w:hint="eastAsia" w:ascii="宋体" w:hAnsi="宋体"/>
          <w:bCs/>
          <w:color w:val="auto"/>
          <w:sz w:val="24"/>
          <w:szCs w:val="24"/>
          <w:highlight w:val="none"/>
        </w:rPr>
        <w:t>16.1.11</w:t>
      </w:r>
      <w:r>
        <w:rPr>
          <w:rFonts w:hint="eastAsia" w:ascii="宋体" w:hAnsi="宋体"/>
          <w:bCs/>
          <w:color w:val="auto"/>
          <w:sz w:val="24"/>
          <w:szCs w:val="24"/>
          <w:highlight w:val="none"/>
          <w:lang w:val="zh-CN"/>
        </w:rPr>
        <w:t>提供虚假材料</w:t>
      </w:r>
      <w:bookmarkStart w:id="54" w:name="OLE_LINK137"/>
      <w:r>
        <w:rPr>
          <w:rFonts w:hint="eastAsia" w:ascii="宋体" w:hAnsi="宋体" w:cs="宋体"/>
          <w:color w:val="auto"/>
          <w:sz w:val="24"/>
          <w:szCs w:val="24"/>
          <w:highlight w:val="none"/>
          <w:lang w:val="zh-CN"/>
        </w:rPr>
        <w:t>（含虚假承诺）</w:t>
      </w:r>
      <w:bookmarkEnd w:id="54"/>
      <w:r>
        <w:rPr>
          <w:rFonts w:hint="eastAsia" w:ascii="宋体" w:hAnsi="宋体"/>
          <w:bCs/>
          <w:color w:val="auto"/>
          <w:sz w:val="24"/>
          <w:szCs w:val="24"/>
          <w:highlight w:val="none"/>
          <w:lang w:val="zh-CN"/>
        </w:rPr>
        <w:t>的</w:t>
      </w:r>
      <w:bookmarkEnd w:id="53"/>
      <w:r>
        <w:rPr>
          <w:rFonts w:hint="eastAsia" w:ascii="宋体" w:hAnsi="宋体"/>
          <w:bCs/>
          <w:color w:val="auto"/>
          <w:sz w:val="24"/>
          <w:szCs w:val="24"/>
          <w:highlight w:val="none"/>
          <w:lang w:val="zh-CN"/>
        </w:rPr>
        <w:t>；</w:t>
      </w:r>
    </w:p>
    <w:p w14:paraId="4E6DD23F">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16.1.12</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0F85867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16.1.13法律、法规和招标文件规定的其他无效情形</w:t>
      </w:r>
      <w:r>
        <w:rPr>
          <w:rFonts w:hint="eastAsia" w:ascii="宋体" w:hAnsi="宋体"/>
          <w:bCs/>
          <w:color w:val="auto"/>
          <w:sz w:val="24"/>
          <w:szCs w:val="24"/>
          <w:highlight w:val="none"/>
          <w:lang w:val="zh-CN"/>
        </w:rPr>
        <w:t>。</w:t>
      </w:r>
      <w:bookmarkEnd w:id="52"/>
    </w:p>
    <w:p w14:paraId="0276D778">
      <w:pPr>
        <w:numPr>
          <w:ilvl w:val="0"/>
          <w:numId w:val="0"/>
        </w:numPr>
        <w:spacing w:line="360" w:lineRule="auto"/>
        <w:ind w:firstLine="354" w:firstLineChars="147"/>
        <w:rPr>
          <w:rFonts w:hint="eastAsia" w:ascii="宋体" w:hAnsi="宋体" w:cs="宋体"/>
          <w:b/>
          <w:color w:val="auto"/>
          <w:sz w:val="24"/>
          <w:szCs w:val="24"/>
          <w:highlight w:val="none"/>
        </w:rPr>
      </w:pPr>
      <w:r>
        <w:rPr>
          <w:rFonts w:hint="eastAsia" w:ascii="宋体" w:hAnsi="宋体" w:cs="宋体"/>
          <w:b/>
          <w:color w:val="auto"/>
          <w:kern w:val="2"/>
          <w:sz w:val="24"/>
          <w:szCs w:val="24"/>
          <w:highlight w:val="none"/>
          <w:lang w:val="en-US" w:eastAsia="zh-CN" w:bidi="ar-SA"/>
        </w:rPr>
        <w:t>四、</w:t>
      </w: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4320BDD5">
      <w:pPr>
        <w:numPr>
          <w:ilvl w:val="0"/>
          <w:numId w:val="2"/>
        </w:num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本项目不接受联合体，不接受中标后分包。</w:t>
      </w:r>
    </w:p>
    <w:p w14:paraId="6CC750A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w:t>
      </w:r>
      <w:r>
        <w:rPr>
          <w:rFonts w:hint="eastAsia" w:ascii="宋体" w:hAnsi="宋体"/>
          <w:b/>
          <w:color w:val="auto"/>
          <w:sz w:val="24"/>
          <w:szCs w:val="24"/>
          <w:highlight w:val="none"/>
        </w:rPr>
        <w:t>资审、</w:t>
      </w:r>
      <w:r>
        <w:rPr>
          <w:rFonts w:hint="eastAsia" w:ascii="宋体" w:hAnsi="宋体"/>
          <w:b/>
          <w:color w:val="auto"/>
          <w:sz w:val="24"/>
          <w:szCs w:val="24"/>
          <w:highlight w:val="none"/>
          <w:lang w:val="zh-CN"/>
        </w:rPr>
        <w:t>评标、定标、废标</w:t>
      </w:r>
    </w:p>
    <w:p w14:paraId="7634A3F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18、开标</w:t>
      </w:r>
    </w:p>
    <w:p w14:paraId="6D87D6B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 xml:space="preserve">.1 </w:t>
      </w:r>
      <w:bookmarkStart w:id="55" w:name="OLE_LINK276"/>
      <w:r>
        <w:rPr>
          <w:rFonts w:hint="eastAsia" w:ascii="宋体" w:hAnsi="宋体"/>
          <w:bCs/>
          <w:color w:val="auto"/>
          <w:sz w:val="24"/>
          <w:szCs w:val="24"/>
          <w:highlight w:val="none"/>
          <w:lang w:val="zh-CN"/>
        </w:rPr>
        <w:t>采购人按招标文件规定的时间在指定地点召开开标大会，邀请所有投标人代表参加。</w:t>
      </w:r>
    </w:p>
    <w:p w14:paraId="335AF5F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55"/>
    <w:p w14:paraId="454D6460">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18.2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w:t>
      </w:r>
      <w:bookmarkStart w:id="56" w:name="OLE_LINK310"/>
      <w:r>
        <w:rPr>
          <w:rFonts w:hint="eastAsia" w:ascii="宋体" w:hAnsi="宋体"/>
          <w:bCs/>
          <w:color w:val="auto"/>
          <w:sz w:val="24"/>
          <w:szCs w:val="24"/>
          <w:highlight w:val="none"/>
          <w:lang w:val="zh-CN"/>
        </w:rPr>
        <w:t>中合计金额（大写金额）</w:t>
      </w:r>
      <w:bookmarkEnd w:id="56"/>
      <w:r>
        <w:rPr>
          <w:rFonts w:hint="eastAsia" w:ascii="宋体" w:hAnsi="宋体"/>
          <w:bCs/>
          <w:color w:val="auto"/>
          <w:sz w:val="24"/>
          <w:szCs w:val="24"/>
          <w:highlight w:val="none"/>
          <w:lang w:val="zh-CN"/>
        </w:rPr>
        <w:t>）和招标文件规定的需要宣布的其他内容。</w:t>
      </w:r>
    </w:p>
    <w:p w14:paraId="2D05C88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57"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57"/>
      <w:r>
        <w:rPr>
          <w:rFonts w:hint="eastAsia" w:ascii="宋体" w:hAnsi="宋体"/>
          <w:bCs/>
          <w:color w:val="auto"/>
          <w:sz w:val="24"/>
          <w:szCs w:val="24"/>
          <w:highlight w:val="none"/>
          <w:lang w:val="zh-CN"/>
        </w:rPr>
        <w:t>投标人未参加开标的，视同认可开标结果。</w:t>
      </w:r>
    </w:p>
    <w:p w14:paraId="252932A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18.4 </w:t>
      </w:r>
      <w:bookmarkStart w:id="58" w:name="OLE_LINK131"/>
      <w:bookmarkStart w:id="59"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58"/>
      <w:bookmarkStart w:id="60"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59"/>
      <w:bookmarkEnd w:id="60"/>
      <w:r>
        <w:rPr>
          <w:rFonts w:hint="eastAsia" w:ascii="宋体" w:hAnsi="宋体"/>
          <w:bCs/>
          <w:color w:val="auto"/>
          <w:sz w:val="24"/>
          <w:szCs w:val="24"/>
          <w:highlight w:val="none"/>
          <w:lang w:val="zh-CN"/>
        </w:rPr>
        <w:t>。</w:t>
      </w:r>
    </w:p>
    <w:p w14:paraId="6806A5A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19、资格性审查</w:t>
      </w:r>
    </w:p>
    <w:p w14:paraId="6A78B555">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19.1 开标结束后，</w:t>
      </w:r>
      <w:r>
        <w:rPr>
          <w:rFonts w:hint="eastAsia" w:ascii="宋体" w:hAnsi="宋体" w:cs="宋体"/>
          <w:color w:val="auto"/>
          <w:sz w:val="24"/>
          <w:szCs w:val="24"/>
          <w:highlight w:val="none"/>
        </w:rPr>
        <w:t>采购人现场依法对投标人的资格进行审查。</w:t>
      </w:r>
    </w:p>
    <w:p w14:paraId="018F8F8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61B8CF1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资格审查包括两部分内容：</w:t>
      </w:r>
    </w:p>
    <w:p w14:paraId="0E2B355F">
      <w:pPr>
        <w:spacing w:line="360" w:lineRule="auto"/>
        <w:ind w:firstLine="480" w:firstLineChars="200"/>
        <w:rPr>
          <w:rFonts w:hint="eastAsia" w:ascii="宋体" w:hAnsi="宋体" w:cs="宋体"/>
          <w:color w:val="auto"/>
          <w:sz w:val="24"/>
          <w:szCs w:val="24"/>
          <w:highlight w:val="none"/>
        </w:rPr>
      </w:pPr>
      <w:bookmarkStart w:id="61" w:name="OLE_LINK257"/>
      <w:r>
        <w:rPr>
          <w:rFonts w:hint="eastAsia" w:ascii="宋体" w:hAnsi="宋体" w:cs="宋体"/>
          <w:color w:val="auto"/>
          <w:sz w:val="24"/>
          <w:szCs w:val="24"/>
          <w:highlight w:val="none"/>
        </w:rPr>
        <w:t xml:space="preserve">19.2.1 </w:t>
      </w:r>
      <w:bookmarkEnd w:id="61"/>
      <w:r>
        <w:rPr>
          <w:rFonts w:hint="eastAsia" w:ascii="宋体" w:hAnsi="宋体" w:cs="宋体"/>
          <w:color w:val="auto"/>
          <w:sz w:val="24"/>
          <w:szCs w:val="24"/>
          <w:highlight w:val="none"/>
        </w:rPr>
        <w:t>按照本须知“7、投标文件的组成”中“</w:t>
      </w:r>
      <w:r>
        <w:rPr>
          <w:rFonts w:hint="eastAsia" w:ascii="宋体" w:hAnsi="宋体" w:cs="宋体"/>
          <w:color w:val="auto"/>
          <w:sz w:val="24"/>
          <w:szCs w:val="24"/>
          <w:highlight w:val="none"/>
          <w:lang w:val="en-US" w:eastAsia="zh-CN"/>
        </w:rPr>
        <w:t>7.3</w:t>
      </w:r>
      <w:r>
        <w:rPr>
          <w:rFonts w:hint="eastAsia" w:ascii="宋体" w:hAnsi="宋体" w:cs="宋体"/>
          <w:color w:val="auto"/>
          <w:sz w:val="24"/>
          <w:szCs w:val="24"/>
          <w:highlight w:val="none"/>
        </w:rPr>
        <w:t>资格证明文件”的要求依法对投标人的资格进行审查。</w:t>
      </w:r>
    </w:p>
    <w:p w14:paraId="62E635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19.2.2 信用查询。</w:t>
      </w:r>
    </w:p>
    <w:p w14:paraId="138E60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45BFCEA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执行人、重大税收违法案件当事人名单、政府采购严重违法失信名单，或在“中国政府采购网”网站（www.ccgp.gov.cn）被列入政府采购严重违法失信行为记录名单。</w:t>
      </w:r>
    </w:p>
    <w:p w14:paraId="40471F70">
      <w:pPr>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③ 查询及记录方式：采购人将查询网页打印、签字并存档备查。投标人不良信用记录以</w:t>
      </w:r>
      <w:r>
        <w:rPr>
          <w:rFonts w:hint="eastAsia" w:ascii="宋体" w:hAnsi="宋体"/>
          <w:bCs/>
          <w:color w:val="auto"/>
          <w:sz w:val="24"/>
          <w:szCs w:val="24"/>
          <w:highlight w:val="none"/>
        </w:rPr>
        <w:t>采购人</w:t>
      </w:r>
      <w:r>
        <w:rPr>
          <w:rFonts w:hint="eastAsia" w:ascii="宋体" w:hAnsi="宋体" w:cs="宋体"/>
          <w:color w:val="auto"/>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6DF2388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20、评标</w:t>
      </w:r>
    </w:p>
    <w:p w14:paraId="5688716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20.1 具体评标事务由采购人依法组建的评标委员会负责。</w:t>
      </w:r>
    </w:p>
    <w:p w14:paraId="29724A28">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20.2评标委员会对符合资格的投标人的投标文件进行符合性审查，以确定其是否满足招标文件的实质性要求。</w:t>
      </w:r>
      <w:r>
        <w:rPr>
          <w:rFonts w:hint="eastAsia" w:ascii="宋体" w:hAnsi="宋体"/>
          <w:b/>
          <w:color w:val="auto"/>
          <w:sz w:val="24"/>
          <w:szCs w:val="24"/>
          <w:highlight w:val="none"/>
          <w:lang w:val="zh-CN"/>
        </w:rPr>
        <w:t>实质性要求是指本招标文件中</w:t>
      </w:r>
      <w:r>
        <w:rPr>
          <w:rFonts w:hint="eastAsia" w:ascii="宋体" w:hAnsi="宋体"/>
          <w:b/>
          <w:color w:val="auto"/>
          <w:sz w:val="24"/>
          <w:szCs w:val="24"/>
          <w:highlight w:val="none"/>
        </w:rPr>
        <w:t>“第三章 项目技术要求和有关说明”部分及其他“必须”或“应（应当）”等文字说明的相关要求。</w:t>
      </w:r>
    </w:p>
    <w:p w14:paraId="0B76538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w:t>
      </w:r>
      <w:bookmarkStart w:id="62" w:name="OLE_LINK132"/>
      <w:r>
        <w:rPr>
          <w:rFonts w:hint="eastAsia" w:ascii="宋体" w:hAnsi="宋体"/>
          <w:bCs/>
          <w:color w:val="auto"/>
          <w:sz w:val="24"/>
          <w:szCs w:val="24"/>
          <w:highlight w:val="none"/>
        </w:rPr>
        <w:t>3</w:t>
      </w:r>
      <w:r>
        <w:rPr>
          <w:rFonts w:hint="eastAsia" w:ascii="宋体" w:hAnsi="宋体"/>
          <w:b/>
          <w:color w:val="auto"/>
          <w:sz w:val="24"/>
          <w:szCs w:val="24"/>
          <w:highlight w:val="none"/>
        </w:rPr>
        <w:t xml:space="preserve"> 澄清有关问题。</w:t>
      </w:r>
      <w:bookmarkEnd w:id="62"/>
      <w:r>
        <w:rPr>
          <w:rFonts w:hint="eastAsia" w:ascii="宋体" w:hAnsi="宋体" w:cs="宋体"/>
          <w:color w:val="auto"/>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4D7A63E7">
      <w:pPr>
        <w:tabs>
          <w:tab w:val="left" w:pos="945"/>
        </w:tabs>
        <w:spacing w:line="360" w:lineRule="auto"/>
        <w:ind w:firstLine="523" w:firstLineChars="218"/>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 xml:space="preserve">.4 </w:t>
      </w:r>
      <w:r>
        <w:rPr>
          <w:rFonts w:hint="eastAsia" w:ascii="宋体" w:hAnsi="宋体"/>
          <w:b/>
          <w:color w:val="auto"/>
          <w:sz w:val="24"/>
          <w:highlight w:val="none"/>
        </w:rPr>
        <w:t>比较与评价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08BC3394">
      <w:pPr>
        <w:tabs>
          <w:tab w:val="left" w:pos="945"/>
        </w:tabs>
        <w:spacing w:line="360" w:lineRule="auto"/>
        <w:ind w:firstLine="523" w:firstLineChars="218"/>
        <w:rPr>
          <w:rFonts w:hint="eastAsia" w:ascii="宋体"/>
          <w:bCs/>
          <w:color w:val="auto"/>
          <w:sz w:val="24"/>
          <w:szCs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w:t>
      </w:r>
      <w:r>
        <w:rPr>
          <w:rFonts w:hint="eastAsia" w:ascii="宋体"/>
          <w:bCs/>
          <w:color w:val="auto"/>
          <w:sz w:val="24"/>
          <w:szCs w:val="24"/>
          <w:highlight w:val="none"/>
        </w:rPr>
        <w:t xml:space="preserve">5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1CB66A3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highlight w:val="none"/>
        </w:rPr>
        <w:t>.5.1本次招标采用综合评分法。评标委员会</w:t>
      </w:r>
      <w:bookmarkStart w:id="63" w:name="OLE_LINK17"/>
      <w:r>
        <w:rPr>
          <w:rFonts w:hint="eastAsia" w:ascii="宋体" w:hAnsi="宋体"/>
          <w:bCs/>
          <w:color w:val="auto"/>
          <w:sz w:val="24"/>
          <w:highlight w:val="none"/>
        </w:rPr>
        <w:t>在</w:t>
      </w:r>
      <w:r>
        <w:rPr>
          <w:rFonts w:hint="eastAsia" w:ascii="宋体" w:hAnsi="宋体" w:cs="宋体"/>
          <w:color w:val="auto"/>
          <w:sz w:val="24"/>
          <w:szCs w:val="24"/>
          <w:highlight w:val="none"/>
        </w:rPr>
        <w:t>投标文件满足招标文件全部实质性要求</w:t>
      </w:r>
      <w:r>
        <w:rPr>
          <w:rFonts w:hint="eastAsia" w:ascii="宋体" w:hAnsi="宋体"/>
          <w:bCs/>
          <w:color w:val="auto"/>
          <w:sz w:val="24"/>
          <w:highlight w:val="none"/>
        </w:rPr>
        <w:t>的前提下</w:t>
      </w:r>
      <w:bookmarkEnd w:id="63"/>
      <w:r>
        <w:rPr>
          <w:rFonts w:hint="eastAsia" w:ascii="宋体" w:hAnsi="宋体"/>
          <w:bCs/>
          <w:color w:val="auto"/>
          <w:sz w:val="24"/>
          <w:szCs w:val="24"/>
          <w:highlight w:val="none"/>
          <w:lang w:val="zh-CN"/>
        </w:rPr>
        <w:t>，按照招标文件确定的评分标准分别评定投标人的分值，各评委所评定分值的平均值为各投标人的最终得分，并按由高到低顺序排列，推荐三名中标候选人。</w:t>
      </w:r>
    </w:p>
    <w:p w14:paraId="125FF259">
      <w:pPr>
        <w:tabs>
          <w:tab w:val="left" w:pos="945"/>
        </w:tabs>
        <w:spacing w:line="360" w:lineRule="auto"/>
        <w:ind w:left="1"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若得分相同，按投标报价由低到高顺序排列；若得分且投标报价均相同的，则进行随机抽签，</w:t>
      </w:r>
      <w:r>
        <w:rPr>
          <w:rFonts w:hint="eastAsia" w:ascii="宋体" w:hAnsi="宋体"/>
          <w:bCs/>
          <w:color w:val="auto"/>
          <w:sz w:val="24"/>
          <w:szCs w:val="24"/>
          <w:highlight w:val="none"/>
        </w:rPr>
        <w:t>按抽取号码值从大到小的顺序排列。随机抽签活动，按下列程序公开进行：</w:t>
      </w:r>
    </w:p>
    <w:p w14:paraId="618E858A">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相同的供应商数量，向抽取箱内放入三倍数量以上的号码球；</w:t>
      </w:r>
    </w:p>
    <w:p w14:paraId="4002E67F">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07CDABB8">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670612D8">
      <w:pPr>
        <w:tabs>
          <w:tab w:val="left" w:pos="945"/>
        </w:tabs>
        <w:spacing w:line="360" w:lineRule="auto"/>
        <w:ind w:firstLine="482" w:firstLineChars="200"/>
        <w:rPr>
          <w:rFonts w:hint="eastAsia" w:ascii="宋体" w:hAnsi="宋体"/>
          <w:bCs/>
          <w:color w:val="auto"/>
          <w:sz w:val="24"/>
          <w:szCs w:val="22"/>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648E22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注：除了算术修正</w:t>
      </w:r>
      <w:bookmarkStart w:id="64" w:name="OLE_LINK201"/>
      <w:r>
        <w:rPr>
          <w:rFonts w:hint="eastAsia" w:ascii="宋体" w:hAnsi="宋体" w:cs="宋体"/>
          <w:color w:val="auto"/>
          <w:sz w:val="24"/>
          <w:szCs w:val="24"/>
          <w:highlight w:val="none"/>
        </w:rPr>
        <w:t>（</w:t>
      </w:r>
      <w:r>
        <w:rPr>
          <w:rFonts w:hint="eastAsia" w:ascii="宋体" w:hAnsi="宋体"/>
          <w:bCs/>
          <w:color w:val="auto"/>
          <w:sz w:val="24"/>
          <w:szCs w:val="24"/>
          <w:highlight w:val="none"/>
        </w:rPr>
        <w:t>20</w:t>
      </w:r>
      <w:r>
        <w:rPr>
          <w:rFonts w:hint="eastAsia" w:ascii="宋体" w:hAnsi="宋体"/>
          <w:bCs/>
          <w:color w:val="auto"/>
          <w:sz w:val="24"/>
          <w:highlight w:val="none"/>
        </w:rPr>
        <w:t>.5.2</w:t>
      </w:r>
      <w:r>
        <w:rPr>
          <w:rFonts w:hint="eastAsia" w:ascii="宋体" w:hAnsi="宋体" w:cs="宋体"/>
          <w:color w:val="auto"/>
          <w:sz w:val="24"/>
          <w:szCs w:val="24"/>
          <w:highlight w:val="none"/>
        </w:rPr>
        <w:t>）</w:t>
      </w:r>
      <w:bookmarkEnd w:id="64"/>
      <w:r>
        <w:rPr>
          <w:rFonts w:hint="eastAsia" w:ascii="宋体" w:hAnsi="宋体" w:cs="宋体"/>
          <w:color w:val="auto"/>
          <w:sz w:val="24"/>
          <w:szCs w:val="24"/>
          <w:highlight w:val="none"/>
        </w:rPr>
        <w:t>外，不对投标人的投标价格进行任何调整。</w:t>
      </w:r>
    </w:p>
    <w:p w14:paraId="4E1A4748">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.5.2投标文件报价出现前后不一致的，除招标文件另有规定外，按照下列规定修正：</w:t>
      </w:r>
    </w:p>
    <w:p w14:paraId="6CB21AED">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5ADBCEAF">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62807622">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15499B83">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7C6500E1">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4DCADA2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 xml:space="preserve">20.6 </w:t>
      </w:r>
      <w:r>
        <w:rPr>
          <w:rFonts w:hint="eastAsia" w:ascii="宋体" w:hAnsi="宋体" w:cs="宋体"/>
          <w:color w:val="auto"/>
          <w:sz w:val="24"/>
          <w:szCs w:val="24"/>
          <w:highlight w:val="none"/>
        </w:rPr>
        <w:t>评标委员会根据全体评标成员签字的原始评标记录和评标结果编写评标报告</w:t>
      </w:r>
      <w:r>
        <w:rPr>
          <w:rFonts w:hint="eastAsia" w:ascii="宋体" w:hAnsi="宋体"/>
          <w:bCs/>
          <w:color w:val="auto"/>
          <w:sz w:val="24"/>
          <w:szCs w:val="24"/>
          <w:highlight w:val="none"/>
          <w:lang w:val="zh-CN"/>
        </w:rPr>
        <w:t>。</w:t>
      </w:r>
    </w:p>
    <w:p w14:paraId="73CABB2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20.7 采购人或</w:t>
      </w:r>
      <w:r>
        <w:rPr>
          <w:rFonts w:hint="eastAsia" w:ascii="宋体" w:hAnsi="宋体"/>
          <w:bCs/>
          <w:color w:val="auto"/>
          <w:sz w:val="24"/>
          <w:szCs w:val="24"/>
          <w:highlight w:val="none"/>
          <w:lang w:val="zh-CN"/>
        </w:rPr>
        <w:t>采购机构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7220067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21、定标</w:t>
      </w:r>
    </w:p>
    <w:p w14:paraId="6155D72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21.1 </w:t>
      </w:r>
      <w:r>
        <w:rPr>
          <w:rFonts w:hint="eastAsia" w:ascii="宋体" w:hAnsi="宋体"/>
          <w:bCs/>
          <w:color w:val="auto"/>
          <w:sz w:val="24"/>
          <w:szCs w:val="24"/>
          <w:highlight w:val="none"/>
          <w:lang w:val="zh-CN"/>
        </w:rPr>
        <w:t>评审结束后，采购人应当在收到评审报告后5个工作日内，在评审报告推荐的成交候选人中按顺序确定</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w:t>
      </w:r>
    </w:p>
    <w:p w14:paraId="2DFC317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21.2 </w:t>
      </w:r>
      <w:r>
        <w:rPr>
          <w:rFonts w:hint="eastAsia" w:ascii="宋体" w:hAnsi="宋体"/>
          <w:bCs/>
          <w:color w:val="auto"/>
          <w:sz w:val="24"/>
          <w:szCs w:val="24"/>
          <w:highlight w:val="none"/>
          <w:lang w:val="zh-CN"/>
        </w:rPr>
        <w:t>采购人和采购代理机构向</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供应商发出中标通知书。</w:t>
      </w:r>
    </w:p>
    <w:p w14:paraId="7B7FDD4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22、投标截止后投标人不足3家或者通过资格审查或符合性审查的投标人不足3家的，除采购任务取消情形外，按照以下方式处理：</w:t>
      </w:r>
    </w:p>
    <w:p w14:paraId="2033A7FD">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22.1招标文件存在不合理条款或者招标程序不符合规定的，采购人、采购代理机构改正后依法重新招标；</w:t>
      </w:r>
    </w:p>
    <w:p w14:paraId="7073F0D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22.2招标文件没有不合理条款、招标程序符合规定，采购人依法报监管部门批准后可以采用其他采购方式采购。</w:t>
      </w:r>
    </w:p>
    <w:p w14:paraId="643A6A7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23、废标的确认</w:t>
      </w:r>
    </w:p>
    <w:p w14:paraId="21EF89E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将废标理由通知所有投标人：</w:t>
      </w:r>
    </w:p>
    <w:p w14:paraId="30C107E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23.1.1</w:t>
      </w: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0D10876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23.1.2</w:t>
      </w:r>
      <w:r>
        <w:rPr>
          <w:rFonts w:hint="eastAsia" w:ascii="宋体" w:hAnsi="宋体"/>
          <w:bCs/>
          <w:color w:val="auto"/>
          <w:sz w:val="24"/>
          <w:szCs w:val="24"/>
          <w:highlight w:val="none"/>
          <w:lang w:val="zh-CN"/>
        </w:rPr>
        <w:t>出现影响采购公正的违法、违规行为；</w:t>
      </w:r>
    </w:p>
    <w:p w14:paraId="48EBB74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23.1.3</w:t>
      </w:r>
      <w:r>
        <w:rPr>
          <w:rFonts w:hint="eastAsia" w:ascii="宋体" w:hAnsi="宋体"/>
          <w:bCs/>
          <w:color w:val="auto"/>
          <w:sz w:val="24"/>
          <w:szCs w:val="24"/>
          <w:highlight w:val="none"/>
          <w:lang w:val="zh-CN"/>
        </w:rPr>
        <w:t>投标人的报价均超过采购预算，采购人不能支付；</w:t>
      </w:r>
    </w:p>
    <w:p w14:paraId="412937D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23.1.4</w:t>
      </w:r>
      <w:r>
        <w:rPr>
          <w:rFonts w:hint="eastAsia" w:ascii="宋体" w:hAnsi="宋体"/>
          <w:bCs/>
          <w:color w:val="auto"/>
          <w:sz w:val="24"/>
          <w:szCs w:val="24"/>
          <w:highlight w:val="none"/>
          <w:lang w:val="zh-CN"/>
        </w:rPr>
        <w:t>因重大变故，采购任务取消。</w:t>
      </w:r>
    </w:p>
    <w:p w14:paraId="08119BF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六、</w:t>
      </w:r>
      <w:r>
        <w:rPr>
          <w:rFonts w:hint="eastAsia" w:ascii="宋体" w:hAnsi="宋体"/>
          <w:b/>
          <w:color w:val="auto"/>
          <w:sz w:val="24"/>
          <w:szCs w:val="24"/>
          <w:highlight w:val="none"/>
          <w:lang w:val="zh-CN"/>
        </w:rPr>
        <w:t>投标保证金</w:t>
      </w:r>
    </w:p>
    <w:p w14:paraId="4BF8DE6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24.1 </w:t>
      </w:r>
      <w:r>
        <w:rPr>
          <w:rFonts w:hint="eastAsia" w:ascii="宋体" w:hAnsi="宋体"/>
          <w:bCs/>
          <w:color w:val="auto"/>
          <w:sz w:val="24"/>
          <w:szCs w:val="24"/>
          <w:highlight w:val="none"/>
          <w:lang w:val="zh-CN"/>
        </w:rPr>
        <w:t>投标保证金应按照投标邀请规定的数额和办法</w:t>
      </w:r>
      <w:r>
        <w:rPr>
          <w:rFonts w:hint="eastAsia" w:ascii="宋体" w:hAnsi="宋体"/>
          <w:bCs/>
          <w:color w:val="auto"/>
          <w:sz w:val="24"/>
          <w:szCs w:val="24"/>
          <w:highlight w:val="none"/>
        </w:rPr>
        <w:t>交纳</w:t>
      </w:r>
      <w:r>
        <w:rPr>
          <w:rFonts w:hint="eastAsia" w:ascii="宋体" w:hAnsi="宋体"/>
          <w:bCs/>
          <w:color w:val="auto"/>
          <w:sz w:val="24"/>
          <w:szCs w:val="24"/>
          <w:highlight w:val="none"/>
          <w:lang w:val="zh-CN"/>
        </w:rPr>
        <w:t>。</w:t>
      </w:r>
    </w:p>
    <w:p w14:paraId="1A50733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24.2招标活动结束后，中标供应商的投标保证金在合同签订后的</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个工作日内退还未中标供应商的投标保证金，不计利息。</w:t>
      </w:r>
      <w:r>
        <w:rPr>
          <w:rFonts w:hint="eastAsia" w:ascii="宋体" w:hAnsi="宋体"/>
          <w:bCs/>
          <w:color w:val="auto"/>
          <w:sz w:val="24"/>
          <w:szCs w:val="24"/>
          <w:highlight w:val="none"/>
          <w:lang w:val="zh-CN"/>
        </w:rPr>
        <w:t>退还投标保证金的手续，由投标人自行与</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lang w:val="zh-CN"/>
        </w:rPr>
        <w:t>联系办理退还事宜。</w:t>
      </w:r>
    </w:p>
    <w:p w14:paraId="507D286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24.3投标人</w:t>
      </w:r>
      <w:r>
        <w:rPr>
          <w:rFonts w:hint="eastAsia" w:ascii="宋体" w:hAnsi="宋体"/>
          <w:bCs/>
          <w:color w:val="auto"/>
          <w:sz w:val="24"/>
          <w:szCs w:val="24"/>
          <w:highlight w:val="none"/>
          <w:lang w:val="zh-CN"/>
        </w:rPr>
        <w:t>有下列情形之一的，其交纳的投标保证金不予退还：</w:t>
      </w:r>
    </w:p>
    <w:p w14:paraId="4E8285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24.3.1</w:t>
      </w:r>
      <w:r>
        <w:rPr>
          <w:rFonts w:hint="eastAsia" w:ascii="宋体" w:hAnsi="宋体"/>
          <w:bCs/>
          <w:color w:val="auto"/>
          <w:sz w:val="24"/>
          <w:szCs w:val="24"/>
          <w:highlight w:val="none"/>
          <w:lang w:val="zh-CN"/>
        </w:rPr>
        <w:t>在提交投标文件截止时间后撤回投标文件的；</w:t>
      </w:r>
    </w:p>
    <w:p w14:paraId="371AD3D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24.3.2</w:t>
      </w:r>
      <w:r>
        <w:rPr>
          <w:rFonts w:hint="eastAsia" w:ascii="宋体" w:hAnsi="宋体"/>
          <w:bCs/>
          <w:color w:val="auto"/>
          <w:sz w:val="24"/>
          <w:szCs w:val="24"/>
          <w:highlight w:val="none"/>
          <w:lang w:val="zh-CN"/>
        </w:rPr>
        <w:t>在投标文件中提供虚假材料的；</w:t>
      </w:r>
    </w:p>
    <w:p w14:paraId="1C0A99E0">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24.3.3</w:t>
      </w:r>
      <w:r>
        <w:rPr>
          <w:rFonts w:hint="eastAsia" w:ascii="宋体" w:hAnsi="宋体"/>
          <w:bCs/>
          <w:color w:val="auto"/>
          <w:sz w:val="24"/>
          <w:szCs w:val="24"/>
          <w:highlight w:val="none"/>
          <w:lang w:val="zh-CN"/>
        </w:rPr>
        <w:t>除因不可抗力或招标文件认可的情形以外，</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供应商不与采购人签订合同的；</w:t>
      </w:r>
    </w:p>
    <w:p w14:paraId="45E69EAB">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24.3.4</w:t>
      </w:r>
      <w:r>
        <w:rPr>
          <w:rFonts w:hint="eastAsia" w:ascii="宋体" w:hAnsi="宋体"/>
          <w:bCs/>
          <w:color w:val="auto"/>
          <w:sz w:val="24"/>
          <w:szCs w:val="24"/>
          <w:highlight w:val="none"/>
          <w:lang w:val="zh-CN"/>
        </w:rPr>
        <w:t>与采购人、其他供应商或者采购代理机构恶意串通的；</w:t>
      </w:r>
    </w:p>
    <w:p w14:paraId="36B228F4">
      <w:pPr>
        <w:tabs>
          <w:tab w:val="left" w:pos="0"/>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24.3.5</w:t>
      </w:r>
      <w:r>
        <w:rPr>
          <w:rFonts w:hint="eastAsia" w:ascii="宋体" w:hAnsi="宋体"/>
          <w:bCs/>
          <w:color w:val="auto"/>
          <w:sz w:val="24"/>
          <w:szCs w:val="24"/>
          <w:highlight w:val="none"/>
          <w:lang w:val="zh-CN"/>
        </w:rPr>
        <w:t>招标文件规定的其他情形。</w:t>
      </w:r>
    </w:p>
    <w:p w14:paraId="51479E6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350BD42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25、签订合同</w:t>
      </w:r>
    </w:p>
    <w:p w14:paraId="34705CB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25.1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29D5E9FA">
      <w:pPr>
        <w:spacing w:line="360" w:lineRule="auto"/>
        <w:ind w:firstLine="480" w:firstLineChars="200"/>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rPr>
        <w:t xml:space="preserve">25.2 </w:t>
      </w:r>
      <w:r>
        <w:rPr>
          <w:rFonts w:hint="eastAsia" w:ascii="宋体" w:hAnsi="宋体"/>
          <w:bCs/>
          <w:color w:val="auto"/>
          <w:sz w:val="24"/>
          <w:szCs w:val="24"/>
          <w:highlight w:val="none"/>
          <w:lang w:val="zh-CN"/>
        </w:rPr>
        <w:t>中标供应商应于</w:t>
      </w:r>
      <w:r>
        <w:rPr>
          <w:rFonts w:hint="eastAsia" w:ascii="宋体" w:hAnsi="宋体"/>
          <w:bCs/>
          <w:color w:val="auto"/>
          <w:sz w:val="24"/>
          <w:szCs w:val="24"/>
          <w:highlight w:val="none"/>
          <w:lang w:val="en-US" w:eastAsia="zh-CN"/>
        </w:rPr>
        <w:t>收到</w:t>
      </w:r>
      <w:r>
        <w:rPr>
          <w:rFonts w:hint="eastAsia" w:ascii="宋体" w:hAnsi="宋体"/>
          <w:bCs/>
          <w:color w:val="auto"/>
          <w:sz w:val="24"/>
          <w:szCs w:val="24"/>
          <w:highlight w:val="none"/>
          <w:lang w:val="zh-CN"/>
        </w:rPr>
        <w:t>中标通知书3</w:t>
      </w:r>
      <w:r>
        <w:rPr>
          <w:rFonts w:hint="eastAsia" w:ascii="宋体" w:hAnsi="宋体"/>
          <w:bCs/>
          <w:color w:val="auto"/>
          <w:sz w:val="24"/>
          <w:szCs w:val="24"/>
          <w:highlight w:val="none"/>
          <w:lang w:val="en-US" w:eastAsia="zh-CN"/>
        </w:rPr>
        <w:t>个工作</w:t>
      </w:r>
      <w:r>
        <w:rPr>
          <w:rFonts w:hint="eastAsia" w:ascii="宋体" w:hAnsi="宋体"/>
          <w:bCs/>
          <w:color w:val="auto"/>
          <w:sz w:val="24"/>
          <w:szCs w:val="24"/>
          <w:highlight w:val="none"/>
          <w:lang w:val="zh-CN"/>
        </w:rPr>
        <w:t>日内</w:t>
      </w:r>
      <w:r>
        <w:rPr>
          <w:rFonts w:hint="eastAsia" w:ascii="宋体" w:hAnsi="宋体"/>
          <w:bCs/>
          <w:color w:val="auto"/>
          <w:sz w:val="24"/>
          <w:szCs w:val="24"/>
          <w:highlight w:val="none"/>
          <w:lang w:val="en-US" w:eastAsia="zh-CN"/>
        </w:rPr>
        <w:t>须按照招标文件要求交纳履约保证金</w:t>
      </w:r>
      <w:r>
        <w:rPr>
          <w:rFonts w:hint="eastAsia" w:ascii="宋体" w:hAnsi="宋体"/>
          <w:bCs/>
          <w:color w:val="auto"/>
          <w:sz w:val="24"/>
          <w:szCs w:val="24"/>
          <w:highlight w:val="none"/>
          <w:lang w:val="zh-CN"/>
        </w:rPr>
        <w:t>；</w:t>
      </w:r>
      <w:r>
        <w:rPr>
          <w:rFonts w:hint="eastAsia" w:ascii="宋体" w:hAnsi="宋体"/>
          <w:bCs/>
          <w:color w:val="auto"/>
          <w:sz w:val="24"/>
          <w:szCs w:val="24"/>
          <w:highlight w:val="none"/>
          <w:lang w:val="en-US" w:eastAsia="zh-CN"/>
        </w:rPr>
        <w:t>若5个工作日内未交纳履约保证金，采购人可没收投标保证金；</w:t>
      </w:r>
    </w:p>
    <w:p w14:paraId="7FB95AA1">
      <w:pPr>
        <w:spacing w:line="360" w:lineRule="auto"/>
        <w:ind w:firstLine="480" w:firstLineChars="200"/>
        <w:rPr>
          <w:rFonts w:hint="eastAsia"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中标供应商应于</w:t>
      </w:r>
      <w:r>
        <w:rPr>
          <w:rFonts w:hint="eastAsia" w:ascii="宋体" w:hAnsi="宋体"/>
          <w:bCs/>
          <w:color w:val="auto"/>
          <w:sz w:val="24"/>
          <w:szCs w:val="24"/>
          <w:highlight w:val="none"/>
          <w:lang w:val="en-US" w:eastAsia="zh-CN"/>
        </w:rPr>
        <w:t>交纳完履约保证金3个工作日内完成合同编辑并寄出给采购人；若5个工作日内未寄出供应商签字敲章的合同，视为放弃中标，采购人可扣除供应商履约保证金。</w:t>
      </w:r>
    </w:p>
    <w:p w14:paraId="0FFF0BC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将依据有关规定进行处理。</w:t>
      </w:r>
    </w:p>
    <w:p w14:paraId="24BB63E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可延期签订合同。</w:t>
      </w:r>
    </w:p>
    <w:p w14:paraId="46DFC1E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25.3 </w:t>
      </w:r>
      <w:r>
        <w:rPr>
          <w:rFonts w:hint="eastAsia" w:ascii="宋体" w:hAnsi="宋体"/>
          <w:bCs/>
          <w:color w:val="auto"/>
          <w:sz w:val="24"/>
          <w:szCs w:val="24"/>
          <w:highlight w:val="none"/>
          <w:lang w:val="zh-CN"/>
        </w:rPr>
        <w:t>签订合同书及合同条款应以招标文件和中标供应商的投标文件为依据。</w:t>
      </w:r>
    </w:p>
    <w:p w14:paraId="0DFB325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w:t>
      </w:r>
      <w:r>
        <w:rPr>
          <w:rFonts w:hint="eastAsia" w:ascii="宋体" w:hAnsi="宋体"/>
          <w:bCs/>
          <w:color w:val="auto"/>
          <w:sz w:val="24"/>
          <w:szCs w:val="24"/>
          <w:highlight w:val="none"/>
          <w:lang w:val="zh-CN"/>
        </w:rPr>
        <w:t>.4 签订合同前，中标单位须支付</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val="zh-CN"/>
        </w:rPr>
        <w:t>履约保证金。</w:t>
      </w:r>
    </w:p>
    <w:tbl>
      <w:tblPr>
        <w:tblStyle w:val="9"/>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3622"/>
        <w:gridCol w:w="772"/>
        <w:gridCol w:w="3040"/>
      </w:tblGrid>
      <w:tr w14:paraId="5914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56" w:type="dxa"/>
            <w:noWrap w:val="0"/>
            <w:vAlign w:val="center"/>
          </w:tcPr>
          <w:p w14:paraId="73C715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bookmarkStart w:id="65" w:name="OLE_LINK136"/>
            <w:r>
              <w:rPr>
                <w:rFonts w:hint="eastAsia"/>
                <w:color w:val="auto"/>
                <w:szCs w:val="21"/>
                <w:highlight w:val="none"/>
              </w:rPr>
              <w:t>交纳履约保证金账户名称</w:t>
            </w:r>
          </w:p>
        </w:tc>
        <w:tc>
          <w:tcPr>
            <w:tcW w:w="3622" w:type="dxa"/>
            <w:noWrap w:val="0"/>
            <w:vAlign w:val="center"/>
          </w:tcPr>
          <w:p w14:paraId="09B6B8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hAnsi="宋体" w:cs="Times New Roman"/>
                <w:bCs/>
                <w:color w:val="auto"/>
                <w:szCs w:val="21"/>
                <w:highlight w:val="none"/>
                <w:lang w:val="en-US" w:eastAsia="zh-CN"/>
              </w:rPr>
              <w:t>宜兴市环保集团有限公司</w:t>
            </w:r>
          </w:p>
        </w:tc>
        <w:tc>
          <w:tcPr>
            <w:tcW w:w="772" w:type="dxa"/>
            <w:vMerge w:val="restart"/>
            <w:noWrap w:val="0"/>
            <w:vAlign w:val="center"/>
          </w:tcPr>
          <w:p w14:paraId="462A72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hAnsi="宋体"/>
                <w:bCs/>
                <w:color w:val="auto"/>
                <w:szCs w:val="21"/>
                <w:highlight w:val="none"/>
                <w:lang w:val="zh-CN"/>
              </w:rPr>
              <w:t>交纳</w:t>
            </w:r>
          </w:p>
          <w:p w14:paraId="05AB2D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hAnsi="宋体"/>
                <w:bCs/>
                <w:color w:val="auto"/>
                <w:szCs w:val="21"/>
                <w:highlight w:val="none"/>
                <w:lang w:val="zh-CN"/>
              </w:rPr>
              <w:t>形式</w:t>
            </w:r>
          </w:p>
        </w:tc>
        <w:tc>
          <w:tcPr>
            <w:tcW w:w="3040" w:type="dxa"/>
            <w:vMerge w:val="restart"/>
            <w:noWrap w:val="0"/>
            <w:vAlign w:val="center"/>
          </w:tcPr>
          <w:p w14:paraId="4E7756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rPr>
              <w:t>银行保函</w:t>
            </w:r>
            <w:r>
              <w:rPr>
                <w:rFonts w:hint="eastAsia" w:ascii="宋体" w:hAnsi="宋体"/>
                <w:bCs/>
                <w:color w:val="auto"/>
                <w:szCs w:val="21"/>
                <w:highlight w:val="none"/>
                <w:lang w:val="zh-CN"/>
              </w:rPr>
              <w:t>（不接受其他形式的履约保证金）</w:t>
            </w:r>
          </w:p>
        </w:tc>
      </w:tr>
      <w:tr w14:paraId="49B0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56" w:type="dxa"/>
            <w:noWrap w:val="0"/>
            <w:vAlign w:val="center"/>
          </w:tcPr>
          <w:p w14:paraId="2F0022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r>
              <w:rPr>
                <w:rFonts w:hint="eastAsia" w:hAnsi="宋体"/>
                <w:bCs/>
                <w:color w:val="auto"/>
                <w:szCs w:val="21"/>
                <w:highlight w:val="none"/>
                <w:lang w:val="zh-CN"/>
              </w:rPr>
              <w:t>开户银行</w:t>
            </w:r>
          </w:p>
        </w:tc>
        <w:tc>
          <w:tcPr>
            <w:tcW w:w="3622" w:type="dxa"/>
            <w:noWrap w:val="0"/>
            <w:vAlign w:val="center"/>
          </w:tcPr>
          <w:p w14:paraId="33AA1A70">
            <w:pPr>
              <w:jc w:val="center"/>
              <w:rPr>
                <w:rFonts w:hint="eastAsia" w:ascii="Times New Roman" w:hAnsi="宋体" w:eastAsia="宋体" w:cs="Times New Roman"/>
                <w:bCs/>
                <w:color w:val="auto"/>
                <w:szCs w:val="21"/>
                <w:highlight w:val="none"/>
                <w:lang w:val="zh-CN" w:eastAsia="zh-CN"/>
              </w:rPr>
            </w:pPr>
            <w:r>
              <w:rPr>
                <w:rFonts w:hint="eastAsia" w:ascii="宋体" w:hAnsi="宋体"/>
                <w:bCs/>
                <w:color w:val="auto"/>
                <w:szCs w:val="21"/>
                <w:highlight w:val="none"/>
                <w:lang w:val="zh-CN"/>
              </w:rPr>
              <w:t>中国光大银行股份有限公司宜兴支行</w:t>
            </w:r>
          </w:p>
        </w:tc>
        <w:tc>
          <w:tcPr>
            <w:tcW w:w="772" w:type="dxa"/>
            <w:vMerge w:val="continue"/>
            <w:noWrap w:val="0"/>
            <w:vAlign w:val="center"/>
          </w:tcPr>
          <w:p w14:paraId="6502DD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c>
          <w:tcPr>
            <w:tcW w:w="3040" w:type="dxa"/>
            <w:vMerge w:val="continue"/>
            <w:noWrap w:val="0"/>
            <w:vAlign w:val="center"/>
          </w:tcPr>
          <w:p w14:paraId="70C9CD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r>
      <w:tr w14:paraId="0633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656" w:type="dxa"/>
            <w:noWrap w:val="0"/>
            <w:vAlign w:val="center"/>
          </w:tcPr>
          <w:p w14:paraId="216FC2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622" w:type="dxa"/>
            <w:noWrap w:val="0"/>
            <w:vAlign w:val="center"/>
          </w:tcPr>
          <w:p w14:paraId="6C8E85F9">
            <w:pPr>
              <w:jc w:val="center"/>
              <w:rPr>
                <w:rFonts w:hint="eastAsia" w:ascii="Times New Roman" w:hAnsi="宋体" w:eastAsia="宋体" w:cs="Times New Roman"/>
                <w:bCs/>
                <w:color w:val="auto"/>
                <w:szCs w:val="21"/>
                <w:highlight w:val="none"/>
                <w:lang w:val="zh-CN" w:eastAsia="zh-CN"/>
              </w:rPr>
            </w:pPr>
            <w:r>
              <w:rPr>
                <w:rFonts w:hint="eastAsia" w:ascii="宋体" w:hAnsi="宋体"/>
                <w:bCs/>
                <w:color w:val="auto"/>
                <w:szCs w:val="21"/>
                <w:highlight w:val="none"/>
                <w:lang w:val="zh-CN"/>
              </w:rPr>
              <w:t>51610188000102616</w:t>
            </w:r>
          </w:p>
        </w:tc>
        <w:tc>
          <w:tcPr>
            <w:tcW w:w="772" w:type="dxa"/>
            <w:vMerge w:val="continue"/>
            <w:noWrap w:val="0"/>
            <w:vAlign w:val="center"/>
          </w:tcPr>
          <w:p w14:paraId="6DED60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c>
          <w:tcPr>
            <w:tcW w:w="3040" w:type="dxa"/>
            <w:vMerge w:val="continue"/>
            <w:noWrap w:val="0"/>
            <w:vAlign w:val="center"/>
          </w:tcPr>
          <w:p w14:paraId="1D420E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r>
      <w:bookmarkEnd w:id="65"/>
    </w:tbl>
    <w:p w14:paraId="0E39786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注：履约保证金于合同履约结束之日起三十个工作日内无息退还。若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p w14:paraId="051D9A5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bookmarkStart w:id="66" w:name="OLE_LINK5"/>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rPr>
        <w:t>及其所有下属子公司的</w:t>
      </w:r>
      <w:r>
        <w:rPr>
          <w:rFonts w:ascii="宋体" w:hAnsi="宋体"/>
          <w:bCs/>
          <w:color w:val="auto"/>
          <w:sz w:val="24"/>
          <w:szCs w:val="24"/>
          <w:highlight w:val="none"/>
          <w:lang w:val="zh-CN"/>
        </w:rPr>
        <w:t>采购活动</w:t>
      </w:r>
      <w:bookmarkStart w:id="67" w:name="OLE_LINK2"/>
      <w:r>
        <w:rPr>
          <w:rFonts w:hint="eastAsia" w:ascii="宋体" w:hAnsi="宋体"/>
          <w:bCs/>
          <w:color w:val="auto"/>
          <w:sz w:val="24"/>
          <w:szCs w:val="24"/>
          <w:highlight w:val="none"/>
          <w:lang w:val="zh-CN"/>
        </w:rPr>
        <w:t>。</w:t>
      </w:r>
      <w:bookmarkEnd w:id="66"/>
      <w:bookmarkEnd w:id="67"/>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3DBF251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6E19587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604E7E1A">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八、投标行为：</w:t>
      </w:r>
    </w:p>
    <w:p w14:paraId="4723AB7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26、投标行为：</w:t>
      </w:r>
    </w:p>
    <w:p w14:paraId="56BE4BA9">
      <w:pPr>
        <w:spacing w:line="360" w:lineRule="auto"/>
        <w:ind w:firstLine="480" w:firstLineChars="200"/>
        <w:rPr>
          <w:rFonts w:hint="eastAsia" w:ascii="宋体" w:hAnsi="宋体"/>
          <w:bCs/>
          <w:color w:val="auto"/>
          <w:sz w:val="24"/>
          <w:szCs w:val="24"/>
          <w:highlight w:val="none"/>
          <w:lang w:val="zh-CN"/>
        </w:rPr>
      </w:pPr>
      <w:bookmarkStart w:id="68" w:name="OLE_LINK184"/>
      <w:r>
        <w:rPr>
          <w:rFonts w:hint="eastAsia" w:ascii="宋体" w:hAnsi="宋体"/>
          <w:bCs/>
          <w:color w:val="auto"/>
          <w:sz w:val="24"/>
          <w:szCs w:val="24"/>
          <w:highlight w:val="none"/>
        </w:rPr>
        <w:t>26.1</w:t>
      </w:r>
      <w:r>
        <w:rPr>
          <w:rFonts w:hint="eastAsia" w:ascii="宋体" w:hAnsi="宋体"/>
          <w:bCs/>
          <w:color w:val="auto"/>
          <w:sz w:val="24"/>
          <w:szCs w:val="24"/>
          <w:highlight w:val="none"/>
          <w:lang w:val="zh-CN"/>
        </w:rPr>
        <w:t>投标人的投标行为必须遵守各项法律、法规、规章及相关制度的规定。</w:t>
      </w:r>
    </w:p>
    <w:p w14:paraId="39A1AB7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26.2</w:t>
      </w:r>
      <w:r>
        <w:rPr>
          <w:rFonts w:hint="eastAsia" w:ascii="宋体" w:hAnsi="宋体"/>
          <w:bCs/>
          <w:color w:val="auto"/>
          <w:sz w:val="24"/>
          <w:szCs w:val="24"/>
          <w:highlight w:val="none"/>
          <w:lang w:val="zh-CN"/>
        </w:rPr>
        <w:t>投标服务及产品、产品安装（施工）等应符合国家、行业等相关标准及要求。</w:t>
      </w:r>
    </w:p>
    <w:p w14:paraId="510775D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26.3</w:t>
      </w: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1131922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26.4</w:t>
      </w: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7A758DE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469DCE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w:t>
      </w:r>
      <w:bookmarkEnd w:id="68"/>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、招标文件、投标文件</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和响应</w:t>
      </w:r>
      <w:r>
        <w:rPr>
          <w:rFonts w:ascii="宋体" w:hAnsi="宋体"/>
          <w:bCs/>
          <w:color w:val="auto"/>
          <w:sz w:val="24"/>
          <w:szCs w:val="24"/>
          <w:highlight w:val="none"/>
          <w:lang w:val="zh-CN"/>
        </w:rPr>
        <w:t>的技术、服务、安全标准对供应商</w:t>
      </w:r>
      <w:r>
        <w:rPr>
          <w:rFonts w:hint="eastAsia" w:ascii="宋体" w:hAnsi="宋体"/>
          <w:bCs/>
          <w:color w:val="auto"/>
          <w:sz w:val="24"/>
          <w:szCs w:val="24"/>
          <w:highlight w:val="none"/>
          <w:lang w:val="zh-CN"/>
        </w:rPr>
        <w:t>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。由采购人对中标供应商进行履约管理，并及时向中标供应商支付采购资金。</w:t>
      </w:r>
    </w:p>
    <w:p w14:paraId="5E8E6748">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5CCA7AB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28、询问</w:t>
      </w:r>
    </w:p>
    <w:p w14:paraId="10101A71">
      <w:pPr>
        <w:spacing w:line="360" w:lineRule="auto"/>
        <w:ind w:firstLine="480" w:firstLineChars="200"/>
        <w:rPr>
          <w:rFonts w:hint="eastAsia" w:ascii="宋体" w:hAnsi="宋体"/>
          <w:bCs/>
          <w:color w:val="auto"/>
          <w:sz w:val="24"/>
          <w:szCs w:val="24"/>
          <w:highlight w:val="none"/>
          <w:lang w:val="zh-CN"/>
        </w:rPr>
      </w:pPr>
      <w:bookmarkStart w:id="69" w:name="OLE_LINK22"/>
      <w:r>
        <w:rPr>
          <w:rFonts w:hint="eastAsia" w:ascii="宋体" w:hAnsi="宋体"/>
          <w:bCs/>
          <w:color w:val="auto"/>
          <w:sz w:val="24"/>
          <w:szCs w:val="24"/>
          <w:highlight w:val="none"/>
          <w:lang w:val="zh-CN"/>
        </w:rPr>
        <w:t>投标人对采购活动事项有疑问的，可以向</w:t>
      </w:r>
      <w:bookmarkStart w:id="70" w:name="OLE_LINK24"/>
      <w:r>
        <w:rPr>
          <w:rFonts w:hint="eastAsia" w:ascii="宋体" w:hAnsi="宋体"/>
          <w:bCs/>
          <w:color w:val="auto"/>
          <w:sz w:val="24"/>
          <w:szCs w:val="24"/>
          <w:highlight w:val="none"/>
          <w:lang w:val="zh-CN"/>
        </w:rPr>
        <w:t>采购人</w:t>
      </w:r>
      <w:bookmarkEnd w:id="70"/>
      <w:r>
        <w:rPr>
          <w:rFonts w:hint="eastAsia" w:ascii="宋体" w:hAnsi="宋体"/>
          <w:bCs/>
          <w:color w:val="auto"/>
          <w:sz w:val="24"/>
          <w:szCs w:val="24"/>
          <w:highlight w:val="none"/>
          <w:lang w:val="zh-CN"/>
        </w:rPr>
        <w:t>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bookmarkEnd w:id="69"/>
    </w:p>
    <w:p w14:paraId="6CDE1A00">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29、质疑</w:t>
      </w:r>
    </w:p>
    <w:p w14:paraId="16ADD53F">
      <w:pPr>
        <w:spacing w:line="360" w:lineRule="auto"/>
        <w:ind w:firstLine="480" w:firstLineChars="200"/>
        <w:rPr>
          <w:rFonts w:hint="eastAsia" w:ascii="宋体" w:hAnsi="宋体"/>
          <w:b/>
          <w:color w:val="auto"/>
          <w:sz w:val="24"/>
          <w:szCs w:val="24"/>
          <w:highlight w:val="none"/>
          <w:lang w:val="zh-CN"/>
        </w:rPr>
      </w:pPr>
      <w:bookmarkStart w:id="71" w:name="OLE_LINK23"/>
      <w:bookmarkStart w:id="72" w:name="OLE_LINK142"/>
      <w:r>
        <w:rPr>
          <w:rFonts w:hint="eastAsia" w:ascii="宋体" w:hAnsi="宋体"/>
          <w:bCs/>
          <w:color w:val="auto"/>
          <w:sz w:val="24"/>
          <w:szCs w:val="24"/>
          <w:highlight w:val="none"/>
        </w:rPr>
        <w:t xml:space="preserve">29.1 </w:t>
      </w:r>
      <w:bookmarkStart w:id="73"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 宜兴市公共资源交易中心”</w:t>
      </w:r>
      <w:r>
        <w:rPr>
          <w:rFonts w:hint="eastAsia" w:ascii="宋体" w:hAnsi="宋体"/>
          <w:bCs/>
          <w:color w:val="auto"/>
          <w:sz w:val="24"/>
          <w:szCs w:val="24"/>
          <w:highlight w:val="none"/>
        </w:rPr>
        <w:t>网站</w:t>
      </w:r>
      <w:r>
        <w:rPr>
          <w:rFonts w:hint="eastAsia" w:ascii="宋体" w:hAnsi="宋体"/>
          <w:bCs/>
          <w:color w:val="auto"/>
          <w:sz w:val="24"/>
          <w:szCs w:val="24"/>
          <w:highlight w:val="none"/>
          <w:lang w:val="zh-CN"/>
        </w:rPr>
        <w:t>“下载中心”栏自行下载。</w:t>
      </w:r>
      <w:bookmarkEnd w:id="73"/>
    </w:p>
    <w:p w14:paraId="1ED39EA6">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29.2</w:t>
      </w:r>
      <w:r>
        <w:rPr>
          <w:rFonts w:hint="eastAsia" w:ascii="宋体" w:hAnsi="宋体"/>
          <w:b/>
          <w:color w:val="auto"/>
          <w:sz w:val="24"/>
          <w:szCs w:val="24"/>
          <w:highlight w:val="none"/>
          <w:lang w:val="zh-CN"/>
        </w:rPr>
        <w:t>质疑答复责任主体：</w:t>
      </w:r>
    </w:p>
    <w:p w14:paraId="3BD5CCD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29.2.1</w:t>
      </w: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16CDF44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29.2.2</w:t>
      </w: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71"/>
    </w:p>
    <w:p w14:paraId="5232ACC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29.3 </w:t>
      </w:r>
      <w:bookmarkStart w:id="74"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4"/>
    </w:p>
    <w:p w14:paraId="049C61F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29.4 </w:t>
      </w:r>
      <w:r>
        <w:rPr>
          <w:rFonts w:hint="eastAsia" w:ascii="宋体" w:hAnsi="宋体"/>
          <w:bCs/>
          <w:color w:val="auto"/>
          <w:sz w:val="24"/>
          <w:szCs w:val="24"/>
          <w:highlight w:val="none"/>
          <w:lang w:val="zh-CN"/>
        </w:rPr>
        <w:t>对符合法定质疑条件的质疑，被质疑人在受理后的七个工作日内进行书面答复。</w:t>
      </w:r>
    </w:p>
    <w:p w14:paraId="50ECE61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29.5 </w:t>
      </w:r>
      <w:r>
        <w:rPr>
          <w:rFonts w:hint="eastAsia" w:ascii="宋体" w:hAnsi="宋体"/>
          <w:bCs/>
          <w:color w:val="auto"/>
          <w:sz w:val="24"/>
          <w:szCs w:val="24"/>
          <w:highlight w:val="none"/>
          <w:lang w:val="zh-CN"/>
        </w:rPr>
        <w:t>恶意质疑或提交虚假质疑一经查实，被质疑人有权依据政府采购法的有关规定，报请采购监管部门对该质疑人进行相应处罚。</w:t>
      </w:r>
    </w:p>
    <w:bookmarkEnd w:id="72"/>
    <w:p w14:paraId="40076F52">
      <w:pPr>
        <w:spacing w:line="360" w:lineRule="auto"/>
        <w:ind w:firstLine="482" w:firstLineChars="200"/>
        <w:rPr>
          <w:rFonts w:hint="eastAsia" w:ascii="宋体" w:hAnsi="宋体"/>
          <w:b/>
          <w:color w:val="auto"/>
          <w:sz w:val="24"/>
          <w:szCs w:val="24"/>
          <w:highlight w:val="none"/>
          <w:lang w:val="zh-CN"/>
        </w:rPr>
      </w:pPr>
      <w:bookmarkStart w:id="75" w:name="_Toc23122"/>
      <w:r>
        <w:rPr>
          <w:rFonts w:hint="eastAsia" w:ascii="宋体" w:hAnsi="宋体"/>
          <w:b/>
          <w:color w:val="auto"/>
          <w:sz w:val="24"/>
          <w:szCs w:val="24"/>
          <w:highlight w:val="none"/>
        </w:rPr>
        <w:t>30、 投诉</w:t>
      </w:r>
    </w:p>
    <w:p w14:paraId="6BB07340">
      <w:pPr>
        <w:spacing w:line="360" w:lineRule="auto"/>
        <w:ind w:firstLine="480" w:firstLineChars="200"/>
        <w:jc w:val="left"/>
        <w:rPr>
          <w:rFonts w:hint="eastAsia" w:ascii="宋体" w:hAnsi="宋体"/>
          <w:bCs/>
          <w:color w:val="auto"/>
          <w:sz w:val="24"/>
          <w:szCs w:val="24"/>
          <w:highlight w:val="none"/>
          <w:lang w:val="zh-CN"/>
        </w:rPr>
      </w:pPr>
      <w:r>
        <w:rPr>
          <w:rFonts w:hint="eastAsia" w:ascii="宋体" w:hAnsi="宋体"/>
          <w:bCs/>
          <w:color w:val="auto"/>
          <w:sz w:val="24"/>
          <w:szCs w:val="24"/>
          <w:highlight w:val="none"/>
        </w:rPr>
        <w:t>30.1</w:t>
      </w:r>
      <w:r>
        <w:rPr>
          <w:rFonts w:ascii="宋体" w:hAnsi="宋体"/>
          <w:bCs/>
          <w:color w:val="auto"/>
          <w:sz w:val="24"/>
          <w:szCs w:val="24"/>
          <w:highlight w:val="none"/>
          <w:lang w:val="zh-CN"/>
        </w:rPr>
        <w:t>质疑供应商对采购人的答复不满意或者采购人未在规定的时间内作出答复的，可以在答复期满后十五个工作日内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bookmarkEnd w:id="75"/>
      <w:bookmarkStart w:id="76" w:name="_Toc30976"/>
      <w:bookmarkStart w:id="77" w:name="_Toc25105"/>
    </w:p>
    <w:p w14:paraId="7590AFF1">
      <w:pPr>
        <w:spacing w:line="360" w:lineRule="auto"/>
        <w:ind w:firstLine="2520" w:firstLineChars="900"/>
        <w:jc w:val="left"/>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br w:type="page"/>
      </w:r>
      <w:bookmarkEnd w:id="76"/>
      <w:bookmarkEnd w:id="77"/>
      <w:bookmarkStart w:id="78" w:name="_Toc25967"/>
      <w:bookmarkStart w:id="79" w:name="_Toc3082"/>
      <w:r>
        <w:rPr>
          <w:rFonts w:hint="eastAsia" w:ascii="黑体" w:hAnsi="黑体" w:eastAsia="黑体" w:cs="黑体"/>
          <w:bCs/>
          <w:color w:val="auto"/>
          <w:sz w:val="28"/>
          <w:szCs w:val="28"/>
          <w:highlight w:val="none"/>
        </w:rPr>
        <w:t>第三章 项目技术要求和有关说明</w:t>
      </w:r>
    </w:p>
    <w:p w14:paraId="0D71DE84">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w:t>
      </w:r>
      <w:r>
        <w:rPr>
          <w:rFonts w:hint="eastAsia" w:ascii="宋体" w:hAnsi="宋体" w:cs="宋体"/>
          <w:color w:val="auto"/>
          <w:sz w:val="24"/>
          <w:szCs w:val="24"/>
          <w:highlight w:val="none"/>
          <w:lang w:val="en-US" w:eastAsia="zh-CN"/>
        </w:rPr>
        <w:t>宜兴市环保集团有限公司宜兴市西氿近岸湖体修复工程不可避让论证服务项目</w:t>
      </w:r>
      <w:r>
        <w:rPr>
          <w:rFonts w:hint="eastAsia" w:ascii="宋体" w:hAnsi="宋体" w:eastAsia="宋体" w:cs="宋体"/>
          <w:color w:val="auto"/>
          <w:sz w:val="24"/>
          <w:szCs w:val="24"/>
          <w:highlight w:val="none"/>
          <w:lang w:val="en-US" w:eastAsia="zh-CN"/>
        </w:rPr>
        <w:t>采购。具体要求如下，投标人须提供满足以下要求的服务，不得有负偏离。</w:t>
      </w:r>
    </w:p>
    <w:p w14:paraId="3B8583A0">
      <w:pPr>
        <w:keepNext/>
        <w:keepLines/>
        <w:pageBreakBefore w:val="0"/>
        <w:widowControl w:val="0"/>
        <w:numPr>
          <w:ilvl w:val="0"/>
          <w:numId w:val="0"/>
        </w:numPr>
        <w:kinsoku/>
        <w:wordWrap/>
        <w:overflowPunct/>
        <w:topLinePunct w:val="0"/>
        <w:bidi w:val="0"/>
        <w:snapToGrid w:val="0"/>
        <w:spacing w:before="0" w:after="0" w:line="360" w:lineRule="auto"/>
        <w:ind w:left="510" w:leftChars="0" w:hanging="510" w:firstLineChars="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一</w:t>
      </w:r>
      <w:r>
        <w:rPr>
          <w:rFonts w:hint="default"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工程概况</w:t>
      </w:r>
    </w:p>
    <w:p w14:paraId="7DBB636F">
      <w:pPr>
        <w:pageBreakBefore w:val="0"/>
        <w:kinsoku/>
        <w:overflowPunct/>
        <w:topLinePunct w:val="0"/>
        <w:bidi w:val="0"/>
        <w:snapToGrid w:val="0"/>
        <w:spacing w:line="360" w:lineRule="auto"/>
        <w:ind w:firstLine="480" w:firstLineChars="200"/>
        <w:rPr>
          <w:color w:val="auto"/>
          <w:sz w:val="24"/>
          <w:szCs w:val="24"/>
          <w:highlight w:val="none"/>
        </w:rPr>
      </w:pPr>
      <w:r>
        <w:rPr>
          <w:rFonts w:hint="eastAsia" w:ascii="Times New Roman" w:hAnsi="Times New Roman" w:eastAsia="宋体" w:cs="Times New Roman"/>
          <w:color w:val="auto"/>
          <w:sz w:val="24"/>
          <w:highlight w:val="none"/>
          <w:lang w:val="en-US" w:eastAsia="zh-CN"/>
        </w:rPr>
        <w:t>本次宜兴市西氿近岸湖体修复工程根据水深和水流条件，将治理区域分为西区和南区，总计生态修复岸线长度约7km，修复面积约37km2。</w:t>
      </w:r>
    </w:p>
    <w:p w14:paraId="246B146A">
      <w:pPr>
        <w:pageBreakBefore w:val="0"/>
        <w:kinsoku/>
        <w:overflowPunct/>
        <w:topLinePunct w:val="0"/>
        <w:bidi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通过收集资料和踏勘现场等调查成果手段，判断建设项目涉及生态红线类型和面积，评估涉及生态红线生态功能，分析建设项目涉及生态红线类型和符合规划情况，编制并上报不可避让论证报告。根据各层级审查意见，修改完善论证报告，确保成果资料符合国家现行相关技术规范、标准及规程要求，并通过相关部门论证及相关部门的审批流程，并协助采购人通过主管部门的审批，获得批复意见。</w:t>
      </w:r>
    </w:p>
    <w:p w14:paraId="7F68152B">
      <w:pPr>
        <w:pageBreakBefore w:val="0"/>
        <w:widowControl w:val="0"/>
        <w:kinsoku/>
        <w:wordWrap/>
        <w:overflowPunct/>
        <w:topLinePunct w:val="0"/>
        <w:bidi w:val="0"/>
        <w:snapToGrid w:val="0"/>
        <w:spacing w:line="360" w:lineRule="auto"/>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、服务内容</w:t>
      </w:r>
    </w:p>
    <w:p w14:paraId="13108436">
      <w:pPr>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根据文件要求，编制不可避让论证报告，内容包括：项目概况、工程任务、工程建设内容、项目建设报批情况、与主体功能区的相符性、与区域水功能区划和生态环境功能区划的相符性、项目占用生态管控区</w:t>
      </w:r>
      <w:r>
        <w:rPr>
          <w:rFonts w:hint="eastAsia" w:ascii="宋体" w:hAnsi="宋体" w:eastAsia="宋体" w:cs="宋体"/>
          <w:color w:val="auto"/>
          <w:sz w:val="24"/>
          <w:szCs w:val="28"/>
          <w:highlight w:val="none"/>
          <w:lang w:val="en-US" w:eastAsia="zh-CN"/>
        </w:rPr>
        <w:t>或</w:t>
      </w:r>
      <w:r>
        <w:rPr>
          <w:rFonts w:hint="eastAsia" w:ascii="Times New Roman" w:hAnsi="Times New Roman" w:eastAsia="宋体" w:cs="Times New Roman"/>
          <w:color w:val="auto"/>
          <w:sz w:val="24"/>
          <w:szCs w:val="24"/>
          <w:highlight w:val="none"/>
        </w:rPr>
        <w:t>生态红线</w:t>
      </w:r>
      <w:r>
        <w:rPr>
          <w:rFonts w:hint="eastAsia" w:ascii="Times New Roman" w:hAnsi="Times New Roman" w:eastAsia="宋体" w:cs="Times New Roman"/>
          <w:color w:val="auto"/>
          <w:sz w:val="24"/>
          <w:szCs w:val="24"/>
          <w:highlight w:val="none"/>
          <w:lang w:val="en-US" w:eastAsia="zh-CN"/>
        </w:rPr>
        <w:t>的</w:t>
      </w:r>
      <w:r>
        <w:rPr>
          <w:rFonts w:hint="eastAsia" w:ascii="宋体" w:hAnsi="宋体" w:eastAsia="宋体" w:cs="宋体"/>
          <w:color w:val="auto"/>
          <w:sz w:val="24"/>
          <w:szCs w:val="28"/>
          <w:highlight w:val="none"/>
        </w:rPr>
        <w:t>基本情况、占用生态管控区</w:t>
      </w:r>
      <w:r>
        <w:rPr>
          <w:rFonts w:hint="eastAsia" w:ascii="宋体" w:hAnsi="宋体" w:eastAsia="宋体" w:cs="宋体"/>
          <w:color w:val="auto"/>
          <w:sz w:val="24"/>
          <w:szCs w:val="28"/>
          <w:highlight w:val="none"/>
          <w:lang w:val="en-US" w:eastAsia="zh-CN"/>
        </w:rPr>
        <w:t>或</w:t>
      </w:r>
      <w:r>
        <w:rPr>
          <w:rFonts w:hint="eastAsia" w:ascii="Times New Roman" w:hAnsi="Times New Roman" w:eastAsia="宋体" w:cs="Times New Roman"/>
          <w:color w:val="auto"/>
          <w:sz w:val="24"/>
          <w:szCs w:val="24"/>
          <w:highlight w:val="none"/>
        </w:rPr>
        <w:t>生态红线</w:t>
      </w:r>
      <w:r>
        <w:rPr>
          <w:rFonts w:hint="eastAsia" w:ascii="宋体" w:hAnsi="宋体" w:eastAsia="宋体" w:cs="宋体"/>
          <w:color w:val="auto"/>
          <w:sz w:val="24"/>
          <w:szCs w:val="28"/>
          <w:highlight w:val="none"/>
        </w:rPr>
        <w:t>的不可避让性、生态环境影响分析及生态补偿等。</w:t>
      </w:r>
    </w:p>
    <w:p w14:paraId="7E12E686">
      <w:pPr>
        <w:pageBreakBefore w:val="0"/>
        <w:kinsoku/>
        <w:overflowPunct/>
        <w:topLinePunct w:val="0"/>
        <w:bidi w:val="0"/>
        <w:snapToGrid w:val="0"/>
        <w:spacing w:line="360" w:lineRule="auto"/>
        <w:ind w:firstLine="480" w:firstLineChars="200"/>
        <w:rPr>
          <w:rFonts w:hint="default" w:ascii="宋体" w:hAnsi="宋体" w:eastAsia="宋体" w:cs="宋体"/>
          <w:color w:val="auto"/>
          <w:sz w:val="24"/>
          <w:szCs w:val="28"/>
          <w:highlight w:val="none"/>
          <w:lang w:val="en-US"/>
        </w:rPr>
      </w:pPr>
      <w:r>
        <w:rPr>
          <w:rFonts w:hint="eastAsia" w:ascii="宋体" w:hAnsi="宋体" w:eastAsia="宋体" w:cs="宋体"/>
          <w:color w:val="auto"/>
          <w:sz w:val="24"/>
          <w:szCs w:val="28"/>
          <w:highlight w:val="none"/>
        </w:rPr>
        <w:t>参加由自然资源部门组织的专家论证会，阐述涉及项目生态空间管控区</w:t>
      </w:r>
      <w:r>
        <w:rPr>
          <w:rFonts w:hint="eastAsia" w:ascii="宋体" w:hAnsi="宋体" w:eastAsia="宋体" w:cs="宋体"/>
          <w:color w:val="auto"/>
          <w:sz w:val="24"/>
          <w:szCs w:val="28"/>
          <w:highlight w:val="none"/>
          <w:lang w:val="en-US" w:eastAsia="zh-CN"/>
        </w:rPr>
        <w:t>或</w:t>
      </w:r>
      <w:r>
        <w:rPr>
          <w:rFonts w:hint="eastAsia" w:ascii="Times New Roman" w:hAnsi="Times New Roman" w:eastAsia="宋体" w:cs="Times New Roman"/>
          <w:color w:val="auto"/>
          <w:sz w:val="24"/>
          <w:szCs w:val="24"/>
          <w:highlight w:val="none"/>
        </w:rPr>
        <w:t>生态红线</w:t>
      </w:r>
      <w:r>
        <w:rPr>
          <w:rFonts w:hint="eastAsia" w:ascii="Times New Roman" w:hAnsi="Times New Roman" w:eastAsia="宋体" w:cs="Times New Roman"/>
          <w:color w:val="auto"/>
          <w:sz w:val="24"/>
          <w:szCs w:val="24"/>
          <w:highlight w:val="none"/>
          <w:lang w:val="en-US" w:eastAsia="zh-CN"/>
        </w:rPr>
        <w:t>的</w:t>
      </w:r>
      <w:r>
        <w:rPr>
          <w:rFonts w:hint="eastAsia" w:ascii="宋体" w:hAnsi="宋体" w:eastAsia="宋体" w:cs="宋体"/>
          <w:color w:val="auto"/>
          <w:sz w:val="24"/>
          <w:szCs w:val="28"/>
          <w:highlight w:val="none"/>
        </w:rPr>
        <w:t>情况，通过专家及相关部门的质询，获得市政府出具的论证意见。</w:t>
      </w:r>
    </w:p>
    <w:p w14:paraId="532DA8EA">
      <w:pPr>
        <w:keepNext/>
        <w:keepLines/>
        <w:pageBreakBefore w:val="0"/>
        <w:widowControl w:val="0"/>
        <w:kinsoku/>
        <w:wordWrap/>
        <w:overflowPunct/>
        <w:topLinePunct w:val="0"/>
        <w:bidi w:val="0"/>
        <w:snapToGrid w:val="0"/>
        <w:spacing w:before="0" w:after="0" w:line="360" w:lineRule="auto"/>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三、项目成果要求</w:t>
      </w:r>
    </w:p>
    <w:p w14:paraId="32170652">
      <w:pPr>
        <w:pageBreakBefore w:val="0"/>
        <w:kinsoku/>
        <w:overflowPunct/>
        <w:topLinePunct w:val="0"/>
        <w:bidi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（一）提交经上级主管部门组织论证通过的《</w:t>
      </w:r>
      <w:r>
        <w:rPr>
          <w:rFonts w:hint="eastAsia" w:ascii="宋体" w:hAnsi="宋体" w:cs="宋体"/>
          <w:color w:val="auto"/>
          <w:sz w:val="24"/>
          <w:szCs w:val="24"/>
          <w:highlight w:val="none"/>
          <w:lang w:val="en-US" w:eastAsia="zh-CN"/>
        </w:rPr>
        <w:t>宜兴市西氿近岸湖体修复工程不可避让论证</w:t>
      </w:r>
      <w:r>
        <w:rPr>
          <w:rFonts w:hint="eastAsia" w:ascii="Times New Roman" w:hAnsi="Times New Roman" w:eastAsia="宋体" w:cs="Times New Roman"/>
          <w:color w:val="auto"/>
          <w:sz w:val="24"/>
          <w:highlight w:val="none"/>
        </w:rPr>
        <w:t>报告》专家论证意见；</w:t>
      </w:r>
    </w:p>
    <w:p w14:paraId="2F2814BF">
      <w:pPr>
        <w:pageBreakBefore w:val="0"/>
        <w:kinsoku/>
        <w:overflowPunct/>
        <w:topLinePunct w:val="0"/>
        <w:bidi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（二）无锡市自然资源和规划局和无锡市生态环境局联合出具的《无锡市自然资源和规划局无锡市生态环境局关于《</w:t>
      </w:r>
      <w:r>
        <w:rPr>
          <w:rFonts w:hint="eastAsia" w:ascii="宋体" w:hAnsi="宋体" w:cs="宋体"/>
          <w:color w:val="auto"/>
          <w:sz w:val="24"/>
          <w:szCs w:val="24"/>
          <w:highlight w:val="none"/>
          <w:lang w:val="en-US" w:eastAsia="zh-CN"/>
        </w:rPr>
        <w:t>宜兴市西氿近岸湖体修复工程</w:t>
      </w:r>
      <w:r>
        <w:rPr>
          <w:rFonts w:hint="eastAsia" w:ascii="Times New Roman" w:hAnsi="Times New Roman" w:eastAsia="宋体" w:cs="Times New Roman"/>
          <w:color w:val="auto"/>
          <w:sz w:val="24"/>
          <w:highlight w:val="none"/>
        </w:rPr>
        <w:t>临时用地涉及生态空间管控区域的意见》。</w:t>
      </w:r>
    </w:p>
    <w:p w14:paraId="072C5D14">
      <w:pPr>
        <w:pageBreakBefore w:val="0"/>
        <w:widowControl w:val="0"/>
        <w:numPr>
          <w:ilvl w:val="0"/>
          <w:numId w:val="0"/>
        </w:numPr>
        <w:kinsoku/>
        <w:wordWrap/>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color w:val="auto"/>
          <w:sz w:val="24"/>
          <w:szCs w:val="24"/>
          <w:highlight w:val="none"/>
        </w:rPr>
        <w:t>商务要求</w:t>
      </w:r>
    </w:p>
    <w:p w14:paraId="1F25249F">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1、报价要求：</w:t>
      </w:r>
    </w:p>
    <w:p w14:paraId="013DD0E1">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 供应商所投标报价不得高于投标最高预算限价，否则按废标处理。</w:t>
      </w:r>
    </w:p>
    <w:p w14:paraId="3448B7F3">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 本项目投标报价</w:t>
      </w:r>
      <w:r>
        <w:rPr>
          <w:rFonts w:hint="eastAsia" w:ascii="宋体" w:hAnsi="宋体" w:cs="宋体"/>
          <w:color w:val="auto"/>
          <w:sz w:val="24"/>
          <w:szCs w:val="24"/>
          <w:highlight w:val="none"/>
          <w:lang w:val="en-US" w:eastAsia="zh-CN" w:bidi="ar-SA"/>
        </w:rPr>
        <w:t>包括但不限于</w:t>
      </w:r>
      <w:r>
        <w:rPr>
          <w:rFonts w:hint="eastAsia" w:ascii="宋体" w:hAnsi="宋体" w:eastAsia="宋体" w:cs="宋体"/>
          <w:color w:val="auto"/>
          <w:sz w:val="24"/>
          <w:szCs w:val="24"/>
          <w:highlight w:val="none"/>
          <w:lang w:val="en-US" w:eastAsia="zh-CN" w:bidi="ar-SA"/>
        </w:rPr>
        <w:t>供应商承担该项目全部项目所需的采购范围相应服务的提供、监测费、专家评审费、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09BF4CB3">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2、服务期：</w:t>
      </w:r>
      <w:r>
        <w:rPr>
          <w:rFonts w:hint="eastAsia" w:ascii="宋体" w:hAnsi="宋体" w:eastAsia="宋体" w:cs="宋体"/>
          <w:color w:val="auto"/>
          <w:sz w:val="24"/>
          <w:szCs w:val="24"/>
          <w:highlight w:val="none"/>
          <w:lang w:val="en-US" w:eastAsia="zh-CN" w:bidi="ar-SA"/>
        </w:rPr>
        <w:t>签订合同后</w:t>
      </w:r>
      <w:r>
        <w:rPr>
          <w:rFonts w:hint="eastAsia" w:ascii="宋体" w:hAnsi="宋体" w:cs="宋体"/>
          <w:color w:val="auto"/>
          <w:sz w:val="24"/>
          <w:szCs w:val="24"/>
          <w:highlight w:val="none"/>
          <w:lang w:val="en-US" w:eastAsia="zh-CN" w:bidi="ar-SA"/>
        </w:rPr>
        <w:t>20</w:t>
      </w:r>
      <w:r>
        <w:rPr>
          <w:rFonts w:hint="eastAsia" w:ascii="宋体" w:hAnsi="宋体" w:eastAsia="宋体" w:cs="宋体"/>
          <w:color w:val="auto"/>
          <w:sz w:val="24"/>
          <w:szCs w:val="24"/>
          <w:highlight w:val="none"/>
          <w:lang w:val="en-US" w:eastAsia="zh-CN" w:bidi="ar-SA"/>
        </w:rPr>
        <w:t>日内完成不可避让论证送审稿编制</w:t>
      </w:r>
      <w:r>
        <w:rPr>
          <w:rFonts w:hint="eastAsia" w:ascii="宋体" w:hAnsi="宋体" w:eastAsia="宋体" w:cs="宋体"/>
          <w:color w:val="auto"/>
          <w:sz w:val="24"/>
          <w:szCs w:val="24"/>
          <w:highlight w:val="none"/>
          <w:lang w:val="en-US" w:eastAsia="zh-CN" w:bidi="ar-SA"/>
        </w:rPr>
        <w:t>（按照专家意见7天内完成报告修改，</w:t>
      </w:r>
      <w:r>
        <w:rPr>
          <w:rFonts w:hint="eastAsia"/>
          <w:color w:val="auto"/>
          <w:sz w:val="24"/>
          <w:szCs w:val="24"/>
          <w:highlight w:val="none"/>
          <w:lang w:val="en-US" w:eastAsia="zh-CN"/>
        </w:rPr>
        <w:t>须专家签字确认）；</w:t>
      </w:r>
      <w:r>
        <w:rPr>
          <w:rFonts w:hint="eastAsia"/>
          <w:color w:val="auto"/>
          <w:sz w:val="24"/>
          <w:szCs w:val="24"/>
          <w:highlight w:val="none"/>
          <w:lang w:val="en-US" w:eastAsia="zh-CN"/>
        </w:rPr>
        <w:t>报批稿提交后</w:t>
      </w:r>
      <w:r>
        <w:rPr>
          <w:rFonts w:hint="eastAsia" w:ascii="宋体" w:hAnsi="宋体" w:eastAsia="宋体" w:cs="宋体"/>
          <w:color w:val="auto"/>
          <w:sz w:val="24"/>
          <w:szCs w:val="24"/>
          <w:highlight w:val="none"/>
          <w:lang w:val="en-US" w:eastAsia="zh-CN" w:bidi="ar-SA"/>
        </w:rPr>
        <w:t>30日内取得无锡市人民政府出具的不可避让论证意见</w:t>
      </w:r>
      <w:r>
        <w:rPr>
          <w:rFonts w:hint="eastAsia" w:ascii="宋体" w:hAnsi="宋体" w:eastAsia="宋体" w:cs="宋体"/>
          <w:color w:val="auto"/>
          <w:sz w:val="24"/>
          <w:szCs w:val="24"/>
          <w:highlight w:val="none"/>
          <w:lang w:val="en-US" w:eastAsia="zh-CN" w:bidi="ar-SA"/>
        </w:rPr>
        <w:t>。</w:t>
      </w:r>
      <w:r>
        <w:rPr>
          <w:rFonts w:hint="eastAsia"/>
          <w:color w:val="auto"/>
          <w:highlight w:val="none"/>
          <w:lang w:eastAsia="zh-CN"/>
        </w:rPr>
        <w:t>（</w:t>
      </w:r>
      <w:r>
        <w:rPr>
          <w:rFonts w:hint="eastAsia" w:ascii="宋体" w:hAnsi="宋体" w:eastAsia="宋体" w:cs="宋体"/>
          <w:color w:val="auto"/>
          <w:sz w:val="24"/>
          <w:szCs w:val="24"/>
          <w:highlight w:val="none"/>
          <w:lang w:val="en-US" w:eastAsia="zh-CN" w:bidi="ar-SA"/>
        </w:rPr>
        <w:t>如因项目本身原因等不可抗力，造成方案无法按期取得相关成果。则由甲乙双方协商解决。）</w:t>
      </w:r>
    </w:p>
    <w:p w14:paraId="1D78C4AD">
      <w:pPr>
        <w:pageBreakBefore w:val="0"/>
        <w:kinsoku/>
        <w:overflowPunct/>
        <w:topLinePunct w:val="0"/>
        <w:autoSpaceDE w:val="0"/>
        <w:autoSpaceDN w:val="0"/>
        <w:bidi w:val="0"/>
        <w:adjustRightInd w:val="0"/>
        <w:snapToGrid w:val="0"/>
        <w:spacing w:line="360" w:lineRule="auto"/>
        <w:ind w:firstLine="480" w:firstLineChars="200"/>
        <w:jc w:val="left"/>
        <w:rPr>
          <w:rStyle w:val="17"/>
          <w:rFonts w:hint="eastAsia" w:ascii="宋体" w:hAnsi="宋体"/>
          <w:color w:val="auto"/>
          <w:sz w:val="24"/>
          <w:szCs w:val="24"/>
          <w:highlight w:val="none"/>
        </w:rPr>
      </w:pPr>
      <w:r>
        <w:rPr>
          <w:rStyle w:val="17"/>
          <w:rFonts w:hint="eastAsia" w:ascii="宋体" w:hAnsi="宋体"/>
          <w:color w:val="auto"/>
          <w:sz w:val="24"/>
          <w:szCs w:val="24"/>
          <w:highlight w:val="none"/>
        </w:rPr>
        <w:t>评审通过后7天内完成报批稿交付甲方。</w:t>
      </w:r>
    </w:p>
    <w:p w14:paraId="20813FEF">
      <w:pPr>
        <w:pageBreakBefore w:val="0"/>
        <w:kinsoku/>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ar-SA"/>
        </w:rPr>
      </w:pPr>
      <w:r>
        <w:rPr>
          <w:rFonts w:hint="eastAsia" w:ascii="宋体" w:hAnsi="宋体"/>
          <w:color w:val="auto"/>
          <w:sz w:val="24"/>
          <w:szCs w:val="24"/>
          <w:highlight w:val="none"/>
        </w:rPr>
        <w:t>如延误</w:t>
      </w:r>
      <w:r>
        <w:rPr>
          <w:rFonts w:hint="eastAsia" w:ascii="宋体" w:hAnsi="宋体"/>
          <w:color w:val="auto"/>
          <w:sz w:val="24"/>
          <w:szCs w:val="24"/>
          <w:highlight w:val="none"/>
          <w:lang w:val="en-US" w:eastAsia="zh-CN"/>
        </w:rPr>
        <w:t>上述</w:t>
      </w:r>
      <w:r>
        <w:rPr>
          <w:rFonts w:hint="eastAsia" w:ascii="宋体" w:hAnsi="宋体"/>
          <w:color w:val="auto"/>
          <w:sz w:val="24"/>
          <w:szCs w:val="24"/>
          <w:highlight w:val="none"/>
        </w:rPr>
        <w:t>工期，则中标方按中标价的千分之二/天支付违约金给采购人。</w:t>
      </w:r>
    </w:p>
    <w:p w14:paraId="2AE7A17C">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3、服务地点：采购人指定地点。</w:t>
      </w:r>
    </w:p>
    <w:p w14:paraId="16558161">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、服务保障</w:t>
      </w:r>
      <w:r>
        <w:rPr>
          <w:rFonts w:hint="eastAsia" w:ascii="宋体" w:hAnsi="宋体" w:eastAsia="宋体" w:cs="宋体"/>
          <w:color w:val="auto"/>
          <w:sz w:val="24"/>
          <w:szCs w:val="24"/>
          <w:highlight w:val="none"/>
          <w:lang w:val="en-US" w:eastAsia="zh-CN"/>
        </w:rPr>
        <w:t>要求：</w:t>
      </w:r>
    </w:p>
    <w:p w14:paraId="34398831">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中标供应商应就本项目采购文件中的要求配合采购人做好服务工作，且中标供应商应提供及时周到的后续服务，并在规定时间内提交符合标准的服务成果。</w:t>
      </w:r>
    </w:p>
    <w:p w14:paraId="3C97437D">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保密责任：对本项目所涉及的内容负有保密责任。</w:t>
      </w:r>
    </w:p>
    <w:p w14:paraId="77DCA3D5">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4、验收标准：</w:t>
      </w:r>
    </w:p>
    <w:p w14:paraId="6C6459F1">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4.1采购人根据国家有关规定、招投标文件以及合同约定的内容。</w:t>
      </w:r>
    </w:p>
    <w:p w14:paraId="3E82F1F5">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4.2项目实施标准还应满足市政府及主管部门提出的其他要求。</w:t>
      </w:r>
    </w:p>
    <w:p w14:paraId="57564400">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5、付款步骤：</w:t>
      </w:r>
    </w:p>
    <w:p w14:paraId="17EC8BA6">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获得市政府出具的论证意见，一次性支付合同</w:t>
      </w:r>
      <w:r>
        <w:rPr>
          <w:rFonts w:hint="eastAsia" w:ascii="宋体" w:hAnsi="宋体" w:eastAsia="宋体" w:cs="宋体"/>
          <w:color w:val="auto"/>
          <w:sz w:val="24"/>
          <w:szCs w:val="24"/>
          <w:highlight w:val="none"/>
          <w:lang w:val="en-US" w:eastAsia="zh-CN"/>
        </w:rPr>
        <w:t>价款</w:t>
      </w:r>
      <w:r>
        <w:rPr>
          <w:rFonts w:hint="eastAsia" w:ascii="宋体" w:hAnsi="宋体" w:eastAsia="宋体" w:cs="宋体"/>
          <w:color w:val="auto"/>
          <w:sz w:val="24"/>
          <w:szCs w:val="24"/>
          <w:highlight w:val="none"/>
          <w:lang w:eastAsia="zh-CN"/>
        </w:rPr>
        <w:t>。</w:t>
      </w:r>
    </w:p>
    <w:p w14:paraId="4AA41B4F">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.2发票开具方式：增值税专用发票。</w:t>
      </w:r>
    </w:p>
    <w:p w14:paraId="191FABA2">
      <w:pPr>
        <w:outlineLvl w:val="0"/>
        <w:rPr>
          <w:rFonts w:hint="eastAsia" w:ascii="黑体" w:hAnsi="黑体" w:eastAsia="黑体"/>
          <w:color w:val="auto"/>
          <w:sz w:val="28"/>
          <w:highlight w:val="none"/>
        </w:rPr>
        <w:sectPr>
          <w:headerReference r:id="rId5" w:type="default"/>
          <w:footerReference r:id="rId6" w:type="default"/>
          <w:pgSz w:w="11906" w:h="16838"/>
          <w:pgMar w:top="1417" w:right="1701" w:bottom="1417" w:left="1701" w:header="851" w:footer="992" w:gutter="0"/>
          <w:cols w:space="720" w:num="1"/>
          <w:docGrid w:type="lines" w:linePitch="312" w:charSpace="0"/>
        </w:sectPr>
      </w:pPr>
    </w:p>
    <w:p w14:paraId="17E69448">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第四章 评标方法和标准</w:t>
      </w:r>
    </w:p>
    <w:p w14:paraId="73E56C15">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2664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1785" w:type="dxa"/>
            <w:noWrap w:val="0"/>
            <w:vAlign w:val="center"/>
          </w:tcPr>
          <w:p w14:paraId="151F662A">
            <w:pPr>
              <w:jc w:val="center"/>
              <w:rPr>
                <w:rFonts w:hint="eastAsia" w:ascii="宋体" w:hAnsi="宋体"/>
                <w:color w:val="auto"/>
                <w:sz w:val="24"/>
                <w:szCs w:val="24"/>
                <w:highlight w:val="none"/>
              </w:rPr>
            </w:pPr>
            <w:r>
              <w:rPr>
                <w:rFonts w:hint="eastAsia" w:ascii="宋体" w:hAnsi="宋体"/>
                <w:color w:val="auto"/>
                <w:sz w:val="24"/>
                <w:szCs w:val="24"/>
                <w:highlight w:val="none"/>
              </w:rPr>
              <w:t>技术商务部分</w:t>
            </w:r>
          </w:p>
        </w:tc>
        <w:tc>
          <w:tcPr>
            <w:tcW w:w="5755" w:type="dxa"/>
            <w:noWrap w:val="0"/>
            <w:vAlign w:val="center"/>
          </w:tcPr>
          <w:p w14:paraId="7A4A8576">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80</w:t>
            </w:r>
            <w:r>
              <w:rPr>
                <w:rFonts w:hint="eastAsia" w:ascii="宋体" w:hAnsi="宋体" w:cs="宋体"/>
                <w:color w:val="auto"/>
                <w:sz w:val="24"/>
                <w:highlight w:val="none"/>
              </w:rPr>
              <w:t>分</w:t>
            </w:r>
          </w:p>
        </w:tc>
      </w:tr>
      <w:tr w14:paraId="6103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noWrap w:val="0"/>
            <w:vAlign w:val="center"/>
          </w:tcPr>
          <w:p w14:paraId="770A626B">
            <w:pPr>
              <w:jc w:val="center"/>
              <w:rPr>
                <w:rFonts w:hint="eastAsia" w:ascii="宋体" w:hAnsi="宋体"/>
                <w:color w:val="auto"/>
                <w:sz w:val="24"/>
                <w:szCs w:val="24"/>
                <w:highlight w:val="none"/>
              </w:rPr>
            </w:pPr>
            <w:r>
              <w:rPr>
                <w:rFonts w:hint="eastAsia" w:ascii="宋体" w:hAnsi="宋体"/>
                <w:color w:val="auto"/>
                <w:sz w:val="24"/>
                <w:szCs w:val="24"/>
                <w:highlight w:val="none"/>
              </w:rPr>
              <w:t>价格部分</w:t>
            </w:r>
          </w:p>
        </w:tc>
        <w:tc>
          <w:tcPr>
            <w:tcW w:w="5755" w:type="dxa"/>
            <w:noWrap w:val="0"/>
            <w:vAlign w:val="center"/>
          </w:tcPr>
          <w:p w14:paraId="60742BC2">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w:t>
            </w:r>
          </w:p>
        </w:tc>
      </w:tr>
    </w:tbl>
    <w:p w14:paraId="44DE4A5E">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二、评审内容：</w:t>
      </w:r>
    </w:p>
    <w:p w14:paraId="192BB04F">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w:t>
      </w:r>
      <w:bookmarkStart w:id="80" w:name="OLE_LINK10"/>
      <w:r>
        <w:rPr>
          <w:rFonts w:hint="eastAsia" w:ascii="宋体" w:hAnsi="宋体"/>
          <w:color w:val="auto"/>
          <w:sz w:val="24"/>
          <w:szCs w:val="24"/>
          <w:highlight w:val="none"/>
        </w:rPr>
        <w:t>技术商务部分</w:t>
      </w:r>
      <w:bookmarkEnd w:id="8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556"/>
        <w:gridCol w:w="1111"/>
        <w:gridCol w:w="565"/>
        <w:gridCol w:w="5586"/>
      </w:tblGrid>
      <w:tr w14:paraId="28D4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tcBorders>
              <w:top w:val="single" w:color="auto" w:sz="4" w:space="0"/>
              <w:left w:val="single" w:color="auto" w:sz="4" w:space="0"/>
              <w:bottom w:val="single" w:color="auto" w:sz="4" w:space="0"/>
              <w:right w:val="single" w:color="auto" w:sz="4" w:space="0"/>
            </w:tcBorders>
            <w:noWrap w:val="0"/>
            <w:vAlign w:val="center"/>
          </w:tcPr>
          <w:p w14:paraId="2B40114D">
            <w:pPr>
              <w:jc w:val="center"/>
              <w:rPr>
                <w:rFonts w:ascii="宋体" w:hAnsi="宋体"/>
                <w:color w:val="auto"/>
                <w:sz w:val="24"/>
                <w:szCs w:val="24"/>
                <w:highlight w:val="none"/>
              </w:rPr>
            </w:pPr>
            <w:r>
              <w:rPr>
                <w:rFonts w:hint="eastAsia" w:ascii="宋体" w:hAnsi="宋体"/>
                <w:color w:val="auto"/>
                <w:sz w:val="24"/>
                <w:szCs w:val="24"/>
                <w:highlight w:val="none"/>
              </w:rPr>
              <w:t>评审内容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4BD17912">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11" w:type="dxa"/>
            <w:tcBorders>
              <w:top w:val="single" w:color="auto" w:sz="4" w:space="0"/>
              <w:left w:val="single" w:color="auto" w:sz="4" w:space="0"/>
              <w:right w:val="single" w:color="auto" w:sz="4" w:space="0"/>
            </w:tcBorders>
            <w:noWrap w:val="0"/>
            <w:vAlign w:val="center"/>
          </w:tcPr>
          <w:p w14:paraId="4B680A51">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565" w:type="dxa"/>
            <w:tcBorders>
              <w:top w:val="single" w:color="auto" w:sz="4" w:space="0"/>
              <w:left w:val="single" w:color="auto" w:sz="4" w:space="0"/>
              <w:right w:val="single" w:color="auto" w:sz="4" w:space="0"/>
            </w:tcBorders>
            <w:noWrap w:val="0"/>
            <w:vAlign w:val="center"/>
          </w:tcPr>
          <w:p w14:paraId="70CD53C8">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04761AE">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7A40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vMerge w:val="restart"/>
            <w:tcBorders>
              <w:top w:val="single" w:color="auto" w:sz="4" w:space="0"/>
              <w:left w:val="single" w:color="auto" w:sz="4" w:space="0"/>
              <w:right w:val="single" w:color="auto" w:sz="4" w:space="0"/>
            </w:tcBorders>
            <w:noWrap w:val="0"/>
            <w:vAlign w:val="center"/>
          </w:tcPr>
          <w:p w14:paraId="17FE37CB">
            <w:pPr>
              <w:jc w:val="center"/>
              <w:rPr>
                <w:rFonts w:ascii="宋体" w:hAnsi="宋体"/>
                <w:color w:val="auto"/>
                <w:sz w:val="24"/>
                <w:szCs w:val="24"/>
                <w:highlight w:val="none"/>
              </w:rPr>
            </w:pPr>
            <w:r>
              <w:rPr>
                <w:rFonts w:hint="eastAsia" w:ascii="宋体" w:hAnsi="宋体"/>
                <w:color w:val="auto"/>
                <w:sz w:val="24"/>
                <w:szCs w:val="24"/>
                <w:highlight w:val="none"/>
              </w:rPr>
              <w:t>主观</w:t>
            </w:r>
            <w:r>
              <w:rPr>
                <w:rFonts w:hint="eastAsia" w:ascii="宋体" w:hAnsi="宋体"/>
                <w:color w:val="auto"/>
                <w:sz w:val="24"/>
                <w:szCs w:val="24"/>
                <w:highlight w:val="none"/>
                <w:lang w:val="en-US" w:eastAsia="zh-CN"/>
              </w:rPr>
              <w:t>评</w:t>
            </w:r>
            <w:r>
              <w:rPr>
                <w:rFonts w:hint="eastAsia" w:ascii="宋体" w:hAnsi="宋体"/>
                <w:color w:val="auto"/>
                <w:sz w:val="24"/>
                <w:szCs w:val="24"/>
                <w:highlight w:val="none"/>
              </w:rPr>
              <w:t>审因素</w:t>
            </w:r>
          </w:p>
          <w:p w14:paraId="3141B55D">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16C782F">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1111" w:type="dxa"/>
            <w:tcBorders>
              <w:top w:val="single" w:color="auto" w:sz="4" w:space="0"/>
              <w:left w:val="single" w:color="auto" w:sz="4" w:space="0"/>
              <w:right w:val="single" w:color="auto" w:sz="4" w:space="0"/>
            </w:tcBorders>
            <w:noWrap w:val="0"/>
            <w:vAlign w:val="center"/>
          </w:tcPr>
          <w:p w14:paraId="3DD08CDA">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现状调查与分析</w:t>
            </w:r>
          </w:p>
        </w:tc>
        <w:tc>
          <w:tcPr>
            <w:tcW w:w="565" w:type="dxa"/>
            <w:tcBorders>
              <w:top w:val="single" w:color="auto" w:sz="4" w:space="0"/>
              <w:left w:val="single" w:color="auto" w:sz="4" w:space="0"/>
              <w:right w:val="single" w:color="auto" w:sz="4" w:space="0"/>
            </w:tcBorders>
            <w:noWrap w:val="0"/>
            <w:vAlign w:val="center"/>
          </w:tcPr>
          <w:p w14:paraId="76B946F7">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284E1AD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对工程范围内的建设条件、水环境现状、水系分布情况等进行调查和评价，并熟悉了解工程的情况。</w:t>
            </w:r>
          </w:p>
          <w:p w14:paraId="51DE045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对项目建设条件、水环境现状、水系分布情况了解清晰，表述清楚的得</w:t>
            </w:r>
            <w:r>
              <w:rPr>
                <w:rFonts w:hint="eastAsia" w:ascii="宋体" w:hAnsi="宋体" w:eastAsia="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lang w:eastAsia="zh-CN"/>
              </w:rPr>
              <w:t>分；</w:t>
            </w:r>
          </w:p>
          <w:p w14:paraId="64D3FB4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对项目建设条件、水环境现状、水系分布情况了解比较清晰，表述的比较清楚的得</w:t>
            </w:r>
            <w:r>
              <w:rPr>
                <w:rFonts w:hint="eastAsia" w:ascii="宋体" w:hAnsi="宋体" w:eastAsia="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分；</w:t>
            </w:r>
          </w:p>
          <w:p w14:paraId="523F3B3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对项目建设条件、水环境现状、水系分布情况了解较差的，表述的较差的得</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分；</w:t>
            </w:r>
          </w:p>
          <w:p w14:paraId="631FA9C8">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未提供则不得分。</w:t>
            </w:r>
          </w:p>
        </w:tc>
      </w:tr>
      <w:tr w14:paraId="495D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040" w:type="dxa"/>
            <w:vMerge w:val="continue"/>
            <w:tcBorders>
              <w:left w:val="single" w:color="auto" w:sz="4" w:space="0"/>
              <w:right w:val="single" w:color="auto" w:sz="4" w:space="0"/>
            </w:tcBorders>
            <w:noWrap w:val="0"/>
            <w:vAlign w:val="center"/>
          </w:tcPr>
          <w:p w14:paraId="0694DC73">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2791975">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111" w:type="dxa"/>
            <w:tcBorders>
              <w:top w:val="single" w:color="auto" w:sz="4" w:space="0"/>
              <w:left w:val="single" w:color="auto" w:sz="4" w:space="0"/>
              <w:right w:val="single" w:color="auto" w:sz="4" w:space="0"/>
            </w:tcBorders>
            <w:noWrap w:val="0"/>
            <w:vAlign w:val="center"/>
          </w:tcPr>
          <w:p w14:paraId="2B7DEEF7">
            <w:pPr>
              <w:keepNext w:val="0"/>
              <w:keepLines w:val="0"/>
              <w:pageBreakBefore w:val="0"/>
              <w:widowControl w:val="0"/>
              <w:kinsoku/>
              <w:wordWrap/>
              <w:overflowPunct/>
              <w:topLinePunct w:val="0"/>
              <w:autoSpaceDE/>
              <w:autoSpaceDN/>
              <w:bidi w:val="0"/>
              <w:adjustRightInd/>
              <w:snapToGrid w:val="0"/>
              <w:spacing w:after="96" w:line="240" w:lineRule="auto"/>
              <w:jc w:val="center"/>
              <w:textAlignment w:val="auto"/>
              <w:rPr>
                <w:rFonts w:hint="eastAsia" w:ascii="宋体" w:hAnsi="宋体" w:eastAsia="宋体" w:cs="Times New Roman"/>
                <w:b w:val="0"/>
                <w:bCs/>
                <w:color w:val="auto"/>
                <w:sz w:val="24"/>
                <w:szCs w:val="24"/>
                <w:highlight w:val="none"/>
              </w:rPr>
            </w:pPr>
            <w:r>
              <w:rPr>
                <w:rFonts w:hint="eastAsia" w:ascii="宋体" w:hAnsi="宋体"/>
                <w:b w:val="0"/>
                <w:bCs/>
                <w:color w:val="auto"/>
                <w:sz w:val="24"/>
                <w:szCs w:val="22"/>
                <w:highlight w:val="none"/>
              </w:rPr>
              <w:t>工作技术方案</w:t>
            </w:r>
          </w:p>
        </w:tc>
        <w:tc>
          <w:tcPr>
            <w:tcW w:w="565" w:type="dxa"/>
            <w:tcBorders>
              <w:top w:val="single" w:color="auto" w:sz="4" w:space="0"/>
              <w:left w:val="single" w:color="auto" w:sz="4" w:space="0"/>
              <w:right w:val="single" w:color="auto" w:sz="4" w:space="0"/>
            </w:tcBorders>
            <w:noWrap w:val="0"/>
            <w:vAlign w:val="center"/>
          </w:tcPr>
          <w:p w14:paraId="7BB90C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Times New Roman"/>
                <w:b w:val="0"/>
                <w:bCs/>
                <w:color w:val="auto"/>
                <w:sz w:val="24"/>
                <w:szCs w:val="24"/>
                <w:highlight w:val="none"/>
                <w:lang w:val="en-US" w:eastAsia="zh-CN"/>
              </w:rPr>
            </w:pPr>
            <w:r>
              <w:rPr>
                <w:rFonts w:hint="eastAsia" w:ascii="宋体" w:hAnsi="宋体"/>
                <w:b w:val="0"/>
                <w:bCs/>
                <w:color w:val="auto"/>
                <w:sz w:val="22"/>
                <w:szCs w:val="21"/>
                <w:highlight w:val="none"/>
                <w:lang w:val="en-US" w:eastAsia="zh-CN"/>
              </w:rPr>
              <w:t>10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65C9490">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b w:val="0"/>
                <w:bCs/>
                <w:color w:val="auto"/>
                <w:sz w:val="24"/>
                <w:highlight w:val="none"/>
              </w:rPr>
            </w:pPr>
            <w:r>
              <w:rPr>
                <w:rFonts w:hint="eastAsia" w:ascii="宋体" w:hAnsi="宋体"/>
                <w:b w:val="0"/>
                <w:bCs/>
                <w:color w:val="auto"/>
                <w:sz w:val="24"/>
                <w:highlight w:val="none"/>
              </w:rPr>
              <w:t>工作方法先进、科学、合理、实用可行的得</w:t>
            </w:r>
            <w:r>
              <w:rPr>
                <w:rFonts w:hint="eastAsia" w:ascii="宋体" w:hAnsi="宋体"/>
                <w:b w:val="0"/>
                <w:bCs/>
                <w:color w:val="auto"/>
                <w:sz w:val="24"/>
                <w:highlight w:val="none"/>
                <w:lang w:val="en-US" w:eastAsia="zh-CN"/>
              </w:rPr>
              <w:t>10</w:t>
            </w:r>
            <w:r>
              <w:rPr>
                <w:rFonts w:hint="eastAsia" w:ascii="宋体" w:hAnsi="宋体"/>
                <w:b w:val="0"/>
                <w:bCs/>
                <w:color w:val="auto"/>
                <w:sz w:val="24"/>
                <w:highlight w:val="none"/>
              </w:rPr>
              <w:t>分；工作方法较先进、合理、有可行性的得</w:t>
            </w:r>
            <w:r>
              <w:rPr>
                <w:rFonts w:hint="eastAsia" w:ascii="宋体" w:hAnsi="宋体"/>
                <w:b w:val="0"/>
                <w:bCs/>
                <w:color w:val="auto"/>
                <w:sz w:val="24"/>
                <w:highlight w:val="none"/>
                <w:lang w:val="en-US" w:eastAsia="zh-CN"/>
              </w:rPr>
              <w:t>6</w:t>
            </w:r>
            <w:r>
              <w:rPr>
                <w:rFonts w:hint="eastAsia" w:ascii="宋体" w:hAnsi="宋体"/>
                <w:b w:val="0"/>
                <w:bCs/>
                <w:color w:val="auto"/>
                <w:sz w:val="24"/>
                <w:highlight w:val="none"/>
              </w:rPr>
              <w:t>分；</w:t>
            </w:r>
          </w:p>
          <w:p w14:paraId="4730C799">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b w:val="0"/>
                <w:bCs/>
                <w:color w:val="auto"/>
                <w:sz w:val="24"/>
                <w:highlight w:val="none"/>
              </w:rPr>
            </w:pPr>
            <w:r>
              <w:rPr>
                <w:rFonts w:hint="eastAsia" w:ascii="宋体" w:hAnsi="宋体"/>
                <w:b w:val="0"/>
                <w:bCs/>
                <w:color w:val="auto"/>
                <w:sz w:val="24"/>
                <w:highlight w:val="none"/>
              </w:rPr>
              <w:t>工作方法通用、合理性差、可行性差的得</w:t>
            </w:r>
            <w:r>
              <w:rPr>
                <w:rFonts w:hint="eastAsia" w:ascii="宋体" w:hAnsi="宋体"/>
                <w:b w:val="0"/>
                <w:bCs/>
                <w:color w:val="auto"/>
                <w:sz w:val="24"/>
                <w:highlight w:val="none"/>
                <w:lang w:val="en-US" w:eastAsia="zh-CN"/>
              </w:rPr>
              <w:t>2</w:t>
            </w:r>
            <w:r>
              <w:rPr>
                <w:rFonts w:hint="eastAsia" w:ascii="宋体" w:hAnsi="宋体"/>
                <w:b w:val="0"/>
                <w:bCs/>
                <w:color w:val="auto"/>
                <w:sz w:val="24"/>
                <w:highlight w:val="none"/>
              </w:rPr>
              <w:t>分；</w:t>
            </w:r>
          </w:p>
          <w:p w14:paraId="2034F125">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eastAsia="宋体" w:cs="Times New Roman"/>
                <w:b w:val="0"/>
                <w:bCs/>
                <w:color w:val="auto"/>
                <w:sz w:val="24"/>
                <w:szCs w:val="24"/>
                <w:highlight w:val="none"/>
                <w:lang w:eastAsia="zh-CN"/>
              </w:rPr>
            </w:pPr>
            <w:r>
              <w:rPr>
                <w:rFonts w:hint="eastAsia" w:ascii="宋体" w:hAnsi="宋体"/>
                <w:b w:val="0"/>
                <w:bCs/>
                <w:color w:val="auto"/>
                <w:sz w:val="24"/>
                <w:highlight w:val="none"/>
                <w:lang w:eastAsia="zh-CN"/>
              </w:rPr>
              <w:t>未提供则不得分。</w:t>
            </w:r>
          </w:p>
        </w:tc>
      </w:tr>
      <w:tr w14:paraId="685B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vMerge w:val="continue"/>
            <w:tcBorders>
              <w:left w:val="single" w:color="auto" w:sz="4" w:space="0"/>
              <w:right w:val="single" w:color="auto" w:sz="4" w:space="0"/>
            </w:tcBorders>
            <w:noWrap w:val="0"/>
            <w:vAlign w:val="center"/>
          </w:tcPr>
          <w:p w14:paraId="14B569FF">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BDED9C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1111" w:type="dxa"/>
            <w:tcBorders>
              <w:top w:val="single" w:color="auto" w:sz="4" w:space="0"/>
              <w:left w:val="single" w:color="auto" w:sz="4" w:space="0"/>
              <w:right w:val="single" w:color="auto" w:sz="4" w:space="0"/>
            </w:tcBorders>
            <w:noWrap w:val="0"/>
            <w:vAlign w:val="center"/>
          </w:tcPr>
          <w:p w14:paraId="753720BC">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项目的重点和难点分析</w:t>
            </w:r>
          </w:p>
        </w:tc>
        <w:tc>
          <w:tcPr>
            <w:tcW w:w="565" w:type="dxa"/>
            <w:tcBorders>
              <w:top w:val="single" w:color="auto" w:sz="4" w:space="0"/>
              <w:left w:val="single" w:color="auto" w:sz="4" w:space="0"/>
              <w:right w:val="single" w:color="auto" w:sz="4" w:space="0"/>
            </w:tcBorders>
            <w:noWrap w:val="0"/>
            <w:vAlign w:val="center"/>
          </w:tcPr>
          <w:p w14:paraId="2779885A">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7594A7B6">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对工程的重点和难点进行分析，针对问题逐一提出针对性的解决方案。</w:t>
            </w:r>
          </w:p>
          <w:p w14:paraId="6AABF85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对工程的重点和难点分析全面且针对性解决方案清晰的得</w:t>
            </w: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0</w:t>
            </w:r>
            <w:r>
              <w:rPr>
                <w:rFonts w:hint="eastAsia" w:ascii="宋体" w:hAnsi="宋体" w:eastAsia="宋体" w:cs="Times New Roman"/>
                <w:color w:val="auto"/>
                <w:sz w:val="24"/>
                <w:szCs w:val="24"/>
                <w:highlight w:val="none"/>
                <w:lang w:eastAsia="zh-CN"/>
              </w:rPr>
              <w:t>分；</w:t>
            </w:r>
          </w:p>
          <w:p w14:paraId="7FBA42A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对工程的重点和难点分析较全面且针对性解决方案较清晰的得</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2568C7B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对工程的重点和难点分析一般且针对性解决方案较一般的得</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327BD4B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未提供则不得分。</w:t>
            </w:r>
          </w:p>
        </w:tc>
      </w:tr>
      <w:tr w14:paraId="3895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40" w:type="dxa"/>
            <w:vMerge w:val="continue"/>
            <w:tcBorders>
              <w:left w:val="single" w:color="auto" w:sz="4" w:space="0"/>
              <w:right w:val="single" w:color="auto" w:sz="4" w:space="0"/>
            </w:tcBorders>
            <w:noWrap w:val="0"/>
            <w:vAlign w:val="center"/>
          </w:tcPr>
          <w:p w14:paraId="74437F82">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DBDEA5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p>
        </w:tc>
        <w:tc>
          <w:tcPr>
            <w:tcW w:w="1111" w:type="dxa"/>
            <w:tcBorders>
              <w:top w:val="single" w:color="auto" w:sz="4" w:space="0"/>
              <w:left w:val="single" w:color="auto" w:sz="4" w:space="0"/>
              <w:right w:val="single" w:color="auto" w:sz="4" w:space="0"/>
            </w:tcBorders>
            <w:noWrap w:val="0"/>
            <w:vAlign w:val="center"/>
          </w:tcPr>
          <w:p w14:paraId="756C348C">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项目实施</w:t>
            </w:r>
            <w:r>
              <w:rPr>
                <w:rFonts w:hint="eastAsia" w:ascii="宋体" w:hAnsi="宋体" w:eastAsia="宋体" w:cs="Times New Roman"/>
                <w:color w:val="auto"/>
                <w:sz w:val="24"/>
                <w:szCs w:val="24"/>
                <w:highlight w:val="none"/>
                <w:lang w:eastAsia="zh-CN"/>
              </w:rPr>
              <w:t>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w:t>
            </w:r>
          </w:p>
        </w:tc>
        <w:tc>
          <w:tcPr>
            <w:tcW w:w="565" w:type="dxa"/>
            <w:tcBorders>
              <w:top w:val="single" w:color="auto" w:sz="4" w:space="0"/>
              <w:left w:val="single" w:color="auto" w:sz="4" w:space="0"/>
              <w:right w:val="single" w:color="auto" w:sz="4" w:space="0"/>
            </w:tcBorders>
            <w:noWrap w:val="0"/>
            <w:vAlign w:val="center"/>
          </w:tcPr>
          <w:p w14:paraId="75FED2E5">
            <w:pPr>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10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D3336C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对提出的有重点、有时序、有步骤，且具有可行性的总体项目</w:t>
            </w:r>
            <w:r>
              <w:rPr>
                <w:rFonts w:hint="eastAsia" w:ascii="宋体" w:hAnsi="宋体" w:eastAsia="宋体" w:cs="Times New Roman"/>
                <w:color w:val="auto"/>
                <w:sz w:val="24"/>
                <w:szCs w:val="24"/>
                <w:highlight w:val="none"/>
                <w:lang w:val="en-US" w:eastAsia="zh-CN"/>
              </w:rPr>
              <w:t>实施</w:t>
            </w:r>
            <w:r>
              <w:rPr>
                <w:rFonts w:hint="eastAsia" w:ascii="宋体" w:hAnsi="宋体" w:eastAsia="宋体" w:cs="Times New Roman"/>
                <w:color w:val="auto"/>
                <w:sz w:val="24"/>
                <w:szCs w:val="24"/>
                <w:highlight w:val="none"/>
                <w:lang w:eastAsia="zh-CN"/>
              </w:rPr>
              <w:t>进度安排。提出程序规范、措施有力、质量控制点设置合理的</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w:t>
            </w: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质量保证措施齐全无缺项，可操作性强的得</w:t>
            </w:r>
            <w:r>
              <w:rPr>
                <w:rFonts w:hint="eastAsia" w:ascii="宋体" w:hAnsi="宋体" w:eastAsia="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分：</w:t>
            </w:r>
          </w:p>
          <w:p w14:paraId="35480965">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质量保证措施内容较完整，可操作性较强的得</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7326D61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质量保证措施内容基本完整，可操作性一般的得</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1A099A1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未提供则不得分。</w:t>
            </w:r>
          </w:p>
        </w:tc>
      </w:tr>
      <w:tr w14:paraId="269D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040" w:type="dxa"/>
            <w:vMerge w:val="continue"/>
            <w:tcBorders>
              <w:left w:val="single" w:color="auto" w:sz="4" w:space="0"/>
              <w:right w:val="single" w:color="auto" w:sz="4" w:space="0"/>
            </w:tcBorders>
            <w:noWrap w:val="0"/>
            <w:vAlign w:val="center"/>
          </w:tcPr>
          <w:p w14:paraId="19FA30DD">
            <w:pPr>
              <w:jc w:val="center"/>
              <w:rPr>
                <w:rFonts w:hint="eastAsia" w:ascii="宋体" w:hAnsi="宋体"/>
                <w:color w:val="auto"/>
                <w:sz w:val="24"/>
                <w:szCs w:val="24"/>
                <w:highlight w:val="none"/>
              </w:rPr>
            </w:pPr>
          </w:p>
        </w:tc>
        <w:tc>
          <w:tcPr>
            <w:tcW w:w="556" w:type="dxa"/>
            <w:tcBorders>
              <w:top w:val="single" w:color="auto" w:sz="4" w:space="0"/>
              <w:left w:val="single" w:color="auto" w:sz="4" w:space="0"/>
              <w:right w:val="single" w:color="auto" w:sz="4" w:space="0"/>
            </w:tcBorders>
            <w:noWrap w:val="0"/>
            <w:vAlign w:val="center"/>
          </w:tcPr>
          <w:p w14:paraId="5221FD9D">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1111" w:type="dxa"/>
            <w:tcBorders>
              <w:top w:val="single" w:color="auto" w:sz="4" w:space="0"/>
              <w:left w:val="single" w:color="auto" w:sz="4" w:space="0"/>
              <w:right w:val="single" w:color="auto" w:sz="4" w:space="0"/>
            </w:tcBorders>
            <w:noWrap w:val="0"/>
            <w:vAlign w:val="center"/>
          </w:tcPr>
          <w:p w14:paraId="26DDD400">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相关服务承诺</w:t>
            </w:r>
          </w:p>
        </w:tc>
        <w:tc>
          <w:tcPr>
            <w:tcW w:w="565" w:type="dxa"/>
            <w:tcBorders>
              <w:top w:val="single" w:color="auto" w:sz="4" w:space="0"/>
              <w:left w:val="single" w:color="auto" w:sz="4" w:space="0"/>
              <w:right w:val="single" w:color="auto" w:sz="4" w:space="0"/>
            </w:tcBorders>
            <w:noWrap w:val="0"/>
            <w:vAlign w:val="center"/>
          </w:tcPr>
          <w:p w14:paraId="391CAB00">
            <w:pPr>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szCs w:val="24"/>
                <w:highlight w:val="none"/>
                <w:lang w:val="en-US" w:eastAsia="zh-CN"/>
              </w:rPr>
              <w:t>9</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37ED23B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对提出的有利于项目建设及积极配合招标人对项目管理的服务承诺。</w:t>
            </w:r>
          </w:p>
          <w:p w14:paraId="4865228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服务承诺针对性及可操作性强的得</w:t>
            </w: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eastAsia="zh-CN"/>
              </w:rPr>
              <w:t>分：</w:t>
            </w:r>
          </w:p>
          <w:p w14:paraId="1871FD7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服务承诺针对性及可操作性较强的得</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3EABA50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服务承诺针对性及可操作性较一般的得</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0CAFC24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未提供则不得分。</w:t>
            </w:r>
          </w:p>
        </w:tc>
      </w:tr>
      <w:tr w14:paraId="3FF4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40" w:type="dxa"/>
            <w:vMerge w:val="restart"/>
            <w:tcBorders>
              <w:left w:val="single" w:color="auto" w:sz="4" w:space="0"/>
              <w:right w:val="single" w:color="auto" w:sz="4" w:space="0"/>
            </w:tcBorders>
            <w:noWrap w:val="0"/>
            <w:vAlign w:val="center"/>
          </w:tcPr>
          <w:p w14:paraId="3135FCBF">
            <w:pPr>
              <w:jc w:val="center"/>
              <w:rPr>
                <w:rFonts w:ascii="宋体" w:hAnsi="宋体"/>
                <w:color w:val="auto"/>
                <w:sz w:val="24"/>
                <w:szCs w:val="24"/>
                <w:highlight w:val="none"/>
              </w:rPr>
            </w:pPr>
            <w:r>
              <w:rPr>
                <w:rFonts w:hint="eastAsia" w:ascii="宋体" w:hAnsi="宋体"/>
                <w:color w:val="auto"/>
                <w:sz w:val="24"/>
                <w:szCs w:val="24"/>
                <w:highlight w:val="none"/>
              </w:rPr>
              <w:t>客观评审因素</w:t>
            </w:r>
          </w:p>
          <w:p w14:paraId="4A1D092F">
            <w:pPr>
              <w:overflowPunct w:val="0"/>
              <w:autoSpaceDE w:val="0"/>
              <w:autoSpaceDN w:val="0"/>
              <w:adjustRightInd w:val="0"/>
              <w:jc w:val="center"/>
              <w:textAlignment w:val="baseline"/>
              <w:rPr>
                <w:rFonts w:ascii="宋体" w:hAnsi="宋体"/>
                <w:color w:val="auto"/>
                <w:kern w:val="28"/>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BD8CD84">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D9EFF4E">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业绩</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16A6296E">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02BBB07D">
            <w:pPr>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供应商近三年</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以合同签订时间为准</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完成过类似的项目业绩，有一个得</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分，最高</w:t>
            </w:r>
            <w:r>
              <w:rPr>
                <w:rFonts w:hint="eastAsia" w:ascii="宋体" w:hAnsi="宋体" w:eastAsia="宋体" w:cs="Times New Roman"/>
                <w:color w:val="auto"/>
                <w:sz w:val="24"/>
                <w:szCs w:val="24"/>
                <w:highlight w:val="none"/>
                <w:lang w:val="en-US" w:eastAsia="zh-CN"/>
              </w:rPr>
              <w:t>得15</w:t>
            </w:r>
            <w:r>
              <w:rPr>
                <w:rFonts w:hint="eastAsia" w:ascii="宋体" w:hAnsi="宋体" w:eastAsia="宋体" w:cs="Times New Roman"/>
                <w:color w:val="auto"/>
                <w:sz w:val="24"/>
                <w:szCs w:val="24"/>
                <w:highlight w:val="none"/>
              </w:rPr>
              <w:t>分。</w:t>
            </w:r>
          </w:p>
          <w:p w14:paraId="3D0C1FD3">
            <w:pPr>
              <w:pStyle w:val="2"/>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注：须</w:t>
            </w:r>
            <w:r>
              <w:rPr>
                <w:rFonts w:hint="eastAsia" w:ascii="宋体" w:hAnsi="宋体" w:eastAsia="宋体" w:cs="Times New Roman"/>
                <w:b/>
                <w:bCs/>
                <w:color w:val="auto"/>
                <w:sz w:val="24"/>
                <w:szCs w:val="24"/>
                <w:highlight w:val="none"/>
                <w:lang w:val="zh-TW"/>
              </w:rPr>
              <w:t>提供合同复印件</w:t>
            </w:r>
            <w:r>
              <w:rPr>
                <w:rFonts w:hint="eastAsia" w:ascii="宋体" w:hAnsi="宋体" w:eastAsia="宋体" w:cs="Times New Roman"/>
                <w:b/>
                <w:bCs/>
                <w:color w:val="auto"/>
                <w:sz w:val="24"/>
                <w:szCs w:val="24"/>
                <w:highlight w:val="none"/>
                <w:lang w:val="en-US" w:eastAsia="zh-CN"/>
              </w:rPr>
              <w:t>及市政府出具的意见</w:t>
            </w:r>
            <w:r>
              <w:rPr>
                <w:rFonts w:hint="eastAsia" w:ascii="宋体" w:hAnsi="宋体" w:eastAsia="宋体" w:cs="Times New Roman"/>
                <w:b/>
                <w:bCs/>
                <w:color w:val="auto"/>
                <w:sz w:val="24"/>
                <w:szCs w:val="24"/>
                <w:highlight w:val="none"/>
                <w:lang w:val="zh-TW" w:eastAsia="zh-CN"/>
              </w:rPr>
              <w:t>并加盖投标人公章附于投标文件中</w:t>
            </w:r>
            <w:r>
              <w:rPr>
                <w:rFonts w:hint="eastAsia" w:ascii="宋体" w:hAnsi="宋体" w:eastAsia="宋体" w:cs="Times New Roman"/>
                <w:b/>
                <w:bCs/>
                <w:color w:val="auto"/>
                <w:sz w:val="24"/>
                <w:szCs w:val="24"/>
                <w:highlight w:val="none"/>
                <w:lang w:val="zh-TW"/>
              </w:rPr>
              <w:t>，否则不得分。</w:t>
            </w:r>
          </w:p>
        </w:tc>
      </w:tr>
      <w:tr w14:paraId="6569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040" w:type="dxa"/>
            <w:vMerge w:val="continue"/>
            <w:tcBorders>
              <w:left w:val="single" w:color="auto" w:sz="4" w:space="0"/>
              <w:right w:val="single" w:color="auto" w:sz="4" w:space="0"/>
            </w:tcBorders>
            <w:noWrap w:val="0"/>
            <w:vAlign w:val="center"/>
          </w:tcPr>
          <w:p w14:paraId="4B406DA4">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67AEA5FF">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1634105">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项目人员配备</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473DEC76">
            <w:pPr>
              <w:jc w:val="center"/>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11</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7A8E349C">
            <w:pPr>
              <w:jc w:val="both"/>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rPr>
              <w:t>①拟派项目负责人：具备</w:t>
            </w:r>
            <w:r>
              <w:rPr>
                <w:rFonts w:hint="eastAsia" w:ascii="宋体" w:hAnsi="宋体" w:eastAsia="宋体" w:cs="Times New Roman"/>
                <w:b/>
                <w:bCs/>
                <w:color w:val="auto"/>
                <w:sz w:val="24"/>
                <w:szCs w:val="24"/>
                <w:highlight w:val="none"/>
                <w:lang w:val="zh-CN"/>
              </w:rPr>
              <w:t>土地</w:t>
            </w:r>
            <w:r>
              <w:rPr>
                <w:rFonts w:hint="eastAsia" w:ascii="宋体" w:hAnsi="宋体" w:eastAsia="宋体" w:cs="Times New Roman"/>
                <w:b/>
                <w:bCs/>
                <w:color w:val="auto"/>
                <w:sz w:val="24"/>
                <w:szCs w:val="24"/>
                <w:highlight w:val="none"/>
                <w:lang w:val="en-US" w:eastAsia="zh-CN"/>
              </w:rPr>
              <w:t>或规划或水利</w:t>
            </w:r>
            <w:r>
              <w:rPr>
                <w:rFonts w:hint="eastAsia" w:ascii="宋体" w:hAnsi="宋体" w:eastAsia="宋体" w:cs="Times New Roman"/>
                <w:b/>
                <w:bCs/>
                <w:color w:val="auto"/>
                <w:sz w:val="24"/>
                <w:szCs w:val="24"/>
                <w:highlight w:val="none"/>
              </w:rPr>
              <w:t>专业高级及以上技术职称的得</w:t>
            </w:r>
            <w:r>
              <w:rPr>
                <w:rFonts w:hint="eastAsia" w:ascii="宋体" w:hAnsi="宋体" w:eastAsia="宋体" w:cs="Times New Roman"/>
                <w:b/>
                <w:bCs/>
                <w:color w:val="auto"/>
                <w:sz w:val="24"/>
                <w:szCs w:val="24"/>
                <w:highlight w:val="none"/>
                <w:lang w:val="en-US" w:eastAsia="zh-CN"/>
              </w:rPr>
              <w:t>5</w:t>
            </w:r>
            <w:r>
              <w:rPr>
                <w:rFonts w:hint="eastAsia" w:ascii="宋体" w:hAnsi="宋体" w:eastAsia="宋体" w:cs="Times New Roman"/>
                <w:b/>
                <w:bCs/>
                <w:color w:val="auto"/>
                <w:sz w:val="24"/>
                <w:szCs w:val="24"/>
                <w:highlight w:val="none"/>
              </w:rPr>
              <w:t>分</w:t>
            </w:r>
            <w:r>
              <w:rPr>
                <w:rFonts w:hint="eastAsia" w:ascii="宋体" w:hAnsi="宋体" w:eastAsia="宋体" w:cs="Times New Roman"/>
                <w:b/>
                <w:bCs/>
                <w:color w:val="auto"/>
                <w:sz w:val="24"/>
                <w:szCs w:val="24"/>
                <w:highlight w:val="none"/>
                <w:lang w:eastAsia="zh-CN"/>
              </w:rPr>
              <w:t>，具备</w:t>
            </w:r>
            <w:r>
              <w:rPr>
                <w:rFonts w:hint="eastAsia" w:ascii="宋体" w:hAnsi="宋体" w:eastAsia="宋体" w:cs="Times New Roman"/>
                <w:b/>
                <w:bCs/>
                <w:color w:val="auto"/>
                <w:sz w:val="24"/>
                <w:szCs w:val="24"/>
                <w:highlight w:val="none"/>
                <w:lang w:val="en-US" w:eastAsia="zh-CN"/>
              </w:rPr>
              <w:t>中级</w:t>
            </w:r>
            <w:r>
              <w:rPr>
                <w:rFonts w:hint="eastAsia" w:ascii="宋体" w:hAnsi="宋体" w:eastAsia="宋体" w:cs="Times New Roman"/>
                <w:b/>
                <w:bCs/>
                <w:color w:val="auto"/>
                <w:sz w:val="24"/>
                <w:szCs w:val="24"/>
                <w:highlight w:val="none"/>
                <w:lang w:eastAsia="zh-CN"/>
              </w:rPr>
              <w:t>技术职称的得</w:t>
            </w:r>
            <w:r>
              <w:rPr>
                <w:rFonts w:hint="eastAsia" w:ascii="宋体" w:hAnsi="宋体" w:eastAsia="宋体" w:cs="Times New Roman"/>
                <w:b/>
                <w:bCs/>
                <w:color w:val="auto"/>
                <w:sz w:val="24"/>
                <w:szCs w:val="24"/>
                <w:highlight w:val="none"/>
                <w:lang w:val="en-US" w:eastAsia="zh-CN"/>
              </w:rPr>
              <w:t>3</w:t>
            </w:r>
            <w:r>
              <w:rPr>
                <w:rFonts w:hint="eastAsia" w:ascii="宋体" w:hAnsi="宋体" w:eastAsia="宋体" w:cs="Times New Roman"/>
                <w:b/>
                <w:bCs/>
                <w:color w:val="auto"/>
                <w:sz w:val="24"/>
                <w:szCs w:val="24"/>
                <w:highlight w:val="none"/>
                <w:lang w:eastAsia="zh-CN"/>
              </w:rPr>
              <w:t>分。</w:t>
            </w:r>
          </w:p>
          <w:p w14:paraId="232A88C5">
            <w:pPr>
              <w:jc w:val="both"/>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②拟派项目组成员中</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除项目负责人外，成员不少于3人</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rPr>
              <w:t>：具有</w:t>
            </w:r>
            <w:r>
              <w:rPr>
                <w:rFonts w:hint="eastAsia" w:ascii="宋体" w:hAnsi="宋体" w:eastAsia="宋体" w:cs="Times New Roman"/>
                <w:b/>
                <w:bCs/>
                <w:color w:val="auto"/>
                <w:sz w:val="24"/>
                <w:szCs w:val="24"/>
                <w:highlight w:val="none"/>
                <w:lang w:val="zh-CN"/>
              </w:rPr>
              <w:t>土地</w:t>
            </w:r>
            <w:r>
              <w:rPr>
                <w:rFonts w:hint="eastAsia" w:ascii="宋体" w:hAnsi="宋体" w:eastAsia="宋体" w:cs="Times New Roman"/>
                <w:b/>
                <w:bCs/>
                <w:color w:val="auto"/>
                <w:sz w:val="24"/>
                <w:szCs w:val="24"/>
                <w:highlight w:val="none"/>
                <w:lang w:val="en-US" w:eastAsia="zh-CN"/>
              </w:rPr>
              <w:t>或规划或水利</w:t>
            </w:r>
            <w:r>
              <w:rPr>
                <w:rFonts w:hint="eastAsia" w:ascii="宋体" w:hAnsi="宋体" w:eastAsia="宋体" w:cs="Times New Roman"/>
                <w:b/>
                <w:bCs/>
                <w:color w:val="auto"/>
                <w:sz w:val="24"/>
                <w:szCs w:val="24"/>
                <w:highlight w:val="none"/>
              </w:rPr>
              <w:t>专业</w:t>
            </w:r>
            <w:r>
              <w:rPr>
                <w:rFonts w:hint="eastAsia" w:ascii="宋体" w:hAnsi="宋体" w:eastAsia="宋体" w:cs="Times New Roman"/>
                <w:b/>
                <w:bCs/>
                <w:color w:val="auto"/>
                <w:sz w:val="24"/>
                <w:szCs w:val="24"/>
                <w:highlight w:val="none"/>
                <w:lang w:val="en-US" w:eastAsia="zh-CN"/>
              </w:rPr>
              <w:t>中级</w:t>
            </w:r>
            <w:r>
              <w:rPr>
                <w:rFonts w:hint="eastAsia" w:ascii="宋体" w:hAnsi="宋体" w:eastAsia="宋体" w:cs="Times New Roman"/>
                <w:b/>
                <w:bCs/>
                <w:color w:val="auto"/>
                <w:sz w:val="24"/>
                <w:szCs w:val="24"/>
                <w:highlight w:val="none"/>
              </w:rPr>
              <w:t>（含）以上职称的，每提供1个职称证书得</w:t>
            </w: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rPr>
              <w:t>分，本项最高得</w:t>
            </w:r>
            <w:r>
              <w:rPr>
                <w:rFonts w:hint="eastAsia" w:ascii="宋体" w:hAnsi="宋体" w:eastAsia="宋体" w:cs="Times New Roman"/>
                <w:b/>
                <w:bCs/>
                <w:color w:val="auto"/>
                <w:sz w:val="24"/>
                <w:szCs w:val="24"/>
                <w:highlight w:val="none"/>
                <w:lang w:val="en-US" w:eastAsia="zh-CN"/>
              </w:rPr>
              <w:t>6</w:t>
            </w:r>
            <w:r>
              <w:rPr>
                <w:rFonts w:hint="eastAsia" w:ascii="宋体" w:hAnsi="宋体" w:eastAsia="宋体" w:cs="Times New Roman"/>
                <w:b/>
                <w:bCs/>
                <w:color w:val="auto"/>
                <w:sz w:val="24"/>
                <w:szCs w:val="24"/>
                <w:highlight w:val="none"/>
              </w:rPr>
              <w:t>分；</w:t>
            </w:r>
          </w:p>
          <w:p w14:paraId="708461AF">
            <w:pPr>
              <w:jc w:val="both"/>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rPr>
              <w:t>注：</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1</w:t>
            </w:r>
            <w:r>
              <w:rPr>
                <w:rFonts w:hint="eastAsia" w:ascii="宋体" w:hAnsi="宋体" w:eastAsia="宋体" w:cs="Times New Roman"/>
                <w:b/>
                <w:bCs/>
                <w:color w:val="auto"/>
                <w:sz w:val="24"/>
                <w:szCs w:val="24"/>
                <w:highlight w:val="none"/>
                <w:lang w:eastAsia="zh-CN"/>
              </w:rPr>
              <w:t>）如职称证书未体现专业的，须同时提供获得职称证书前有关专业的证明材料（如毕业证书</w:t>
            </w:r>
            <w:r>
              <w:rPr>
                <w:rFonts w:hint="eastAsia" w:ascii="宋体" w:hAnsi="宋体" w:cs="Times New Roman"/>
                <w:b/>
                <w:bCs/>
                <w:color w:val="auto"/>
                <w:sz w:val="24"/>
                <w:szCs w:val="24"/>
                <w:highlight w:val="none"/>
                <w:lang w:val="en-US" w:eastAsia="zh-CN"/>
              </w:rPr>
              <w:t>或</w:t>
            </w:r>
            <w:r>
              <w:rPr>
                <w:rFonts w:hint="eastAsia" w:ascii="宋体" w:hAnsi="宋体" w:eastAsia="宋体" w:cs="Times New Roman"/>
                <w:b/>
                <w:bCs/>
                <w:color w:val="auto"/>
                <w:sz w:val="24"/>
                <w:szCs w:val="24"/>
                <w:highlight w:val="none"/>
                <w:lang w:eastAsia="zh-CN"/>
              </w:rPr>
              <w:t>经评审委员会评审通过的《专业技术资格评审申报表》等），其有效性由评标委员会评审。</w:t>
            </w:r>
          </w:p>
          <w:p w14:paraId="7EF17CA1">
            <w:pPr>
              <w:jc w:val="both"/>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rPr>
              <w:t>以上人员必须为在职非退休人员，且须提供本单位为其近三个月内任意一个月缴纳的社保证明等证明材料复印件。</w:t>
            </w:r>
          </w:p>
        </w:tc>
      </w:tr>
    </w:tbl>
    <w:p w14:paraId="348A7FAC">
      <w:pPr>
        <w:spacing w:line="360" w:lineRule="auto"/>
        <w:rPr>
          <w:rFonts w:hint="eastAsia" w:ascii="宋体" w:hAnsi="宋体"/>
          <w:color w:val="auto"/>
          <w:sz w:val="24"/>
          <w:szCs w:val="24"/>
          <w:highlight w:val="none"/>
        </w:rPr>
      </w:pPr>
    </w:p>
    <w:p w14:paraId="6DC84D94">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2、价格部分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455"/>
        <w:gridCol w:w="935"/>
        <w:gridCol w:w="6043"/>
      </w:tblGrid>
      <w:tr w14:paraId="36F1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1952A6D5">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455" w:type="dxa"/>
            <w:tcBorders>
              <w:top w:val="single" w:color="auto" w:sz="4" w:space="0"/>
              <w:left w:val="single" w:color="auto" w:sz="4" w:space="0"/>
              <w:right w:val="single" w:color="auto" w:sz="4" w:space="0"/>
            </w:tcBorders>
            <w:noWrap w:val="0"/>
            <w:vAlign w:val="center"/>
          </w:tcPr>
          <w:p w14:paraId="794587BB">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935" w:type="dxa"/>
            <w:tcBorders>
              <w:top w:val="single" w:color="auto" w:sz="4" w:space="0"/>
              <w:left w:val="single" w:color="auto" w:sz="4" w:space="0"/>
              <w:right w:val="single" w:color="auto" w:sz="4" w:space="0"/>
            </w:tcBorders>
            <w:noWrap w:val="0"/>
            <w:vAlign w:val="center"/>
          </w:tcPr>
          <w:p w14:paraId="4EB7AAA6">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017F220D">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530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1273D6DF">
            <w:pPr>
              <w:jc w:val="center"/>
              <w:rPr>
                <w:rFonts w:hint="eastAsia" w:ascii="宋体" w:hAnsi="宋体"/>
                <w:color w:val="auto"/>
                <w:sz w:val="24"/>
                <w:szCs w:val="24"/>
                <w:highlight w:val="none"/>
              </w:rPr>
            </w:pPr>
            <w:r>
              <w:rPr>
                <w:rFonts w:hint="eastAsia" w:ascii="宋体" w:hAnsi="宋体" w:cs="宋体"/>
                <w:color w:val="auto"/>
                <w:sz w:val="24"/>
                <w:highlight w:val="none"/>
              </w:rPr>
              <w:t>1</w:t>
            </w:r>
          </w:p>
        </w:tc>
        <w:tc>
          <w:tcPr>
            <w:tcW w:w="1455" w:type="dxa"/>
            <w:tcBorders>
              <w:top w:val="single" w:color="auto" w:sz="4" w:space="0"/>
              <w:left w:val="single" w:color="auto" w:sz="4" w:space="0"/>
              <w:right w:val="single" w:color="auto" w:sz="4" w:space="0"/>
            </w:tcBorders>
            <w:noWrap w:val="0"/>
            <w:vAlign w:val="center"/>
          </w:tcPr>
          <w:p w14:paraId="2E0BF3DD">
            <w:pPr>
              <w:jc w:val="center"/>
              <w:rPr>
                <w:rFonts w:hint="eastAsia" w:ascii="宋体" w:hAnsi="宋体"/>
                <w:color w:val="auto"/>
                <w:sz w:val="24"/>
                <w:szCs w:val="24"/>
                <w:highlight w:val="none"/>
              </w:rPr>
            </w:pPr>
            <w:r>
              <w:rPr>
                <w:rFonts w:hint="eastAsia" w:ascii="宋体" w:hAnsi="宋体" w:cs="宋体"/>
                <w:color w:val="auto"/>
                <w:sz w:val="24"/>
                <w:highlight w:val="none"/>
              </w:rPr>
              <w:t>价格部分</w:t>
            </w:r>
          </w:p>
        </w:tc>
        <w:tc>
          <w:tcPr>
            <w:tcW w:w="935" w:type="dxa"/>
            <w:tcBorders>
              <w:top w:val="single" w:color="auto" w:sz="4" w:space="0"/>
              <w:left w:val="single" w:color="auto" w:sz="4" w:space="0"/>
              <w:right w:val="single" w:color="auto" w:sz="4" w:space="0"/>
            </w:tcBorders>
            <w:noWrap w:val="0"/>
            <w:vAlign w:val="center"/>
          </w:tcPr>
          <w:p w14:paraId="12842973">
            <w:pPr>
              <w:ind w:firstLine="240" w:firstLineChars="100"/>
              <w:rPr>
                <w:rFonts w:hint="default" w:ascii="宋体" w:hAnsi="宋体" w:eastAsia="宋体"/>
                <w:color w:val="auto"/>
                <w:sz w:val="24"/>
                <w:szCs w:val="24"/>
                <w:highlight w:val="none"/>
                <w:lang w:val="en-US" w:eastAsia="zh-CN"/>
              </w:rPr>
            </w:pPr>
            <w:r>
              <w:rPr>
                <w:rFonts w:hint="eastAsia" w:ascii="宋体" w:hAnsi="宋体" w:cs="宋体"/>
                <w:color w:val="auto"/>
                <w:sz w:val="24"/>
                <w:highlight w:val="none"/>
                <w:lang w:val="en-US" w:eastAsia="zh-CN"/>
              </w:rPr>
              <w:t>20</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63748C14">
            <w:pPr>
              <w:keepNext w:val="0"/>
              <w:keepLines w:val="0"/>
              <w:pageBreakBefore w:val="0"/>
              <w:widowControl w:val="0"/>
              <w:shd w:val="clear" w:color="auto" w:fill="FFFFFF"/>
              <w:kinsoku/>
              <w:wordWrap/>
              <w:overflowPunct/>
              <w:topLinePunct w:val="0"/>
              <w:autoSpaceDE/>
              <w:autoSpaceDN/>
              <w:bidi w:val="0"/>
              <w:adjustRightInd/>
              <w:snapToGrid w:val="0"/>
              <w:spacing w:line="240" w:lineRule="auto"/>
              <w:textAlignment w:val="auto"/>
              <w:rPr>
                <w:rFonts w:hint="default" w:eastAsia="宋体"/>
                <w:color w:val="auto"/>
                <w:sz w:val="21"/>
                <w:szCs w:val="28"/>
                <w:highlight w:val="none"/>
                <w:shd w:val="clear" w:color="auto" w:fill="FFFFFF"/>
                <w:lang w:val="en-US" w:eastAsia="zh-CN"/>
              </w:rPr>
            </w:pPr>
            <w:r>
              <w:rPr>
                <w:rFonts w:hint="eastAsia" w:ascii="宋体"/>
                <w:color w:val="auto"/>
                <w:sz w:val="24"/>
                <w:szCs w:val="24"/>
                <w:highlight w:val="none"/>
              </w:rPr>
              <w:t>采用低价优先法计算，即满足</w:t>
            </w:r>
            <w:r>
              <w:rPr>
                <w:rFonts w:hint="eastAsia" w:ascii="宋体"/>
                <w:color w:val="auto"/>
                <w:sz w:val="24"/>
                <w:szCs w:val="24"/>
                <w:highlight w:val="none"/>
                <w:lang w:val="en-US" w:eastAsia="zh-CN"/>
              </w:rPr>
              <w:t>招标文件</w:t>
            </w:r>
            <w:r>
              <w:rPr>
                <w:rFonts w:hint="eastAsia" w:ascii="宋体"/>
                <w:color w:val="auto"/>
                <w:sz w:val="24"/>
                <w:szCs w:val="24"/>
                <w:highlight w:val="none"/>
              </w:rPr>
              <w:t>要求且投标价格最低的报价为评标基准价，其价格分为</w:t>
            </w:r>
            <w:r>
              <w:rPr>
                <w:rFonts w:hint="eastAsia" w:ascii="宋体"/>
                <w:color w:val="auto"/>
                <w:sz w:val="24"/>
                <w:szCs w:val="24"/>
                <w:highlight w:val="none"/>
                <w:lang w:val="en-US" w:eastAsia="zh-CN"/>
              </w:rPr>
              <w:t>20</w:t>
            </w:r>
            <w:r>
              <w:rPr>
                <w:rFonts w:hint="eastAsia" w:ascii="宋体"/>
                <w:color w:val="auto"/>
                <w:sz w:val="24"/>
                <w:szCs w:val="24"/>
                <w:highlight w:val="none"/>
              </w:rPr>
              <w:t>分。其他投标供应商的价格分统一按照下列公式计算:投标报价得分=(评标基准价/投标报价)×</w:t>
            </w:r>
            <w:r>
              <w:rPr>
                <w:rFonts w:hint="eastAsia" w:ascii="宋体"/>
                <w:color w:val="auto"/>
                <w:sz w:val="24"/>
                <w:szCs w:val="24"/>
                <w:highlight w:val="none"/>
                <w:lang w:val="en-US" w:eastAsia="zh-CN"/>
              </w:rPr>
              <w:t>20</w:t>
            </w:r>
            <w:r>
              <w:rPr>
                <w:rFonts w:hint="eastAsia" w:ascii="宋体"/>
                <w:color w:val="auto"/>
                <w:sz w:val="24"/>
                <w:szCs w:val="24"/>
                <w:highlight w:val="none"/>
              </w:rPr>
              <w:t>分。（以四舍五入法，保留两位小数）</w:t>
            </w:r>
          </w:p>
        </w:tc>
      </w:tr>
    </w:tbl>
    <w:p w14:paraId="1970C99D">
      <w:pPr>
        <w:jc w:val="left"/>
        <w:rPr>
          <w:rFonts w:hint="eastAsia" w:ascii="宋体" w:hAnsi="宋体"/>
          <w:b/>
          <w:bCs/>
          <w:color w:val="auto"/>
          <w:sz w:val="24"/>
          <w:szCs w:val="24"/>
          <w:highlight w:val="none"/>
        </w:rPr>
      </w:pPr>
    </w:p>
    <w:p w14:paraId="11819515">
      <w:pPr>
        <w:jc w:val="left"/>
        <w:rPr>
          <w:rFonts w:hint="eastAsia" w:ascii="宋体" w:hAnsi="宋体"/>
          <w:b/>
          <w:bCs/>
          <w:color w:val="auto"/>
          <w:sz w:val="24"/>
          <w:szCs w:val="24"/>
          <w:highlight w:val="none"/>
        </w:rPr>
      </w:pPr>
      <w:r>
        <w:rPr>
          <w:rFonts w:hint="eastAsia" w:ascii="宋体" w:hAnsi="宋体"/>
          <w:b/>
          <w:bCs/>
          <w:color w:val="auto"/>
          <w:sz w:val="24"/>
          <w:szCs w:val="24"/>
          <w:highlight w:val="none"/>
        </w:rPr>
        <w:t>备注：</w:t>
      </w:r>
    </w:p>
    <w:p w14:paraId="4860EA8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1、所有提供的证明材料必须保证清晰，内容模糊无法确认的后果由投标人自负；</w:t>
      </w:r>
    </w:p>
    <w:p w14:paraId="0400D9F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2、所有提供的证明材料必须为真实、有效；</w:t>
      </w:r>
    </w:p>
    <w:p w14:paraId="1F2364E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3、评分过程中如出现小数点后三位，采用四舍五入法，最终保留两位小数；</w:t>
      </w:r>
    </w:p>
    <w:p w14:paraId="687C049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4、投标文件中必须提供以上相关证明材料复印件；</w:t>
      </w:r>
    </w:p>
    <w:p w14:paraId="54D221BD">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color w:val="auto"/>
          <w:sz w:val="24"/>
          <w:highlight w:val="none"/>
          <w:lang w:val="en-US" w:eastAsia="zh-CN"/>
        </w:rPr>
        <w:t>5、</w:t>
      </w:r>
      <w:r>
        <w:rPr>
          <w:rFonts w:hint="eastAsia" w:ascii="宋体" w:hAnsi="宋体" w:eastAsia="宋体" w:cs="宋体"/>
          <w:color w:val="auto"/>
          <w:sz w:val="24"/>
          <w:szCs w:val="24"/>
          <w:highlight w:val="none"/>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14:paraId="2F6575DD">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评标委员会启动异常低价投标（响应）审查的情形和具体要求，包括：</w:t>
      </w:r>
    </w:p>
    <w:p w14:paraId="7443B403">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1、评审过程中出现下列情形之一的，评标委员会应当启动异常低价投标（响应）审查程序：</w:t>
      </w:r>
    </w:p>
    <w:p w14:paraId="6EB44CD1">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①投标（响应）报价低于采购项目最高限价45%的，即投标（响应）报价&lt;采购项目最高限价×45%；</w:t>
      </w:r>
    </w:p>
    <w:p w14:paraId="0546068A">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②评标委员会认定的供应商报价过低、有可能影响产品质量或者不能诚信履约的其他情形。</w:t>
      </w:r>
    </w:p>
    <w:p w14:paraId="1060BABA">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17C5BE1F">
      <w:pPr>
        <w:spacing w:line="360" w:lineRule="auto"/>
        <w:ind w:firstLine="560" w:firstLineChars="200"/>
        <w:jc w:val="center"/>
        <w:rPr>
          <w:rFonts w:hint="eastAsia" w:ascii="黑体" w:hAnsi="黑体" w:eastAsia="黑体"/>
          <w:color w:val="auto"/>
          <w:sz w:val="28"/>
          <w:highlight w:val="none"/>
        </w:rPr>
      </w:pPr>
    </w:p>
    <w:p w14:paraId="38C1A75F">
      <w:pPr>
        <w:spacing w:line="360" w:lineRule="auto"/>
        <w:ind w:firstLine="560" w:firstLineChars="200"/>
        <w:jc w:val="center"/>
        <w:rPr>
          <w:rFonts w:hint="eastAsia" w:ascii="黑体" w:hAnsi="黑体" w:eastAsia="黑体"/>
          <w:color w:val="auto"/>
          <w:sz w:val="28"/>
          <w:highlight w:val="none"/>
        </w:rPr>
      </w:pPr>
      <w:r>
        <w:rPr>
          <w:rFonts w:hint="eastAsia" w:ascii="黑体" w:hAnsi="黑体" w:eastAsia="黑体"/>
          <w:color w:val="auto"/>
          <w:sz w:val="28"/>
          <w:highlight w:val="none"/>
        </w:rPr>
        <w:br w:type="page"/>
      </w:r>
      <w:r>
        <w:rPr>
          <w:rFonts w:hint="eastAsia" w:ascii="黑体" w:hAnsi="黑体" w:eastAsia="黑体"/>
          <w:color w:val="auto"/>
          <w:sz w:val="28"/>
          <w:highlight w:val="none"/>
        </w:rPr>
        <w:t>第五章 采购合同（格式）</w:t>
      </w:r>
    </w:p>
    <w:p w14:paraId="005BEE22">
      <w:pPr>
        <w:keepNext/>
        <w:keepLines/>
        <w:widowControl w:val="0"/>
        <w:spacing w:before="260" w:beforeLines="0" w:beforeAutospacing="0" w:after="260" w:afterLines="0" w:afterAutospacing="0" w:line="413" w:lineRule="auto"/>
        <w:ind w:firstLine="723" w:firstLineChars="200"/>
        <w:jc w:val="center"/>
        <w:outlineLvl w:val="1"/>
        <w:rPr>
          <w:rFonts w:ascii="Times New Roman" w:hAnsi="Times New Roman" w:eastAsia="宋体" w:cs="Times New Roman"/>
          <w:b/>
          <w:color w:val="auto"/>
          <w:kern w:val="2"/>
          <w:sz w:val="36"/>
          <w:highlight w:val="none"/>
          <w:lang w:val="en-US" w:eastAsia="zh-CN" w:bidi="ar-SA"/>
        </w:rPr>
      </w:pPr>
      <w:r>
        <w:rPr>
          <w:rFonts w:ascii="Times New Roman" w:hAnsi="Times New Roman" w:eastAsia="宋体" w:cs="Times New Roman"/>
          <w:b/>
          <w:color w:val="auto"/>
          <w:kern w:val="2"/>
          <w:sz w:val="36"/>
          <w:highlight w:val="none"/>
          <w:lang w:val="en-US" w:eastAsia="zh-CN" w:bidi="ar-SA"/>
        </w:rPr>
        <w:t>技术咨询合同书</w:t>
      </w:r>
    </w:p>
    <w:p w14:paraId="39ADAE68">
      <w:pPr>
        <w:spacing w:line="400" w:lineRule="exact"/>
        <w:rPr>
          <w:rFonts w:ascii="Times New Roman" w:hAnsi="Times New Roman" w:eastAsia="宋体" w:cs="Times New Roman"/>
          <w:b/>
          <w:color w:val="auto"/>
          <w:sz w:val="24"/>
          <w:szCs w:val="24"/>
          <w:highlight w:val="none"/>
          <w:u w:val="single"/>
        </w:rPr>
      </w:pPr>
      <w:r>
        <w:rPr>
          <w:rFonts w:ascii="Times New Roman" w:hAnsi="Times New Roman" w:eastAsia="宋体" w:cs="Times New Roman"/>
          <w:b/>
          <w:color w:val="auto"/>
          <w:sz w:val="24"/>
          <w:szCs w:val="24"/>
          <w:highlight w:val="none"/>
        </w:rPr>
        <w:t>发包人（全称）：</w:t>
      </w:r>
      <w:r>
        <w:rPr>
          <w:rFonts w:ascii="Times New Roman" w:hAnsi="Times New Roman" w:eastAsia="宋体" w:cs="Times New Roman"/>
          <w:b/>
          <w:color w:val="auto"/>
          <w:sz w:val="24"/>
          <w:szCs w:val="24"/>
          <w:highlight w:val="none"/>
          <w:u w:val="single"/>
        </w:rPr>
        <w:t xml:space="preserve">       </w:t>
      </w:r>
      <w:r>
        <w:rPr>
          <w:rFonts w:hint="eastAsia" w:cs="Times New Roman"/>
          <w:b/>
          <w:color w:val="auto"/>
          <w:sz w:val="24"/>
          <w:szCs w:val="24"/>
          <w:highlight w:val="none"/>
          <w:u w:val="single"/>
          <w:lang w:eastAsia="zh-CN"/>
        </w:rPr>
        <w:t>宜兴市环保集团有限公司</w:t>
      </w:r>
      <w:r>
        <w:rPr>
          <w:rFonts w:ascii="Times New Roman" w:hAnsi="Times New Roman" w:eastAsia="宋体" w:cs="Times New Roman"/>
          <w:b/>
          <w:color w:val="auto"/>
          <w:sz w:val="24"/>
          <w:szCs w:val="24"/>
          <w:highlight w:val="none"/>
          <w:u w:val="single"/>
        </w:rPr>
        <w:t xml:space="preserve">       </w:t>
      </w:r>
    </w:p>
    <w:p w14:paraId="6AED176F">
      <w:pPr>
        <w:spacing w:line="400" w:lineRule="exact"/>
        <w:rPr>
          <w:rFonts w:ascii="Times New Roman" w:hAnsi="Times New Roman" w:eastAsia="宋体" w:cs="Times New Roman"/>
          <w:b/>
          <w:color w:val="auto"/>
          <w:sz w:val="24"/>
          <w:szCs w:val="24"/>
          <w:highlight w:val="none"/>
          <w:u w:val="single"/>
        </w:rPr>
      </w:pPr>
      <w:r>
        <w:rPr>
          <w:rFonts w:ascii="Times New Roman" w:hAnsi="Times New Roman" w:eastAsia="宋体" w:cs="Times New Roman"/>
          <w:b/>
          <w:color w:val="auto"/>
          <w:sz w:val="24"/>
          <w:szCs w:val="24"/>
          <w:highlight w:val="none"/>
        </w:rPr>
        <w:t>受托人（全称）：</w:t>
      </w:r>
      <w:r>
        <w:rPr>
          <w:rFonts w:ascii="Times New Roman" w:hAnsi="Times New Roman" w:eastAsia="宋体" w:cs="Times New Roman"/>
          <w:b/>
          <w:color w:val="auto"/>
          <w:sz w:val="24"/>
          <w:szCs w:val="24"/>
          <w:highlight w:val="none"/>
          <w:u w:val="single"/>
        </w:rPr>
        <w:t xml:space="preserve">                    </w:t>
      </w:r>
      <w:r>
        <w:rPr>
          <w:rFonts w:hint="eastAsia" w:ascii="Times New Roman" w:hAnsi="Times New Roman" w:eastAsia="宋体" w:cs="Times New Roman"/>
          <w:b/>
          <w:color w:val="auto"/>
          <w:sz w:val="24"/>
          <w:szCs w:val="24"/>
          <w:highlight w:val="none"/>
          <w:u w:val="single"/>
          <w:lang w:val="en-US" w:eastAsia="zh-CN"/>
        </w:rPr>
        <w:t xml:space="preserve">     </w:t>
      </w:r>
      <w:r>
        <w:rPr>
          <w:rFonts w:ascii="Times New Roman" w:hAnsi="Times New Roman" w:eastAsia="宋体" w:cs="Times New Roman"/>
          <w:b/>
          <w:color w:val="auto"/>
          <w:sz w:val="24"/>
          <w:szCs w:val="24"/>
          <w:highlight w:val="none"/>
          <w:u w:val="single"/>
        </w:rPr>
        <w:t xml:space="preserve">           </w:t>
      </w:r>
    </w:p>
    <w:p w14:paraId="4D0267DB">
      <w:pPr>
        <w:spacing w:line="400" w:lineRule="exact"/>
        <w:rPr>
          <w:rFonts w:ascii="Times New Roman" w:hAnsi="Times New Roman" w:eastAsia="宋体" w:cs="Times New Roman"/>
          <w:b/>
          <w:color w:val="auto"/>
          <w:sz w:val="24"/>
          <w:szCs w:val="24"/>
          <w:highlight w:val="none"/>
          <w:u w:val="single"/>
        </w:rPr>
      </w:pPr>
    </w:p>
    <w:p w14:paraId="37E21CD2">
      <w:pPr>
        <w:spacing w:line="560" w:lineRule="exact"/>
        <w:ind w:firstLine="720" w:firstLineChars="3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lang w:val="zh-CN"/>
        </w:rPr>
        <w:t>年  月  日</w:t>
      </w:r>
      <w:r>
        <w:rPr>
          <w:rFonts w:ascii="Times New Roman" w:hAnsi="Times New Roman" w:eastAsia="宋体" w:cs="Times New Roman"/>
          <w:color w:val="auto"/>
          <w:sz w:val="24"/>
          <w:highlight w:val="none"/>
        </w:rPr>
        <w:t>，</w:t>
      </w:r>
      <w:r>
        <w:rPr>
          <w:rFonts w:hint="eastAsia" w:cs="Times New Roman"/>
          <w:color w:val="auto"/>
          <w:sz w:val="24"/>
          <w:highlight w:val="none"/>
          <w:u w:val="single"/>
          <w:lang w:eastAsia="zh-CN"/>
        </w:rPr>
        <w:t>宜兴市环保集团有限公司</w:t>
      </w:r>
      <w:r>
        <w:rPr>
          <w:rFonts w:ascii="Times New Roman" w:hAnsi="Times New Roman" w:eastAsia="宋体" w:cs="Times New Roman"/>
          <w:color w:val="auto"/>
          <w:sz w:val="24"/>
          <w:highlight w:val="none"/>
        </w:rPr>
        <w:t>以</w:t>
      </w:r>
      <w:r>
        <w:rPr>
          <w:rFonts w:ascii="Times New Roman" w:hAnsi="Times New Roman" w:eastAsia="宋体" w:cs="Times New Roman"/>
          <w:color w:val="auto"/>
          <w:sz w:val="24"/>
          <w:highlight w:val="none"/>
          <w:u w:val="single"/>
        </w:rPr>
        <w:t xml:space="preserve">公开招标方式 </w:t>
      </w:r>
      <w:r>
        <w:rPr>
          <w:rFonts w:ascii="Times New Roman" w:hAnsi="Times New Roman" w:eastAsia="宋体" w:cs="Times New Roman"/>
          <w:color w:val="auto"/>
          <w:sz w:val="24"/>
          <w:highlight w:val="none"/>
        </w:rPr>
        <w:t>对</w:t>
      </w:r>
      <w:r>
        <w:rPr>
          <w:rFonts w:hint="eastAsia" w:cs="Times New Roman"/>
          <w:color w:val="auto"/>
          <w:sz w:val="24"/>
          <w:highlight w:val="none"/>
          <w:u w:val="single"/>
          <w:lang w:val="en-US" w:eastAsia="zh-CN"/>
        </w:rPr>
        <w:t>宜兴市西氿近岸湖体修复工程不可避让论证服务项目</w:t>
      </w:r>
      <w:r>
        <w:rPr>
          <w:rFonts w:ascii="Times New Roman" w:hAnsi="Times New Roman" w:eastAsia="宋体" w:cs="Times New Roman"/>
          <w:color w:val="auto"/>
          <w:sz w:val="24"/>
          <w:highlight w:val="none"/>
        </w:rPr>
        <w:t>进行了采购。经</w:t>
      </w:r>
      <w:r>
        <w:rPr>
          <w:rFonts w:hint="eastAsia" w:ascii="Times New Roman" w:hAnsi="Times New Roman" w:eastAsia="宋体" w:cs="Times New Roman"/>
          <w:color w:val="auto"/>
          <w:sz w:val="24"/>
          <w:highlight w:val="none"/>
        </w:rPr>
        <w:t>评标委员会</w:t>
      </w:r>
      <w:r>
        <w:rPr>
          <w:rFonts w:ascii="Times New Roman" w:hAnsi="Times New Roman" w:eastAsia="宋体" w:cs="Times New Roman"/>
          <w:color w:val="auto"/>
          <w:sz w:val="24"/>
          <w:highlight w:val="none"/>
        </w:rPr>
        <w:t xml:space="preserve">评审，确定 </w:t>
      </w:r>
      <w:r>
        <w:rPr>
          <w:rFonts w:ascii="Times New Roman" w:hAnsi="Times New Roman" w:eastAsia="宋体" w:cs="Times New Roman"/>
          <w:color w:val="auto"/>
          <w:sz w:val="24"/>
          <w:highlight w:val="none"/>
          <w:u w:val="single"/>
        </w:rPr>
        <w:t>（</w:t>
      </w:r>
      <w:r>
        <w:rPr>
          <w:rFonts w:hint="eastAsia" w:ascii="Times New Roman" w:hAnsi="Times New Roman" w:eastAsia="宋体" w:cs="Times New Roman"/>
          <w:color w:val="auto"/>
          <w:sz w:val="24"/>
          <w:highlight w:val="none"/>
          <w:u w:val="single"/>
        </w:rPr>
        <w:t>中标</w:t>
      </w:r>
      <w:r>
        <w:rPr>
          <w:rFonts w:ascii="Times New Roman" w:hAnsi="Times New Roman" w:eastAsia="宋体" w:cs="Times New Roman"/>
          <w:color w:val="auto"/>
          <w:sz w:val="24"/>
          <w:highlight w:val="none"/>
          <w:u w:val="single"/>
        </w:rPr>
        <w:t>供应商名称）</w:t>
      </w:r>
      <w:r>
        <w:rPr>
          <w:rFonts w:ascii="Times New Roman" w:hAnsi="Times New Roman" w:eastAsia="宋体" w:cs="Times New Roman"/>
          <w:color w:val="auto"/>
          <w:sz w:val="24"/>
          <w:highlight w:val="none"/>
        </w:rPr>
        <w:t>为该项目</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供应商。现于</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通知书发出之日起三十日内，按照</w:t>
      </w:r>
      <w:r>
        <w:rPr>
          <w:rFonts w:hint="eastAsia" w:ascii="Times New Roman" w:hAnsi="Times New Roman" w:eastAsia="宋体" w:cs="Times New Roman"/>
          <w:color w:val="auto"/>
          <w:sz w:val="24"/>
          <w:highlight w:val="none"/>
        </w:rPr>
        <w:t>采购</w:t>
      </w:r>
      <w:r>
        <w:rPr>
          <w:rFonts w:ascii="Times New Roman" w:hAnsi="Times New Roman" w:eastAsia="宋体" w:cs="Times New Roman"/>
          <w:color w:val="auto"/>
          <w:sz w:val="24"/>
          <w:highlight w:val="none"/>
        </w:rPr>
        <w:t>文件确定的事项签订本合同。</w:t>
      </w:r>
    </w:p>
    <w:p w14:paraId="3E36FFC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lang w:val="zh-CN"/>
        </w:rPr>
        <w:t>根据《中华人民共和国民法典》等相关法律法规之规定，按照平等、自愿、公平和诚实信用的原则，经</w:t>
      </w:r>
      <w:r>
        <w:rPr>
          <w:rFonts w:hint="eastAsia" w:cs="Times New Roman"/>
          <w:color w:val="auto"/>
          <w:sz w:val="24"/>
          <w:highlight w:val="none"/>
          <w:u w:val="single"/>
          <w:lang w:eastAsia="zh-CN"/>
        </w:rPr>
        <w:t>宜兴市环保集团有限公司</w:t>
      </w:r>
      <w:r>
        <w:rPr>
          <w:rFonts w:ascii="Times New Roman" w:hAnsi="Times New Roman" w:eastAsia="宋体" w:cs="Times New Roman"/>
          <w:color w:val="auto"/>
          <w:sz w:val="24"/>
          <w:highlight w:val="none"/>
          <w:lang w:val="zh-CN"/>
        </w:rPr>
        <w:t>(以下简称：甲方)和</w:t>
      </w:r>
      <w:r>
        <w:rPr>
          <w:rFonts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rPr>
        <w:t>中标</w:t>
      </w:r>
      <w:r>
        <w:rPr>
          <w:rFonts w:ascii="Times New Roman" w:hAnsi="Times New Roman" w:eastAsia="宋体" w:cs="Times New Roman"/>
          <w:color w:val="auto"/>
          <w:sz w:val="24"/>
          <w:highlight w:val="none"/>
          <w:u w:val="single"/>
        </w:rPr>
        <w:t>供应商名称）</w:t>
      </w:r>
      <w:r>
        <w:rPr>
          <w:rFonts w:ascii="Times New Roman" w:hAnsi="Times New Roman" w:eastAsia="宋体" w:cs="Times New Roman"/>
          <w:color w:val="auto"/>
          <w:sz w:val="24"/>
          <w:highlight w:val="none"/>
          <w:lang w:val="zh-CN"/>
        </w:rPr>
        <w:t>(以下简称：乙方)协商一致，约定以下合同</w:t>
      </w:r>
      <w:r>
        <w:rPr>
          <w:rFonts w:ascii="Times New Roman" w:hAnsi="Times New Roman" w:eastAsia="宋体" w:cs="Times New Roman"/>
          <w:color w:val="auto"/>
          <w:sz w:val="24"/>
          <w:highlight w:val="none"/>
        </w:rPr>
        <w:t>条款，以兹共同遵守、全面履行。</w:t>
      </w:r>
    </w:p>
    <w:p w14:paraId="1BACA7A9">
      <w:pPr>
        <w:spacing w:line="560" w:lineRule="exact"/>
        <w:ind w:firstLine="482" w:firstLineChars="200"/>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1.1 合同组成部分</w:t>
      </w:r>
    </w:p>
    <w:p w14:paraId="77D876E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下列文件为本合同的组成部分，并构成一个整体，需综合解释、相互补充。如果下列文件内容出现不一致的情形，那么在保证按照</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文件确定的事项的前提下，组成本合同的多个文件的优先适用顺序如下：</w:t>
      </w:r>
    </w:p>
    <w:p w14:paraId="6ADB952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1.1.1 本合同及其补充合同、变更协议；</w:t>
      </w:r>
    </w:p>
    <w:p w14:paraId="163EFFA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1.1.2 </w:t>
      </w:r>
      <w:r>
        <w:rPr>
          <w:rFonts w:hint="eastAsia" w:ascii="Times New Roman" w:hAnsi="Times New Roman" w:eastAsia="宋体" w:cs="Times New Roman"/>
          <w:color w:val="auto"/>
          <w:sz w:val="24"/>
          <w:szCs w:val="24"/>
          <w:highlight w:val="none"/>
        </w:rPr>
        <w:t>中标</w:t>
      </w:r>
      <w:r>
        <w:rPr>
          <w:rFonts w:ascii="Times New Roman" w:hAnsi="Times New Roman" w:eastAsia="宋体" w:cs="Times New Roman"/>
          <w:color w:val="auto"/>
          <w:sz w:val="24"/>
          <w:szCs w:val="24"/>
          <w:highlight w:val="none"/>
        </w:rPr>
        <w:t>通知书；</w:t>
      </w:r>
    </w:p>
    <w:p w14:paraId="7E341B7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1.1.3 </w:t>
      </w:r>
      <w:r>
        <w:rPr>
          <w:rFonts w:hint="eastAsia" w:ascii="Times New Roman" w:hAnsi="Times New Roman" w:eastAsia="宋体" w:cs="Times New Roman"/>
          <w:color w:val="auto"/>
          <w:sz w:val="24"/>
          <w:szCs w:val="24"/>
          <w:highlight w:val="none"/>
        </w:rPr>
        <w:t>投标</w:t>
      </w:r>
      <w:r>
        <w:rPr>
          <w:rFonts w:ascii="Times New Roman" w:hAnsi="Times New Roman" w:eastAsia="宋体" w:cs="Times New Roman"/>
          <w:color w:val="auto"/>
          <w:sz w:val="24"/>
          <w:szCs w:val="24"/>
          <w:highlight w:val="none"/>
        </w:rPr>
        <w:t>文件（含澄清或者说明文件）；</w:t>
      </w:r>
    </w:p>
    <w:p w14:paraId="09F3955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1.1.4 </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文件（含澄清或者修改文件）；</w:t>
      </w:r>
    </w:p>
    <w:p w14:paraId="7655324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1.1.5 其他相关</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w:t>
      </w:r>
    </w:p>
    <w:p w14:paraId="76E6BD8C">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1.2 标的</w:t>
      </w:r>
    </w:p>
    <w:p w14:paraId="18F6E553">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1.2.1 项目名称：</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14F43AD2">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1.2.2 项目数量：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74C1A34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1.2.3 项目质量：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66AB810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1.3 价款</w:t>
      </w:r>
    </w:p>
    <w:p w14:paraId="425895BB">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本合同总价为：</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￥元（大写：元人民币）。</w:t>
      </w:r>
    </w:p>
    <w:p w14:paraId="12059F2F">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分项价格：</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EC2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5EDD61C">
            <w:pPr>
              <w:widowControl w:val="0"/>
              <w:spacing w:line="560" w:lineRule="exact"/>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序号</w:t>
            </w:r>
          </w:p>
        </w:tc>
        <w:tc>
          <w:tcPr>
            <w:tcW w:w="3402" w:type="dxa"/>
            <w:noWrap w:val="0"/>
            <w:vAlign w:val="center"/>
          </w:tcPr>
          <w:p w14:paraId="4276BD04">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分项名称</w:t>
            </w:r>
          </w:p>
        </w:tc>
        <w:tc>
          <w:tcPr>
            <w:tcW w:w="2552" w:type="dxa"/>
            <w:noWrap w:val="0"/>
            <w:vAlign w:val="center"/>
          </w:tcPr>
          <w:p w14:paraId="4F07BF6E">
            <w:pPr>
              <w:widowControl w:val="0"/>
              <w:spacing w:line="560" w:lineRule="exact"/>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分项价格</w:t>
            </w:r>
          </w:p>
        </w:tc>
      </w:tr>
      <w:tr w14:paraId="48E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3030ACA">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50138506">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1A6C39C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0C83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B652E13">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130C943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0DC13C7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1EA8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35491B2">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5D3105B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17F9F948">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29D7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5A03074">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0DB43C6E">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67FC0E08">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68BB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64ECE853">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总价</w:t>
            </w:r>
          </w:p>
        </w:tc>
        <w:tc>
          <w:tcPr>
            <w:tcW w:w="2552" w:type="dxa"/>
            <w:noWrap w:val="0"/>
            <w:vAlign w:val="center"/>
          </w:tcPr>
          <w:p w14:paraId="35876982">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bl>
    <w:p w14:paraId="58E481B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1.4 付款方式和发票开具方式</w:t>
      </w:r>
    </w:p>
    <w:p w14:paraId="34A1843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1.4.1付款方式：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370C584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1.4.2 发票开具方式：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48FF36E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1.5 履行期限、地点和方式</w:t>
      </w:r>
    </w:p>
    <w:p w14:paraId="7CA9F011">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1.5.1 履行期限：</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49F8DA4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1.5.2 履行地点：</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643BCF7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1.5.3 履行方式：</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1D27B065">
      <w:pPr>
        <w:snapToGrid w:val="0"/>
        <w:spacing w:line="360" w:lineRule="auto"/>
        <w:ind w:firstLine="420"/>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1.6</w:t>
      </w:r>
      <w:r>
        <w:rPr>
          <w:rFonts w:ascii="Times New Roman" w:hAnsi="Times New Roman" w:eastAsia="宋体" w:cs="Times New Roman"/>
          <w:b/>
          <w:bCs/>
          <w:color w:val="auto"/>
          <w:sz w:val="24"/>
          <w:szCs w:val="24"/>
          <w:highlight w:val="none"/>
        </w:rPr>
        <w:t>乙方进行技术</w:t>
      </w:r>
      <w:r>
        <w:rPr>
          <w:rFonts w:hint="eastAsia" w:ascii="Times New Roman" w:hAnsi="Times New Roman" w:eastAsia="宋体" w:cs="Times New Roman"/>
          <w:b/>
          <w:bCs/>
          <w:color w:val="auto"/>
          <w:sz w:val="24"/>
          <w:szCs w:val="24"/>
          <w:highlight w:val="none"/>
        </w:rPr>
        <w:t>咨询</w:t>
      </w:r>
      <w:r>
        <w:rPr>
          <w:rFonts w:ascii="Times New Roman" w:hAnsi="Times New Roman" w:eastAsia="宋体" w:cs="Times New Roman"/>
          <w:b/>
          <w:bCs/>
          <w:color w:val="auto"/>
          <w:sz w:val="24"/>
          <w:szCs w:val="24"/>
          <w:highlight w:val="none"/>
        </w:rPr>
        <w:t>的内容</w:t>
      </w:r>
      <w:r>
        <w:rPr>
          <w:rFonts w:hint="eastAsia" w:ascii="Times New Roman" w:hAnsi="Times New Roman" w:eastAsia="宋体" w:cs="Times New Roman"/>
          <w:b/>
          <w:bCs/>
          <w:color w:val="auto"/>
          <w:sz w:val="24"/>
          <w:szCs w:val="24"/>
          <w:highlight w:val="none"/>
        </w:rPr>
        <w:t>、要求和成果交付</w:t>
      </w:r>
    </w:p>
    <w:p w14:paraId="3833421D">
      <w:pPr>
        <w:keepNext w:val="0"/>
        <w:keepLines w:val="0"/>
        <w:pageBreakBefore w:val="0"/>
        <w:widowControl w:val="0"/>
        <w:kinsoku/>
        <w:wordWrap/>
        <w:overflowPunct/>
        <w:topLinePunct w:val="0"/>
        <w:bidi w:val="0"/>
        <w:snapToGrid w:val="0"/>
        <w:spacing w:line="360" w:lineRule="auto"/>
        <w:ind w:firstLine="42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16.1服务内容：</w:t>
      </w:r>
    </w:p>
    <w:p w14:paraId="616AA0E0">
      <w:pPr>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根据文件要求，编制不可避让论证报告，内容包括：项目概况、工程任务、工程建设内容、项目建设报批情况、与主体功能区的相符性、与区域水功能区划和生态环境功能区划的相符性、项目占用生态管控区</w:t>
      </w:r>
      <w:r>
        <w:rPr>
          <w:rFonts w:hint="eastAsia" w:ascii="宋体" w:hAnsi="宋体" w:eastAsia="宋体" w:cs="宋体"/>
          <w:color w:val="auto"/>
          <w:sz w:val="24"/>
          <w:szCs w:val="28"/>
          <w:highlight w:val="none"/>
          <w:lang w:val="en-US" w:eastAsia="zh-CN"/>
        </w:rPr>
        <w:t>或</w:t>
      </w:r>
      <w:r>
        <w:rPr>
          <w:rFonts w:hint="eastAsia" w:ascii="Times New Roman" w:hAnsi="Times New Roman" w:eastAsia="宋体" w:cs="Times New Roman"/>
          <w:color w:val="auto"/>
          <w:sz w:val="24"/>
          <w:szCs w:val="24"/>
          <w:highlight w:val="none"/>
        </w:rPr>
        <w:t>生态红线</w:t>
      </w:r>
      <w:r>
        <w:rPr>
          <w:rFonts w:hint="eastAsia" w:ascii="Times New Roman" w:hAnsi="Times New Roman" w:eastAsia="宋体" w:cs="Times New Roman"/>
          <w:color w:val="auto"/>
          <w:sz w:val="24"/>
          <w:szCs w:val="24"/>
          <w:highlight w:val="none"/>
          <w:lang w:val="en-US" w:eastAsia="zh-CN"/>
        </w:rPr>
        <w:t>的</w:t>
      </w:r>
      <w:r>
        <w:rPr>
          <w:rFonts w:hint="eastAsia" w:ascii="宋体" w:hAnsi="宋体" w:eastAsia="宋体" w:cs="宋体"/>
          <w:color w:val="auto"/>
          <w:sz w:val="24"/>
          <w:szCs w:val="28"/>
          <w:highlight w:val="none"/>
        </w:rPr>
        <w:t>基本情况、占用生态管控区</w:t>
      </w:r>
      <w:r>
        <w:rPr>
          <w:rFonts w:hint="eastAsia" w:ascii="宋体" w:hAnsi="宋体" w:eastAsia="宋体" w:cs="宋体"/>
          <w:color w:val="auto"/>
          <w:sz w:val="24"/>
          <w:szCs w:val="28"/>
          <w:highlight w:val="none"/>
          <w:lang w:val="en-US" w:eastAsia="zh-CN"/>
        </w:rPr>
        <w:t>或</w:t>
      </w:r>
      <w:r>
        <w:rPr>
          <w:rFonts w:hint="eastAsia" w:ascii="Times New Roman" w:hAnsi="Times New Roman" w:eastAsia="宋体" w:cs="Times New Roman"/>
          <w:color w:val="auto"/>
          <w:sz w:val="24"/>
          <w:szCs w:val="24"/>
          <w:highlight w:val="none"/>
        </w:rPr>
        <w:t>生态红线</w:t>
      </w:r>
      <w:r>
        <w:rPr>
          <w:rFonts w:hint="eastAsia" w:ascii="宋体" w:hAnsi="宋体" w:eastAsia="宋体" w:cs="宋体"/>
          <w:color w:val="auto"/>
          <w:sz w:val="24"/>
          <w:szCs w:val="28"/>
          <w:highlight w:val="none"/>
        </w:rPr>
        <w:t>的不可避让性、生态环境影响分析及生态补偿等。</w:t>
      </w:r>
    </w:p>
    <w:p w14:paraId="558A7AC7">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rPr>
      </w:pPr>
      <w:r>
        <w:rPr>
          <w:rFonts w:hint="eastAsia" w:ascii="宋体" w:hAnsi="宋体" w:eastAsia="宋体" w:cs="宋体"/>
          <w:color w:val="auto"/>
          <w:sz w:val="24"/>
          <w:szCs w:val="28"/>
          <w:highlight w:val="none"/>
        </w:rPr>
        <w:t>参加由自然资源部门组织的专家论证会，阐述涉及项目生态空间管控区</w:t>
      </w:r>
      <w:r>
        <w:rPr>
          <w:rFonts w:hint="eastAsia" w:ascii="宋体" w:hAnsi="宋体" w:eastAsia="宋体" w:cs="宋体"/>
          <w:color w:val="auto"/>
          <w:sz w:val="24"/>
          <w:szCs w:val="28"/>
          <w:highlight w:val="none"/>
          <w:lang w:val="en-US" w:eastAsia="zh-CN"/>
        </w:rPr>
        <w:t>或</w:t>
      </w:r>
      <w:r>
        <w:rPr>
          <w:rFonts w:hint="eastAsia" w:ascii="Times New Roman" w:hAnsi="Times New Roman" w:eastAsia="宋体" w:cs="Times New Roman"/>
          <w:color w:val="auto"/>
          <w:sz w:val="24"/>
          <w:szCs w:val="24"/>
          <w:highlight w:val="none"/>
        </w:rPr>
        <w:t>生态红线</w:t>
      </w:r>
      <w:r>
        <w:rPr>
          <w:rFonts w:hint="eastAsia" w:ascii="Times New Roman" w:hAnsi="Times New Roman" w:eastAsia="宋体" w:cs="Times New Roman"/>
          <w:color w:val="auto"/>
          <w:sz w:val="24"/>
          <w:szCs w:val="24"/>
          <w:highlight w:val="none"/>
          <w:lang w:val="en-US" w:eastAsia="zh-CN"/>
        </w:rPr>
        <w:t>的</w:t>
      </w:r>
      <w:r>
        <w:rPr>
          <w:rFonts w:hint="eastAsia" w:ascii="宋体" w:hAnsi="宋体" w:eastAsia="宋体" w:cs="宋体"/>
          <w:color w:val="auto"/>
          <w:sz w:val="24"/>
          <w:szCs w:val="28"/>
          <w:highlight w:val="none"/>
        </w:rPr>
        <w:t>情况，通过专家及相关部门的质询，获得市政府出具的论证意见。</w:t>
      </w:r>
    </w:p>
    <w:p w14:paraId="2550E7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color w:val="auto"/>
          <w:sz w:val="24"/>
          <w:szCs w:val="24"/>
          <w:highlight w:val="none"/>
          <w:lang w:val="en-US" w:eastAsia="zh-CN"/>
        </w:rPr>
      </w:pPr>
    </w:p>
    <w:p w14:paraId="376769C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16.2成果交付：</w:t>
      </w:r>
    </w:p>
    <w:p w14:paraId="71684D0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（一）提交经上级主管部门组织论证通过</w:t>
      </w:r>
      <w:r>
        <w:rPr>
          <w:rFonts w:hint="eastAsia" w:eastAsia="宋体" w:cs="Times New Roman"/>
          <w:color w:val="auto"/>
          <w:sz w:val="24"/>
          <w:highlight w:val="none"/>
          <w:lang w:val="en-US" w:eastAsia="zh-CN"/>
        </w:rPr>
        <w:t>的</w:t>
      </w:r>
      <w:r>
        <w:rPr>
          <w:rFonts w:hint="eastAsia" w:ascii="Times New Roman" w:hAnsi="Times New Roman" w:eastAsia="宋体" w:cs="Times New Roman"/>
          <w:color w:val="auto"/>
          <w:sz w:val="24"/>
          <w:highlight w:val="none"/>
        </w:rPr>
        <w:t>《</w:t>
      </w:r>
      <w:r>
        <w:rPr>
          <w:rFonts w:hint="eastAsia" w:ascii="宋体" w:hAnsi="宋体" w:cs="宋体"/>
          <w:color w:val="auto"/>
          <w:sz w:val="24"/>
          <w:szCs w:val="24"/>
          <w:highlight w:val="none"/>
          <w:lang w:val="en-US" w:eastAsia="zh-CN"/>
        </w:rPr>
        <w:t>宜兴市西氿近岸湖体修复工程不可避让论证</w:t>
      </w:r>
      <w:r>
        <w:rPr>
          <w:rFonts w:hint="eastAsia" w:ascii="Times New Roman" w:hAnsi="Times New Roman" w:eastAsia="宋体" w:cs="Times New Roman"/>
          <w:color w:val="auto"/>
          <w:sz w:val="24"/>
          <w:highlight w:val="none"/>
        </w:rPr>
        <w:t>报告》专家论证意见；</w:t>
      </w:r>
    </w:p>
    <w:p w14:paraId="1C3CBD7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（二）无锡市自然资源和规划局和无锡市生态环境局联合出具的《</w:t>
      </w:r>
      <w:r>
        <w:rPr>
          <w:rFonts w:hint="eastAsia" w:ascii="宋体" w:hAnsi="宋体" w:cs="宋体"/>
          <w:color w:val="auto"/>
          <w:sz w:val="24"/>
          <w:szCs w:val="24"/>
          <w:highlight w:val="none"/>
          <w:lang w:val="en-US" w:eastAsia="zh-CN"/>
        </w:rPr>
        <w:t>宜兴市西氿近岸湖体修复工程</w:t>
      </w:r>
      <w:r>
        <w:rPr>
          <w:rFonts w:hint="eastAsia" w:ascii="Times New Roman" w:hAnsi="Times New Roman" w:eastAsia="宋体" w:cs="Times New Roman"/>
          <w:color w:val="auto"/>
          <w:sz w:val="24"/>
          <w:highlight w:val="none"/>
        </w:rPr>
        <w:t>临时用地涉及生态空间管控区域的意见》。</w:t>
      </w:r>
    </w:p>
    <w:p w14:paraId="156A010D">
      <w:pPr>
        <w:snapToGrid w:val="0"/>
        <w:spacing w:line="360" w:lineRule="auto"/>
        <w:ind w:firstLine="420"/>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1.7 违约责任</w:t>
      </w:r>
    </w:p>
    <w:p w14:paraId="601AECD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w:t>
      </w:r>
      <w:r>
        <w:rPr>
          <w:rFonts w:ascii="Times New Roman" w:hAnsi="Times New Roman" w:eastAsia="宋体" w:cs="Times New Roman"/>
          <w:color w:val="auto"/>
          <w:sz w:val="24"/>
          <w:szCs w:val="24"/>
          <w:highlight w:val="none"/>
        </w:rPr>
        <w:t>.1 除不可抗力外，如果乙方没有按照本合同约定的期限、地点和方式履行，那么甲方可要求乙方支付违约金，违约金</w:t>
      </w:r>
      <w:r>
        <w:rPr>
          <w:rFonts w:hint="eastAsia" w:ascii="Times New Roman" w:hAnsi="Times New Roman" w:eastAsia="宋体" w:cs="Times New Roman"/>
          <w:color w:val="auto"/>
          <w:sz w:val="24"/>
          <w:szCs w:val="24"/>
          <w:highlight w:val="none"/>
        </w:rPr>
        <w:t>乙方</w:t>
      </w:r>
      <w:r>
        <w:rPr>
          <w:rFonts w:hint="eastAsia" w:ascii="宋体" w:hAnsi="宋体" w:eastAsia="宋体" w:cs="Times New Roman"/>
          <w:color w:val="auto"/>
          <w:sz w:val="24"/>
          <w:szCs w:val="24"/>
          <w:highlight w:val="none"/>
        </w:rPr>
        <w:t>按合同总价的千分之二/天支付违约金给甲方，最高为合同价30%</w:t>
      </w:r>
      <w:r>
        <w:rPr>
          <w:rFonts w:ascii="Times New Roman" w:hAnsi="Times New Roman" w:eastAsia="宋体" w:cs="Times New Roman"/>
          <w:color w:val="auto"/>
          <w:sz w:val="24"/>
          <w:szCs w:val="24"/>
          <w:highlight w:val="none"/>
        </w:rPr>
        <w:t>；迟延履行的违约金计算数额达到前述最高限额之日起，甲方有权在要求乙方支付违约金的同时，书面通知乙方解除本合同；</w:t>
      </w:r>
    </w:p>
    <w:p w14:paraId="6CD57FA1">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7.2</w:t>
      </w:r>
      <w:r>
        <w:rPr>
          <w:rFonts w:ascii="Times New Roman" w:hAnsi="Times New Roman" w:eastAsia="宋体" w:cs="Times New Roman"/>
          <w:color w:val="auto"/>
          <w:sz w:val="24"/>
          <w:szCs w:val="24"/>
          <w:highlight w:val="none"/>
        </w:rPr>
        <w:t xml:space="preserve">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A0BD45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7.3</w:t>
      </w:r>
      <w:r>
        <w:rPr>
          <w:rFonts w:ascii="Times New Roman" w:hAnsi="Times New Roman" w:eastAsia="宋体" w:cs="Times New Roman"/>
          <w:color w:val="auto"/>
          <w:sz w:val="24"/>
          <w:szCs w:val="24"/>
          <w:highlight w:val="none"/>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FDAF1B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bCs/>
          <w:color w:val="auto"/>
          <w:sz w:val="24"/>
          <w:highlight w:val="none"/>
        </w:rPr>
        <w:t>1.</w:t>
      </w:r>
      <w:r>
        <w:rPr>
          <w:rFonts w:hint="eastAsia" w:ascii="Times New Roman" w:hAnsi="Times New Roman" w:eastAsia="宋体" w:cs="Times New Roman"/>
          <w:bCs/>
          <w:color w:val="auto"/>
          <w:sz w:val="24"/>
          <w:highlight w:val="none"/>
        </w:rPr>
        <w:t>7.4</w:t>
      </w:r>
      <w:r>
        <w:rPr>
          <w:rFonts w:ascii="Times New Roman" w:hAnsi="Times New Roman" w:eastAsia="宋体" w:cs="Times New Roman"/>
          <w:bCs/>
          <w:color w:val="auto"/>
          <w:sz w:val="24"/>
          <w:highlight w:val="none"/>
        </w:rPr>
        <w:t xml:space="preserve"> </w:t>
      </w:r>
      <w:r>
        <w:rPr>
          <w:rFonts w:ascii="Times New Roman" w:hAnsi="Times New Roman" w:eastAsia="宋体" w:cs="Times New Roman"/>
          <w:bCs/>
          <w:color w:val="auto"/>
          <w:sz w:val="24"/>
          <w:highlight w:val="none"/>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7E5E607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7.5</w:t>
      </w:r>
      <w:r>
        <w:rPr>
          <w:rFonts w:ascii="Times New Roman" w:hAnsi="Times New Roman" w:eastAsia="宋体" w:cs="Times New Roman"/>
          <w:color w:val="auto"/>
          <w:sz w:val="24"/>
          <w:szCs w:val="24"/>
          <w:highlight w:val="none"/>
        </w:rPr>
        <w:t xml:space="preserve"> 如果出现采购监督管理部门在处理投诉事项期间，书面通知甲方暂停采购活动的情形，或者询问或质疑事项可能影响</w:t>
      </w:r>
      <w:r>
        <w:rPr>
          <w:rFonts w:hint="eastAsia" w:ascii="Times New Roman" w:hAnsi="Times New Roman" w:eastAsia="宋体" w:cs="Times New Roman"/>
          <w:color w:val="auto"/>
          <w:sz w:val="24"/>
          <w:szCs w:val="24"/>
          <w:highlight w:val="none"/>
        </w:rPr>
        <w:t>中标</w:t>
      </w:r>
      <w:r>
        <w:rPr>
          <w:rFonts w:ascii="Times New Roman" w:hAnsi="Times New Roman" w:eastAsia="宋体" w:cs="Times New Roman"/>
          <w:color w:val="auto"/>
          <w:sz w:val="24"/>
          <w:szCs w:val="24"/>
          <w:highlight w:val="none"/>
        </w:rPr>
        <w:t>结果的，导致甲方中止履行合同的情形，均不视为甲方违约。</w:t>
      </w:r>
    </w:p>
    <w:p w14:paraId="5371AA3B">
      <w:pPr>
        <w:spacing w:line="56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1.7.6</w:t>
      </w:r>
    </w:p>
    <w:p w14:paraId="1BEDF760">
      <w:pPr>
        <w:spacing w:line="560" w:lineRule="exact"/>
        <w:ind w:firstLine="482" w:firstLineChars="200"/>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w:t>
      </w:r>
      <w:r>
        <w:rPr>
          <w:rFonts w:hint="eastAsia" w:ascii="Times New Roman" w:hAnsi="Times New Roman" w:eastAsia="宋体" w:cs="Times New Roman"/>
          <w:b/>
          <w:color w:val="auto"/>
          <w:sz w:val="24"/>
          <w:highlight w:val="none"/>
        </w:rPr>
        <w:t>8</w:t>
      </w:r>
      <w:r>
        <w:rPr>
          <w:rFonts w:ascii="Times New Roman" w:hAnsi="Times New Roman" w:eastAsia="宋体" w:cs="Times New Roman"/>
          <w:b/>
          <w:color w:val="auto"/>
          <w:sz w:val="24"/>
          <w:highlight w:val="none"/>
        </w:rPr>
        <w:t xml:space="preserve"> 合同争议的解决</w:t>
      </w:r>
    </w:p>
    <w:p w14:paraId="423AA874">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在履行本合同的过程中发生争议，双方当事人和解或调解不成，可采取仲裁或按司法程序解决，双方同意按照以下第</w:t>
      </w:r>
      <w:r>
        <w:rPr>
          <w:rFonts w:hint="eastAsia" w:ascii="宋体" w:hAnsi="宋体" w:eastAsia="宋体" w:cs="Times New Roman"/>
          <w:color w:val="auto"/>
          <w:kern w:val="2"/>
          <w:sz w:val="24"/>
          <w:szCs w:val="24"/>
          <w:highlight w:val="none"/>
          <w:lang w:val="en-US" w:eastAsia="zh-CN" w:bidi="ar-SA"/>
        </w:rPr>
        <w:t>（二）种</w:t>
      </w:r>
      <w:r>
        <w:rPr>
          <w:rFonts w:ascii="宋体" w:hAnsi="宋体" w:eastAsia="宋体" w:cs="Times New Roman"/>
          <w:color w:val="auto"/>
          <w:kern w:val="2"/>
          <w:sz w:val="24"/>
          <w:szCs w:val="24"/>
          <w:highlight w:val="none"/>
          <w:lang w:val="en-US" w:eastAsia="zh-CN" w:bidi="ar-SA"/>
        </w:rPr>
        <w:t>方式解决：</w:t>
      </w:r>
    </w:p>
    <w:p w14:paraId="426870C3">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（一）双方同意由</w:t>
      </w:r>
      <w:r>
        <w:rPr>
          <w:rFonts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u w:val="single"/>
          <w:lang w:val="en-US" w:eastAsia="zh-CN" w:bidi="ar-SA"/>
        </w:rPr>
        <w:t>宜兴</w:t>
      </w:r>
      <w:r>
        <w:rPr>
          <w:rFonts w:ascii="宋体" w:hAnsi="宋体" w:eastAsia="宋体" w:cs="Times New Roman"/>
          <w:b/>
          <w:color w:val="auto"/>
          <w:kern w:val="2"/>
          <w:sz w:val="24"/>
          <w:szCs w:val="24"/>
          <w:highlight w:val="none"/>
          <w:u w:val="single"/>
          <w:lang w:val="en-US" w:eastAsia="zh-CN" w:bidi="ar-SA"/>
        </w:rPr>
        <w:t xml:space="preserve">  </w:t>
      </w:r>
      <w:r>
        <w:rPr>
          <w:rFonts w:ascii="宋体" w:hAnsi="宋体" w:eastAsia="宋体" w:cs="Times New Roman"/>
          <w:color w:val="auto"/>
          <w:kern w:val="2"/>
          <w:sz w:val="24"/>
          <w:szCs w:val="24"/>
          <w:highlight w:val="none"/>
          <w:lang w:val="en-US" w:eastAsia="zh-CN" w:bidi="ar-SA"/>
        </w:rPr>
        <w:t>仲裁委员会仲裁。</w:t>
      </w:r>
    </w:p>
    <w:p w14:paraId="371210CB">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（二）双方约定向</w:t>
      </w:r>
      <w:r>
        <w:rPr>
          <w:rFonts w:hint="eastAsia" w:ascii="宋体" w:hAnsi="宋体" w:eastAsia="宋体" w:cs="Times New Roman"/>
          <w:color w:val="auto"/>
          <w:kern w:val="2"/>
          <w:sz w:val="24"/>
          <w:szCs w:val="24"/>
          <w:highlight w:val="none"/>
          <w:lang w:val="en-US" w:eastAsia="zh-CN" w:bidi="ar-SA"/>
        </w:rPr>
        <w:t>甲方</w:t>
      </w:r>
      <w:r>
        <w:rPr>
          <w:rFonts w:ascii="宋体" w:hAnsi="宋体" w:eastAsia="宋体" w:cs="Times New Roman"/>
          <w:color w:val="auto"/>
          <w:kern w:val="2"/>
          <w:sz w:val="24"/>
          <w:szCs w:val="24"/>
          <w:highlight w:val="none"/>
          <w:lang w:val="en-US" w:eastAsia="zh-CN" w:bidi="ar-SA"/>
        </w:rPr>
        <w:t>项目所在地的人民法院起诉。</w:t>
      </w:r>
    </w:p>
    <w:p w14:paraId="0DD4F7F3">
      <w:pPr>
        <w:spacing w:line="56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1.9</w:t>
      </w:r>
      <w:r>
        <w:rPr>
          <w:rFonts w:hint="eastAsia" w:ascii="宋体" w:hAnsi="宋体" w:eastAsia="宋体" w:cs="Times New Roman"/>
          <w:b/>
          <w:color w:val="auto"/>
          <w:sz w:val="24"/>
          <w:highlight w:val="none"/>
        </w:rPr>
        <w:t>其他事项</w:t>
      </w:r>
      <w:r>
        <w:rPr>
          <w:rFonts w:ascii="宋体" w:hAnsi="宋体" w:eastAsia="宋体" w:cs="Times New Roman"/>
          <w:b/>
          <w:color w:val="auto"/>
          <w:sz w:val="24"/>
          <w:highlight w:val="none"/>
        </w:rPr>
        <w:t>：</w:t>
      </w:r>
    </w:p>
    <w:p w14:paraId="6BD068F0">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1.9.1本合同未尽事宜，双方可签订补充协议作为附件，补充协议与本合同具有同等效力。</w:t>
      </w:r>
    </w:p>
    <w:p w14:paraId="3F7AEC34">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1.9.2本合同一式</w:t>
      </w:r>
      <w:r>
        <w:rPr>
          <w:rFonts w:hint="eastAsia" w:ascii="宋体" w:hAnsi="宋体" w:eastAsia="宋体" w:cs="Times New Roman"/>
          <w:color w:val="auto"/>
          <w:sz w:val="24"/>
          <w:highlight w:val="none"/>
          <w:u w:val="single"/>
        </w:rPr>
        <w:t xml:space="preserve"> 4 </w:t>
      </w:r>
      <w:r>
        <w:rPr>
          <w:rFonts w:hint="eastAsia" w:ascii="宋体" w:hAnsi="宋体" w:eastAsia="宋体" w:cs="Times New Roman"/>
          <w:color w:val="auto"/>
          <w:sz w:val="24"/>
          <w:highlight w:val="none"/>
        </w:rPr>
        <w:t>份，甲方执</w:t>
      </w:r>
      <w:r>
        <w:rPr>
          <w:rFonts w:hint="eastAsia" w:ascii="宋体" w:hAnsi="宋体" w:eastAsia="宋体" w:cs="Times New Roman"/>
          <w:color w:val="auto"/>
          <w:sz w:val="24"/>
          <w:highlight w:val="none"/>
          <w:u w:val="single"/>
        </w:rPr>
        <w:t xml:space="preserve"> 2 </w:t>
      </w:r>
      <w:r>
        <w:rPr>
          <w:rFonts w:hint="eastAsia" w:ascii="宋体" w:hAnsi="宋体" w:eastAsia="宋体" w:cs="Times New Roman"/>
          <w:color w:val="auto"/>
          <w:sz w:val="24"/>
          <w:highlight w:val="none"/>
        </w:rPr>
        <w:t>份、乙方执</w:t>
      </w:r>
      <w:r>
        <w:rPr>
          <w:rFonts w:hint="eastAsia" w:ascii="宋体" w:hAnsi="宋体" w:eastAsia="宋体" w:cs="Times New Roman"/>
          <w:color w:val="auto"/>
          <w:sz w:val="24"/>
          <w:highlight w:val="none"/>
          <w:u w:val="single"/>
        </w:rPr>
        <w:t xml:space="preserve"> 2 </w:t>
      </w:r>
      <w:r>
        <w:rPr>
          <w:rFonts w:hint="eastAsia" w:ascii="宋体" w:hAnsi="宋体" w:eastAsia="宋体" w:cs="Times New Roman"/>
          <w:color w:val="auto"/>
          <w:sz w:val="24"/>
          <w:highlight w:val="none"/>
        </w:rPr>
        <w:t>份，经双方法人代表（或授权代表）签字或盖章后生效</w:t>
      </w:r>
      <w:r>
        <w:rPr>
          <w:rFonts w:ascii="Times New Roman" w:hAnsi="Times New Roman" w:eastAsia="宋体" w:cs="Times New Roman"/>
          <w:color w:val="auto"/>
          <w:sz w:val="24"/>
          <w:highlight w:val="none"/>
        </w:rPr>
        <w:t>，任何一方不得擅自涂改、变更或解除合同。</w:t>
      </w:r>
    </w:p>
    <w:p w14:paraId="4D729A98">
      <w:pPr>
        <w:spacing w:line="400" w:lineRule="exact"/>
        <w:ind w:firstLine="480" w:firstLineChars="200"/>
        <w:rPr>
          <w:rFonts w:hint="eastAsia" w:ascii="Times New Roman" w:hAnsi="Times New Roman" w:eastAsia="宋体" w:cs="Times New Roman"/>
          <w:bCs/>
          <w:color w:val="auto"/>
          <w:sz w:val="24"/>
          <w:szCs w:val="24"/>
          <w:highlight w:val="none"/>
        </w:rPr>
      </w:pPr>
    </w:p>
    <w:tbl>
      <w:tblPr>
        <w:tblStyle w:val="9"/>
        <w:tblW w:w="0" w:type="auto"/>
        <w:jc w:val="center"/>
        <w:tblLayout w:type="fixed"/>
        <w:tblCellMar>
          <w:top w:w="0" w:type="dxa"/>
          <w:left w:w="0" w:type="dxa"/>
          <w:bottom w:w="0" w:type="dxa"/>
          <w:right w:w="0" w:type="dxa"/>
        </w:tblCellMar>
      </w:tblPr>
      <w:tblGrid>
        <w:gridCol w:w="3935"/>
        <w:gridCol w:w="4344"/>
      </w:tblGrid>
      <w:tr w14:paraId="225073E1">
        <w:tblPrEx>
          <w:tblCellMar>
            <w:top w:w="0" w:type="dxa"/>
            <w:left w:w="0" w:type="dxa"/>
            <w:bottom w:w="0" w:type="dxa"/>
            <w:right w:w="0" w:type="dxa"/>
          </w:tblCellMar>
        </w:tblPrEx>
        <w:trPr>
          <w:trHeight w:val="956" w:hRule="atLeast"/>
          <w:jc w:val="center"/>
        </w:trPr>
        <w:tc>
          <w:tcPr>
            <w:tcW w:w="3935" w:type="dxa"/>
            <w:tcBorders>
              <w:top w:val="nil"/>
              <w:left w:val="nil"/>
              <w:bottom w:val="nil"/>
              <w:right w:val="nil"/>
            </w:tcBorders>
            <w:noWrap w:val="0"/>
            <w:vAlign w:val="top"/>
          </w:tcPr>
          <w:p w14:paraId="4DA312D7">
            <w:pPr>
              <w:widowControl/>
              <w:adjustRightInd w:val="0"/>
              <w:jc w:val="left"/>
              <w:rPr>
                <w:rFonts w:ascii="Times New Roman" w:hAnsi="Times New Roman" w:eastAsia="宋体" w:cs="Times New Roman"/>
                <w:color w:val="auto"/>
                <w:kern w:val="0"/>
                <w:sz w:val="24"/>
                <w:szCs w:val="24"/>
                <w:highlight w:val="none"/>
                <w:lang w:val="zh-CN"/>
              </w:rPr>
            </w:pPr>
          </w:p>
          <w:p w14:paraId="6987C4FF">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rPr>
              <w:t>发包</w:t>
            </w:r>
            <w:r>
              <w:rPr>
                <w:rFonts w:ascii="Times New Roman" w:hAnsi="Times New Roman" w:eastAsia="宋体" w:cs="Times New Roman"/>
                <w:color w:val="auto"/>
                <w:kern w:val="0"/>
                <w:sz w:val="24"/>
                <w:szCs w:val="24"/>
                <w:highlight w:val="none"/>
                <w:lang w:val="zh-CN"/>
              </w:rPr>
              <w:t>方（采购人）：（盖章）</w:t>
            </w:r>
          </w:p>
        </w:tc>
        <w:tc>
          <w:tcPr>
            <w:tcW w:w="4344" w:type="dxa"/>
            <w:tcBorders>
              <w:top w:val="nil"/>
              <w:left w:val="nil"/>
              <w:bottom w:val="nil"/>
              <w:right w:val="nil"/>
            </w:tcBorders>
            <w:noWrap w:val="0"/>
            <w:vAlign w:val="top"/>
          </w:tcPr>
          <w:p w14:paraId="44F59109">
            <w:pPr>
              <w:widowControl/>
              <w:adjustRightInd w:val="0"/>
              <w:jc w:val="left"/>
              <w:rPr>
                <w:rFonts w:ascii="Times New Roman" w:hAnsi="Times New Roman" w:eastAsia="宋体" w:cs="Times New Roman"/>
                <w:color w:val="auto"/>
                <w:kern w:val="0"/>
                <w:sz w:val="24"/>
                <w:szCs w:val="24"/>
                <w:highlight w:val="none"/>
                <w:lang w:val="zh-CN"/>
              </w:rPr>
            </w:pPr>
          </w:p>
          <w:p w14:paraId="28A22AE1">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受托</w:t>
            </w:r>
            <w:r>
              <w:rPr>
                <w:rFonts w:ascii="Times New Roman" w:hAnsi="Times New Roman" w:eastAsia="宋体" w:cs="Times New Roman"/>
                <w:color w:val="auto"/>
                <w:kern w:val="0"/>
                <w:sz w:val="24"/>
                <w:szCs w:val="24"/>
                <w:highlight w:val="none"/>
              </w:rPr>
              <w:t>方</w:t>
            </w:r>
            <w:r>
              <w:rPr>
                <w:rFonts w:ascii="Times New Roman" w:hAnsi="Times New Roman" w:eastAsia="宋体" w:cs="Times New Roman"/>
                <w:color w:val="auto"/>
                <w:kern w:val="0"/>
                <w:sz w:val="24"/>
                <w:szCs w:val="24"/>
                <w:highlight w:val="none"/>
                <w:lang w:val="zh-CN"/>
              </w:rPr>
              <w:t>（供应商）：（盖章）</w:t>
            </w:r>
          </w:p>
        </w:tc>
      </w:tr>
      <w:tr w14:paraId="450CBCD4">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227B04D8">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代表人签字：</w:t>
            </w:r>
          </w:p>
        </w:tc>
        <w:tc>
          <w:tcPr>
            <w:tcW w:w="4344" w:type="dxa"/>
            <w:tcBorders>
              <w:top w:val="nil"/>
              <w:left w:val="nil"/>
              <w:bottom w:val="nil"/>
              <w:right w:val="nil"/>
            </w:tcBorders>
            <w:noWrap w:val="0"/>
            <w:vAlign w:val="top"/>
          </w:tcPr>
          <w:p w14:paraId="7DC86C44">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代表人签字</w:t>
            </w:r>
            <w:r>
              <w:rPr>
                <w:rFonts w:ascii="Times New Roman" w:hAnsi="Times New Roman" w:eastAsia="宋体" w:cs="Times New Roman"/>
                <w:color w:val="auto"/>
                <w:kern w:val="0"/>
                <w:sz w:val="24"/>
                <w:szCs w:val="24"/>
                <w:highlight w:val="none"/>
              </w:rPr>
              <w:t>：</w:t>
            </w:r>
          </w:p>
        </w:tc>
      </w:tr>
      <w:tr w14:paraId="0E0A99F9">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53D79499">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电话：</w:t>
            </w:r>
          </w:p>
        </w:tc>
        <w:tc>
          <w:tcPr>
            <w:tcW w:w="4344" w:type="dxa"/>
            <w:tcBorders>
              <w:top w:val="nil"/>
              <w:left w:val="nil"/>
              <w:bottom w:val="nil"/>
              <w:right w:val="nil"/>
            </w:tcBorders>
            <w:noWrap w:val="0"/>
            <w:vAlign w:val="top"/>
          </w:tcPr>
          <w:p w14:paraId="203F0ADD">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电话：</w:t>
            </w:r>
          </w:p>
        </w:tc>
      </w:tr>
      <w:tr w14:paraId="4F41C638">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29471E0D">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开户银行：</w:t>
            </w:r>
          </w:p>
        </w:tc>
        <w:tc>
          <w:tcPr>
            <w:tcW w:w="4344" w:type="dxa"/>
            <w:tcBorders>
              <w:top w:val="nil"/>
              <w:left w:val="nil"/>
              <w:bottom w:val="nil"/>
              <w:right w:val="nil"/>
            </w:tcBorders>
            <w:noWrap w:val="0"/>
            <w:vAlign w:val="top"/>
          </w:tcPr>
          <w:p w14:paraId="379E7F51">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开户银行：</w:t>
            </w:r>
          </w:p>
        </w:tc>
      </w:tr>
      <w:tr w14:paraId="084F488A">
        <w:tblPrEx>
          <w:tblCellMar>
            <w:top w:w="0" w:type="dxa"/>
            <w:left w:w="0" w:type="dxa"/>
            <w:bottom w:w="0" w:type="dxa"/>
            <w:right w:w="0" w:type="dxa"/>
          </w:tblCellMar>
        </w:tblPrEx>
        <w:trPr>
          <w:trHeight w:val="956" w:hRule="atLeast"/>
          <w:jc w:val="center"/>
        </w:trPr>
        <w:tc>
          <w:tcPr>
            <w:tcW w:w="3935" w:type="dxa"/>
            <w:tcBorders>
              <w:top w:val="nil"/>
              <w:left w:val="nil"/>
              <w:bottom w:val="nil"/>
              <w:right w:val="nil"/>
            </w:tcBorders>
            <w:noWrap w:val="0"/>
            <w:vAlign w:val="top"/>
          </w:tcPr>
          <w:p w14:paraId="6F98C087">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账号：</w:t>
            </w:r>
          </w:p>
        </w:tc>
        <w:tc>
          <w:tcPr>
            <w:tcW w:w="4344" w:type="dxa"/>
            <w:tcBorders>
              <w:top w:val="nil"/>
              <w:left w:val="nil"/>
              <w:bottom w:val="nil"/>
              <w:right w:val="nil"/>
            </w:tcBorders>
            <w:noWrap w:val="0"/>
            <w:vAlign w:val="top"/>
          </w:tcPr>
          <w:p w14:paraId="3DB12DE4">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账号：</w:t>
            </w:r>
          </w:p>
          <w:p w14:paraId="0CEC2CB5">
            <w:pPr>
              <w:widowControl/>
              <w:adjustRightInd w:val="0"/>
              <w:jc w:val="left"/>
              <w:rPr>
                <w:rFonts w:ascii="Times New Roman" w:hAnsi="Times New Roman" w:eastAsia="宋体" w:cs="Times New Roman"/>
                <w:color w:val="auto"/>
                <w:kern w:val="0"/>
                <w:sz w:val="24"/>
                <w:szCs w:val="24"/>
                <w:highlight w:val="none"/>
                <w:lang w:val="zh-CN"/>
              </w:rPr>
            </w:pPr>
          </w:p>
        </w:tc>
      </w:tr>
      <w:tr w14:paraId="0CEC72C3">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03CC97C0">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住所：</w:t>
            </w:r>
          </w:p>
        </w:tc>
        <w:tc>
          <w:tcPr>
            <w:tcW w:w="4344" w:type="dxa"/>
            <w:tcBorders>
              <w:top w:val="nil"/>
              <w:left w:val="nil"/>
              <w:bottom w:val="nil"/>
              <w:right w:val="nil"/>
            </w:tcBorders>
            <w:noWrap w:val="0"/>
            <w:vAlign w:val="top"/>
          </w:tcPr>
          <w:p w14:paraId="652B9CA7">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住所：</w:t>
            </w:r>
          </w:p>
        </w:tc>
      </w:tr>
      <w:tr w14:paraId="44B2C7E4">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656147D5">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日期：年月日</w:t>
            </w:r>
          </w:p>
        </w:tc>
        <w:tc>
          <w:tcPr>
            <w:tcW w:w="4344" w:type="dxa"/>
            <w:tcBorders>
              <w:top w:val="nil"/>
              <w:left w:val="nil"/>
              <w:bottom w:val="nil"/>
              <w:right w:val="nil"/>
            </w:tcBorders>
            <w:noWrap w:val="0"/>
            <w:vAlign w:val="top"/>
          </w:tcPr>
          <w:p w14:paraId="4A92B5C3">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日期：年月日</w:t>
            </w:r>
          </w:p>
        </w:tc>
      </w:tr>
    </w:tbl>
    <w:p w14:paraId="3CB59400">
      <w:pPr>
        <w:widowControl w:val="0"/>
        <w:autoSpaceDE w:val="0"/>
        <w:autoSpaceDN w:val="0"/>
        <w:adjustRightInd w:val="0"/>
        <w:spacing w:line="560" w:lineRule="exact"/>
        <w:ind w:firstLine="200"/>
        <w:jc w:val="center"/>
        <w:rPr>
          <w:rFonts w:ascii="Times New Roman" w:hAnsi="Times New Roman" w:eastAsia="宋体" w:cs="Times New Roman"/>
          <w:b/>
          <w:color w:val="auto"/>
          <w:kern w:val="2"/>
          <w:sz w:val="24"/>
          <w:szCs w:val="24"/>
          <w:highlight w:val="none"/>
          <w:lang w:val="en-US" w:eastAsia="zh-CN" w:bidi="ar-SA"/>
        </w:rPr>
      </w:pPr>
      <w:r>
        <w:rPr>
          <w:rFonts w:ascii="Times New Roman" w:hAnsi="Times New Roman" w:eastAsia="黑体" w:cs="Times New Roman"/>
          <w:color w:val="auto"/>
          <w:kern w:val="2"/>
          <w:sz w:val="28"/>
          <w:szCs w:val="22"/>
          <w:highlight w:val="none"/>
          <w:lang w:val="en-US" w:eastAsia="zh-CN" w:bidi="ar-SA"/>
        </w:rPr>
        <w:br w:type="page"/>
      </w:r>
      <w:r>
        <w:rPr>
          <w:rFonts w:ascii="Times New Roman" w:hAnsi="Times New Roman" w:eastAsia="宋体" w:cs="Times New Roman"/>
          <w:b/>
          <w:color w:val="auto"/>
          <w:kern w:val="2"/>
          <w:sz w:val="24"/>
          <w:szCs w:val="24"/>
          <w:highlight w:val="none"/>
          <w:lang w:val="en-US" w:eastAsia="zh-CN" w:bidi="ar-SA"/>
        </w:rPr>
        <w:t>第二部分 合同一般条款</w:t>
      </w:r>
    </w:p>
    <w:p w14:paraId="27C6F2B2">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 定义</w:t>
      </w:r>
    </w:p>
    <w:p w14:paraId="0BA9405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本合同中的下列词语应按以下内容进行解释：</w:t>
      </w:r>
    </w:p>
    <w:p w14:paraId="1FF2CB2B">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2.1.1 “合同”系指采购人和</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签订的载明双方当事人所达成的协议，并包括所有的附件、附录和构成合同的其他文件。</w:t>
      </w:r>
    </w:p>
    <w:p w14:paraId="3811DFB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2.1.2 “合同价”系指根据合同约定，</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在完全履行合同义务后，采购人应支付给</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的价格。</w:t>
      </w:r>
    </w:p>
    <w:p w14:paraId="6F8A4CF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 “服务”系指</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根据合同约定应向采购人履行的除货物和工程以外的其他政府采购对象，包括采购人自身需要的服务和向社会公众提供的公共服务。</w:t>
      </w:r>
    </w:p>
    <w:p w14:paraId="043B2FA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 “甲方”系指与</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签署合同的采购人；采购人委托采购代理机构代表其与乙方签订合同的，采购人的授权委托书作为合同附件。</w:t>
      </w:r>
    </w:p>
    <w:p w14:paraId="7E344EB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 “乙方”系指根据合同约定提供服务的</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035243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 “现场”系指合同约定提供服务的地点。</w:t>
      </w:r>
    </w:p>
    <w:p w14:paraId="12BA2D0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2.2 技术规范</w:t>
      </w:r>
    </w:p>
    <w:p w14:paraId="38EF598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服务所应遵守的技术规范应与</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规定的技术规范和技术规范附件(如果有的话)及其技术规范偏差表(如果被甲方接受的话)相一致；如果</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中没有技术规范的相应说明，那么应以国家有关部门最新颁布的相应标准和规范为准。</w:t>
      </w:r>
    </w:p>
    <w:p w14:paraId="494F04B3">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2.3 知识产权</w:t>
      </w:r>
    </w:p>
    <w:p w14:paraId="5ED3BD0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79BF32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2.3.2 技术成果归属甲方。</w:t>
      </w:r>
    </w:p>
    <w:p w14:paraId="745C184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2.4 履约检查和问题反馈</w:t>
      </w:r>
    </w:p>
    <w:p w14:paraId="3EE17C8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2DD7BF9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2.4.2 合同履行期间，甲方有权将履行过程中出现的问题反馈给乙方，双方当事人应以书面形式约定需要完善和改进的内容。</w:t>
      </w:r>
    </w:p>
    <w:p w14:paraId="64581BF8">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2.5 技术资料和保密义务</w:t>
      </w:r>
    </w:p>
    <w:p w14:paraId="0B2D40B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2.5.1 乙方有权依据合同约定和项目需要，向甲方了解有关情况，调阅有关资料等，甲方应予积极配合；</w:t>
      </w:r>
    </w:p>
    <w:p w14:paraId="391FD6D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2.5.2 乙方有义务妥善保管和保护由甲方提供的前款信息和资料等；</w:t>
      </w:r>
    </w:p>
    <w:p w14:paraId="071AEDB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0556C8D">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2.6 质量保证</w:t>
      </w:r>
    </w:p>
    <w:p w14:paraId="06C8B03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2.6.1 乙方应建立和完善履行合同的内部质量保证体系，并提供相关内部规章制度给甲方，以便甲方进行监督检查；</w:t>
      </w:r>
    </w:p>
    <w:p w14:paraId="122A9F5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2.6.2 乙方应保证履行合同的人员数量和素质、软件和硬件设备的配置、场地、环境和设施等满足全面履行合同的要求，并应接受甲方的监督检查。</w:t>
      </w:r>
    </w:p>
    <w:p w14:paraId="346D5390">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2.7 延迟履行</w:t>
      </w:r>
    </w:p>
    <w:p w14:paraId="47D5964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9A2CB25">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2.8 合同变更</w:t>
      </w:r>
    </w:p>
    <w:p w14:paraId="2DFB33A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2.8.1 双方当事人协商一致，可以签订书面补充合同的形式变更合同，但不得违背</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确定的事项，且如果系追加与合同标的相同的服务的，那么所有补充合同的采购金额不得超过原合同价的10%；</w:t>
      </w:r>
    </w:p>
    <w:p w14:paraId="37C0020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2.8.2 合同继续履行将损害国家利益和社会公共利益的，双方当事人应当以书面形式变更合同。有过错的一方应当承担赔偿责任，双方当事人都有过错的，各自承担相应的责任。</w:t>
      </w:r>
    </w:p>
    <w:p w14:paraId="0C3666D3">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2.9 合同转让和分包</w:t>
      </w:r>
    </w:p>
    <w:p w14:paraId="782921E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rPr>
        <w:t>合同的权利义务依法不得转让，如</w:t>
      </w:r>
      <w:r>
        <w:rPr>
          <w:rFonts w:hint="eastAsia" w:ascii="Times New Roman" w:hAnsi="Times New Roman" w:eastAsia="宋体" w:cs="Times New Roman"/>
          <w:color w:val="auto"/>
          <w:sz w:val="24"/>
          <w:highlight w:val="none"/>
        </w:rPr>
        <w:t>采购文件</w:t>
      </w:r>
      <w:r>
        <w:rPr>
          <w:rFonts w:ascii="Times New Roman" w:hAnsi="Times New Roman" w:eastAsia="宋体" w:cs="Times New Roman"/>
          <w:color w:val="auto"/>
          <w:sz w:val="24"/>
          <w:highlight w:val="none"/>
        </w:rPr>
        <w:t>“第一章 报价邀请函”中甲方接受</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后分包，</w:t>
      </w:r>
      <w:r>
        <w:rPr>
          <w:rFonts w:ascii="Times New Roman" w:hAnsi="Times New Roman" w:eastAsia="宋体" w:cs="Times New Roman"/>
          <w:color w:val="auto"/>
          <w:sz w:val="24"/>
          <w:szCs w:val="24"/>
          <w:highlight w:val="none"/>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99BF37F">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2.10 不可抗力</w:t>
      </w:r>
    </w:p>
    <w:p w14:paraId="426465E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2.10.1如果任何一方遭遇法律规定的不可抗力，致使合同履行受阻时，履行合同的期限应予延长，延长的期限应相当于不可抗力所影响的时间；</w:t>
      </w:r>
    </w:p>
    <w:p w14:paraId="40946C6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2.10.2 因不可抗力致使不能实现合同目的的，当事人可以解除合同；</w:t>
      </w:r>
    </w:p>
    <w:p w14:paraId="269A0149">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2.10.3 因不可抗力致使合同有变更必要的，</w:t>
      </w:r>
      <w:r>
        <w:rPr>
          <w:rFonts w:ascii="Times New Roman" w:hAnsi="Times New Roman" w:eastAsia="宋体" w:cs="Times New Roman"/>
          <w:color w:val="auto"/>
          <w:sz w:val="24"/>
          <w:highlight w:val="none"/>
        </w:rPr>
        <w:t>双方当事人应在约定时间内以书面形式变更合同</w:t>
      </w:r>
      <w:r>
        <w:rPr>
          <w:rFonts w:ascii="Times New Roman" w:hAnsi="Times New Roman" w:eastAsia="宋体" w:cs="Times New Roman"/>
          <w:color w:val="auto"/>
          <w:sz w:val="24"/>
          <w:szCs w:val="24"/>
          <w:highlight w:val="none"/>
        </w:rPr>
        <w:t>；</w:t>
      </w:r>
    </w:p>
    <w:p w14:paraId="20E310FA">
      <w:pPr>
        <w:spacing w:line="560" w:lineRule="exact"/>
        <w:ind w:firstLine="480" w:firstLineChars="200"/>
        <w:rPr>
          <w:rFonts w:ascii="Times New Roman" w:hAnsi="Times New Roman" w:eastAsia="宋体" w:cs="Times New Roman"/>
          <w:bCs/>
          <w:color w:val="auto"/>
          <w:sz w:val="24"/>
          <w:highlight w:val="none"/>
          <w:lang w:val="zh-CN"/>
        </w:rPr>
      </w:pPr>
      <w:r>
        <w:rPr>
          <w:rFonts w:ascii="Times New Roman" w:hAnsi="Times New Roman" w:eastAsia="宋体" w:cs="Times New Roman"/>
          <w:color w:val="auto"/>
          <w:sz w:val="24"/>
          <w:szCs w:val="24"/>
          <w:highlight w:val="none"/>
        </w:rPr>
        <w:t xml:space="preserve">2.10.4 </w:t>
      </w:r>
      <w:r>
        <w:rPr>
          <w:rFonts w:ascii="Times New Roman" w:hAnsi="Times New Roman" w:eastAsia="宋体" w:cs="Times New Roman"/>
          <w:bCs/>
          <w:color w:val="auto"/>
          <w:sz w:val="24"/>
          <w:highlight w:val="none"/>
          <w:lang w:val="zh-CN"/>
        </w:rPr>
        <w:t>如遭遇不可抗力事件，遭遇不可抗力的一方应尽快以书面形式将不可抗力的情况和原因通知另一方，并</w:t>
      </w:r>
      <w:r>
        <w:rPr>
          <w:rFonts w:ascii="Times New Roman" w:hAnsi="Times New Roman" w:eastAsia="宋体" w:cs="Times New Roman"/>
          <w:color w:val="auto"/>
          <w:sz w:val="24"/>
          <w:highlight w:val="none"/>
        </w:rPr>
        <w:t>将有关部门出具的证明文件送达对方当事人，</w:t>
      </w:r>
      <w:r>
        <w:rPr>
          <w:rFonts w:ascii="Times New Roman" w:hAnsi="Times New Roman" w:eastAsia="宋体" w:cs="Times New Roman"/>
          <w:bCs/>
          <w:color w:val="auto"/>
          <w:sz w:val="24"/>
          <w:highlight w:val="none"/>
          <w:lang w:val="zh-CN"/>
        </w:rPr>
        <w:t>积极采取措施防止损失扩大。因不可抗力造成的损失，甲乙双方按照法律规定处理；</w:t>
      </w:r>
    </w:p>
    <w:p w14:paraId="4E1E9E4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rPr>
        <w:t xml:space="preserve">2.10.5 </w:t>
      </w:r>
      <w:r>
        <w:rPr>
          <w:rFonts w:ascii="Times New Roman" w:hAnsi="Times New Roman" w:eastAsia="宋体" w:cs="Times New Roman"/>
          <w:bCs/>
          <w:color w:val="auto"/>
          <w:sz w:val="24"/>
          <w:highlight w:val="none"/>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0AA42F3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2.11 税费</w:t>
      </w:r>
    </w:p>
    <w:p w14:paraId="6022FB1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与合同有关的一切税费，均按照中华人民共和国法律的相关规定缴纳。</w:t>
      </w:r>
    </w:p>
    <w:p w14:paraId="005D264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2.12 乙方破产</w:t>
      </w:r>
    </w:p>
    <w:p w14:paraId="3162A07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813D45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2.13 合同中止、终止</w:t>
      </w:r>
    </w:p>
    <w:p w14:paraId="5755197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2.13.1 双方当事人不得擅自中止或者终止合同；</w:t>
      </w:r>
    </w:p>
    <w:p w14:paraId="742436E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2.13.2合同继续履行将损害国家利益和社会公共利益的，双方当事人应当中止或者终止合同。有过错的一方应当承担赔偿责任，双方当事人都有过错的，各自承担相应的责任。</w:t>
      </w:r>
    </w:p>
    <w:p w14:paraId="50E9E65F">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2.14 检验和验收</w:t>
      </w:r>
    </w:p>
    <w:p w14:paraId="2BEE4DBC">
      <w:pPr>
        <w:tabs>
          <w:tab w:val="left" w:pos="360"/>
          <w:tab w:val="left" w:pos="540"/>
          <w:tab w:val="left" w:pos="1080"/>
        </w:tabs>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2.14.1 乙方按照约定，定期提交服务报告，甲方定期进行验收；</w:t>
      </w:r>
    </w:p>
    <w:p w14:paraId="696E093D">
      <w:pPr>
        <w:tabs>
          <w:tab w:val="left" w:pos="360"/>
          <w:tab w:val="left" w:pos="540"/>
          <w:tab w:val="left" w:pos="1080"/>
        </w:tabs>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2.14.2 合同期满或者履行完毕后，甲方有权组织（包括依法邀请国家认可的质量检测机构参加）对乙方履约的验收；</w:t>
      </w:r>
    </w:p>
    <w:p w14:paraId="4AFBCD21">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2.15 通知和送达</w:t>
      </w:r>
    </w:p>
    <w:p w14:paraId="2E04CE1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2.15.1 任何一方因履行合同而以合同第一部分尾部所列明的发出的所有通知、文件、材料，均视为已向对方当事人送达；任何一方变更上述送达方式或者地址的，应于个</w:t>
      </w:r>
      <w:r>
        <w:rPr>
          <w:rFonts w:hint="eastAsia"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工作日内书面通知对方当事人，在对方当事人收到有关变更通知之前，变更前的约定送达方式或者地址仍视为有效。</w:t>
      </w:r>
    </w:p>
    <w:p w14:paraId="12649ED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p>
    <w:p w14:paraId="30E7BCE1">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2.16 合同使用的文字和适用的法律</w:t>
      </w:r>
    </w:p>
    <w:p w14:paraId="386799F1">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2.16.1 合同使用汉语书就、变更和解释；</w:t>
      </w:r>
    </w:p>
    <w:p w14:paraId="30F14FE9">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2.16.2 合同适用中华人民共和国法律。</w:t>
      </w:r>
    </w:p>
    <w:p w14:paraId="2924448A">
      <w:pPr>
        <w:spacing w:line="560" w:lineRule="exact"/>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2.17 履约保证金</w:t>
      </w:r>
    </w:p>
    <w:p w14:paraId="22CEFAAE">
      <w:pPr>
        <w:spacing w:line="560" w:lineRule="exact"/>
        <w:ind w:firstLine="480" w:firstLineChars="20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2.17.1 签订合同前，中标供应商须按下表要求交纳中标合同总金额</w:t>
      </w:r>
      <w:r>
        <w:rPr>
          <w:rFonts w:hint="eastAsia" w:ascii="宋体" w:hAnsi="宋体" w:eastAsia="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lang w:val="en-US" w:eastAsia="zh-CN"/>
        </w:rPr>
        <w:t>的履约保证金。</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4426"/>
        <w:gridCol w:w="873"/>
        <w:gridCol w:w="1761"/>
      </w:tblGrid>
      <w:tr w14:paraId="03DB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noWrap w:val="0"/>
            <w:vAlign w:val="center"/>
          </w:tcPr>
          <w:p w14:paraId="418E43FB">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收款单位</w:t>
            </w:r>
          </w:p>
        </w:tc>
        <w:tc>
          <w:tcPr>
            <w:tcW w:w="4426" w:type="dxa"/>
            <w:noWrap w:val="0"/>
            <w:vAlign w:val="center"/>
          </w:tcPr>
          <w:p w14:paraId="7AA2F94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hAnsi="宋体" w:cs="Times New Roman"/>
                <w:bCs/>
                <w:color w:val="auto"/>
                <w:szCs w:val="21"/>
                <w:highlight w:val="none"/>
                <w:lang w:val="en-US" w:eastAsia="zh-CN"/>
              </w:rPr>
              <w:t>宜兴市环保集团有限公司</w:t>
            </w:r>
          </w:p>
        </w:tc>
        <w:tc>
          <w:tcPr>
            <w:tcW w:w="873" w:type="dxa"/>
            <w:vMerge w:val="restart"/>
            <w:noWrap w:val="0"/>
            <w:vAlign w:val="center"/>
          </w:tcPr>
          <w:p w14:paraId="38B179A9">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交纳形式</w:t>
            </w:r>
          </w:p>
        </w:tc>
        <w:tc>
          <w:tcPr>
            <w:tcW w:w="1761" w:type="dxa"/>
            <w:vMerge w:val="restart"/>
            <w:noWrap w:val="0"/>
            <w:vAlign w:val="center"/>
          </w:tcPr>
          <w:p w14:paraId="555458C4">
            <w:pPr>
              <w:spacing w:line="560" w:lineRule="exact"/>
              <w:jc w:val="center"/>
              <w:rPr>
                <w:rFonts w:hint="eastAsia" w:ascii="宋体" w:hAnsi="宋体" w:eastAsia="宋体" w:cs="宋体"/>
                <w:color w:val="auto"/>
                <w:sz w:val="24"/>
                <w:szCs w:val="24"/>
                <w:highlight w:val="none"/>
                <w:vertAlign w:val="baseline"/>
                <w:lang w:val="en-US" w:eastAsia="zh-CN"/>
              </w:rPr>
            </w:pPr>
          </w:p>
        </w:tc>
      </w:tr>
      <w:tr w14:paraId="43C8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noWrap w:val="0"/>
            <w:vAlign w:val="center"/>
          </w:tcPr>
          <w:p w14:paraId="16BC77FB">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开户行</w:t>
            </w:r>
          </w:p>
        </w:tc>
        <w:tc>
          <w:tcPr>
            <w:tcW w:w="4426" w:type="dxa"/>
            <w:noWrap w:val="0"/>
            <w:vAlign w:val="center"/>
          </w:tcPr>
          <w:p w14:paraId="12F1BAFC">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bCs/>
                <w:color w:val="auto"/>
                <w:szCs w:val="21"/>
                <w:highlight w:val="none"/>
                <w:lang w:val="zh-CN"/>
              </w:rPr>
              <w:t>中国光大银行股份有限公司宜兴支行</w:t>
            </w:r>
          </w:p>
        </w:tc>
        <w:tc>
          <w:tcPr>
            <w:tcW w:w="873" w:type="dxa"/>
            <w:vMerge w:val="continue"/>
            <w:noWrap w:val="0"/>
            <w:vAlign w:val="center"/>
          </w:tcPr>
          <w:p w14:paraId="3FF8D41A">
            <w:pPr>
              <w:spacing w:line="560" w:lineRule="exact"/>
              <w:jc w:val="center"/>
              <w:rPr>
                <w:rFonts w:hint="eastAsia" w:ascii="宋体" w:hAnsi="宋体" w:eastAsia="宋体" w:cs="宋体"/>
                <w:color w:val="auto"/>
                <w:sz w:val="24"/>
                <w:szCs w:val="24"/>
                <w:highlight w:val="none"/>
                <w:vertAlign w:val="baseline"/>
                <w:lang w:val="en-US" w:eastAsia="zh-CN"/>
              </w:rPr>
            </w:pPr>
          </w:p>
        </w:tc>
        <w:tc>
          <w:tcPr>
            <w:tcW w:w="1761" w:type="dxa"/>
            <w:vMerge w:val="continue"/>
            <w:noWrap w:val="0"/>
            <w:vAlign w:val="center"/>
          </w:tcPr>
          <w:p w14:paraId="2E6EB184">
            <w:pPr>
              <w:spacing w:line="560" w:lineRule="exact"/>
              <w:jc w:val="center"/>
              <w:rPr>
                <w:rFonts w:hint="eastAsia" w:ascii="宋体" w:hAnsi="宋体" w:eastAsia="宋体" w:cs="宋体"/>
                <w:color w:val="auto"/>
                <w:sz w:val="24"/>
                <w:szCs w:val="24"/>
                <w:highlight w:val="none"/>
                <w:vertAlign w:val="baseline"/>
                <w:lang w:val="en-US" w:eastAsia="zh-CN"/>
              </w:rPr>
            </w:pPr>
          </w:p>
        </w:tc>
      </w:tr>
      <w:tr w14:paraId="0D1D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0" w:type="dxa"/>
            <w:noWrap w:val="0"/>
            <w:vAlign w:val="center"/>
          </w:tcPr>
          <w:p w14:paraId="736E09B3">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账 号</w:t>
            </w:r>
          </w:p>
        </w:tc>
        <w:tc>
          <w:tcPr>
            <w:tcW w:w="4426" w:type="dxa"/>
            <w:noWrap w:val="0"/>
            <w:vAlign w:val="center"/>
          </w:tcPr>
          <w:p w14:paraId="23F75097">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bCs/>
                <w:color w:val="auto"/>
                <w:szCs w:val="21"/>
                <w:highlight w:val="none"/>
                <w:lang w:val="zh-CN"/>
              </w:rPr>
              <w:t>51610188000102616</w:t>
            </w:r>
          </w:p>
        </w:tc>
        <w:tc>
          <w:tcPr>
            <w:tcW w:w="873" w:type="dxa"/>
            <w:vMerge w:val="continue"/>
            <w:noWrap w:val="0"/>
            <w:vAlign w:val="center"/>
          </w:tcPr>
          <w:p w14:paraId="2722FB2D">
            <w:pPr>
              <w:spacing w:line="560" w:lineRule="exact"/>
              <w:jc w:val="center"/>
              <w:rPr>
                <w:rFonts w:hint="eastAsia" w:ascii="宋体" w:hAnsi="宋体" w:eastAsia="宋体" w:cs="宋体"/>
                <w:color w:val="auto"/>
                <w:sz w:val="24"/>
                <w:szCs w:val="24"/>
                <w:highlight w:val="none"/>
                <w:vertAlign w:val="baseline"/>
                <w:lang w:val="en-US" w:eastAsia="zh-CN"/>
              </w:rPr>
            </w:pPr>
          </w:p>
        </w:tc>
        <w:tc>
          <w:tcPr>
            <w:tcW w:w="1761" w:type="dxa"/>
            <w:vMerge w:val="continue"/>
            <w:noWrap w:val="0"/>
            <w:vAlign w:val="center"/>
          </w:tcPr>
          <w:p w14:paraId="22EEF963">
            <w:pPr>
              <w:spacing w:line="560" w:lineRule="exact"/>
              <w:jc w:val="center"/>
              <w:rPr>
                <w:rFonts w:hint="eastAsia" w:ascii="宋体" w:hAnsi="宋体" w:eastAsia="宋体" w:cs="宋体"/>
                <w:color w:val="auto"/>
                <w:sz w:val="24"/>
                <w:szCs w:val="24"/>
                <w:highlight w:val="none"/>
                <w:vertAlign w:val="baseline"/>
                <w:lang w:val="en-US" w:eastAsia="zh-CN"/>
              </w:rPr>
            </w:pPr>
          </w:p>
        </w:tc>
      </w:tr>
    </w:tbl>
    <w:p w14:paraId="0E7AF299">
      <w:pP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2.17.2 （1）若乙方缴纳履约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68E8DD4E">
      <w:pP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B2459D3">
      <w:pPr>
        <w:spacing w:line="560" w:lineRule="exact"/>
        <w:ind w:firstLine="480" w:firstLineChars="200"/>
        <w:rPr>
          <w:rFonts w:ascii="黑体" w:hAnsi="黑体" w:eastAsia="黑体" w:cs="Times New Roman"/>
          <w:color w:val="auto"/>
          <w:sz w:val="28"/>
          <w:highlight w:val="none"/>
        </w:rPr>
      </w:pPr>
      <w:r>
        <w:rPr>
          <w:rFonts w:hint="eastAsia" w:ascii="宋体" w:hAnsi="宋体" w:eastAsia="宋体" w:cs="宋体"/>
          <w:color w:val="auto"/>
          <w:sz w:val="24"/>
          <w:szCs w:val="24"/>
          <w:highlight w:val="none"/>
          <w:lang w:val="en-US" w:eastAsia="zh-CN"/>
        </w:rPr>
        <w:t>2.17.4 如果甲方未及时退还履约保证金，相关责任由甲乙双方在合同中自行约定。</w:t>
      </w:r>
    </w:p>
    <w:p w14:paraId="37B5D88C">
      <w:pPr>
        <w:spacing w:line="560" w:lineRule="exact"/>
        <w:ind w:firstLine="480" w:firstLineChars="200"/>
        <w:rPr>
          <w:rFonts w:hint="eastAsia" w:ascii="Times New Roman" w:hAnsi="Times New Roman" w:eastAsia="宋体" w:cs="Times New Roman"/>
          <w:color w:val="auto"/>
          <w:sz w:val="24"/>
          <w:szCs w:val="24"/>
          <w:highlight w:val="none"/>
        </w:rPr>
      </w:pPr>
    </w:p>
    <w:p w14:paraId="1F8970D8">
      <w:pPr>
        <w:rPr>
          <w:rFonts w:hint="eastAsia" w:ascii="Times New Roman" w:hAnsi="Times New Roman" w:eastAsia="宋体" w:cs="Times New Roman"/>
          <w:color w:val="auto"/>
          <w:highlight w:val="none"/>
        </w:rPr>
      </w:pPr>
    </w:p>
    <w:p w14:paraId="6D733701">
      <w:pPr>
        <w:rPr>
          <w:color w:val="auto"/>
          <w:highlight w:val="none"/>
        </w:rPr>
      </w:pPr>
    </w:p>
    <w:p w14:paraId="66729BC6">
      <w:pPr>
        <w:spacing w:line="360" w:lineRule="auto"/>
        <w:jc w:val="center"/>
        <w:outlineLvl w:val="0"/>
        <w:rPr>
          <w:rFonts w:hint="eastAsia" w:ascii="黑体" w:hAnsi="黑体" w:eastAsia="黑体"/>
          <w:color w:val="auto"/>
          <w:sz w:val="28"/>
          <w:highlight w:val="none"/>
        </w:rPr>
      </w:pPr>
    </w:p>
    <w:p w14:paraId="41C4EF26">
      <w:p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br w:type="page"/>
      </w:r>
      <w:r>
        <w:rPr>
          <w:rFonts w:hint="eastAsia" w:ascii="黑体" w:hAnsi="黑体" w:eastAsia="黑体"/>
          <w:color w:val="auto"/>
          <w:sz w:val="28"/>
          <w:highlight w:val="none"/>
        </w:rPr>
        <w:t>第六章 附件（投标文件格式）</w:t>
      </w:r>
      <w:bookmarkEnd w:id="78"/>
      <w:bookmarkEnd w:id="79"/>
    </w:p>
    <w:p w14:paraId="66E06567">
      <w:pPr>
        <w:rPr>
          <w:rFonts w:hint="eastAsia"/>
          <w:color w:val="auto"/>
          <w:highlight w:val="none"/>
        </w:rPr>
      </w:pPr>
    </w:p>
    <w:p w14:paraId="6930C575">
      <w:pPr>
        <w:rPr>
          <w:rFonts w:hint="eastAsia"/>
          <w:color w:val="auto"/>
          <w:highlight w:val="none"/>
        </w:rPr>
      </w:pPr>
    </w:p>
    <w:p w14:paraId="65AA4DA1">
      <w:pPr>
        <w:jc w:val="center"/>
        <w:rPr>
          <w:rFonts w:hint="eastAsia" w:ascii="宋体" w:hAnsi="宋体"/>
          <w:b/>
          <w:color w:val="auto"/>
          <w:sz w:val="120"/>
          <w:szCs w:val="120"/>
          <w:highlight w:val="none"/>
        </w:rPr>
      </w:pPr>
      <w:r>
        <w:rPr>
          <w:rFonts w:hint="eastAsia" w:ascii="宋体" w:hAnsi="宋体"/>
          <w:b/>
          <w:color w:val="auto"/>
          <w:sz w:val="120"/>
          <w:szCs w:val="120"/>
          <w:highlight w:val="none"/>
        </w:rPr>
        <w:t>投标文件</w:t>
      </w:r>
    </w:p>
    <w:p w14:paraId="68600F01">
      <w:pPr>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YXGYJT202510009</w:t>
      </w:r>
    </w:p>
    <w:p w14:paraId="11C66392">
      <w:pPr>
        <w:jc w:val="center"/>
        <w:rPr>
          <w:rFonts w:hint="eastAsia" w:ascii="宋体" w:hAnsi="宋体"/>
          <w:b/>
          <w:color w:val="auto"/>
          <w:sz w:val="32"/>
          <w:szCs w:val="32"/>
          <w:highlight w:val="none"/>
        </w:rPr>
      </w:pPr>
    </w:p>
    <w:p w14:paraId="7507BFA1">
      <w:pPr>
        <w:rPr>
          <w:rFonts w:hint="eastAsia" w:ascii="宋体" w:hAnsi="宋体"/>
          <w:b/>
          <w:color w:val="auto"/>
          <w:sz w:val="32"/>
          <w:szCs w:val="32"/>
          <w:highlight w:val="none"/>
        </w:rPr>
      </w:pPr>
    </w:p>
    <w:p w14:paraId="174DA066">
      <w:pPr>
        <w:rPr>
          <w:rFonts w:hint="eastAsia" w:ascii="宋体" w:hAnsi="宋体"/>
          <w:b/>
          <w:color w:val="auto"/>
          <w:sz w:val="32"/>
          <w:szCs w:val="32"/>
          <w:highlight w:val="none"/>
        </w:rPr>
      </w:pPr>
    </w:p>
    <w:p w14:paraId="3B5D4D69">
      <w:pPr>
        <w:rPr>
          <w:rFonts w:hint="eastAsia" w:ascii="宋体" w:hAnsi="宋体" w:eastAsia="宋体" w:cs="Times New Roman"/>
          <w:color w:val="auto"/>
          <w:sz w:val="32"/>
          <w:highlight w:val="none"/>
          <w:u w:val="single"/>
          <w:lang w:eastAsia="zh-CN"/>
        </w:rPr>
      </w:pPr>
      <w:r>
        <w:rPr>
          <w:rFonts w:hint="eastAsia" w:ascii="宋体" w:hAnsi="宋体"/>
          <w:b/>
          <w:color w:val="auto"/>
          <w:sz w:val="32"/>
          <w:szCs w:val="32"/>
          <w:highlight w:val="none"/>
        </w:rPr>
        <w:t>项目名称：</w:t>
      </w:r>
      <w:r>
        <w:rPr>
          <w:rFonts w:hint="eastAsia" w:ascii="宋体" w:hAnsi="宋体"/>
          <w:color w:val="auto"/>
          <w:sz w:val="32"/>
          <w:highlight w:val="none"/>
          <w:u w:val="single"/>
          <w:lang w:eastAsia="zh-CN"/>
        </w:rPr>
        <w:t>宜兴市西氿近岸湖体修复工程不可避让论证服务项目</w:t>
      </w:r>
    </w:p>
    <w:p w14:paraId="661B1B55">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0EA95E4">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7A3F3ABC">
      <w:pPr>
        <w:rPr>
          <w:rFonts w:hint="eastAsia" w:ascii="楷体_GB2312" w:eastAsia="楷体_GB2312"/>
          <w:b/>
          <w:color w:val="auto"/>
          <w:sz w:val="32"/>
          <w:szCs w:val="32"/>
          <w:highlight w:val="none"/>
        </w:rPr>
      </w:pPr>
    </w:p>
    <w:p w14:paraId="41674010">
      <w:pPr>
        <w:rPr>
          <w:rFonts w:hint="eastAsia" w:ascii="楷体_GB2312" w:eastAsia="楷体_GB2312"/>
          <w:b/>
          <w:color w:val="auto"/>
          <w:sz w:val="32"/>
          <w:szCs w:val="32"/>
          <w:highlight w:val="none"/>
        </w:rPr>
      </w:pPr>
    </w:p>
    <w:p w14:paraId="789341A0">
      <w:pPr>
        <w:rPr>
          <w:rFonts w:hint="eastAsia" w:ascii="楷体_GB2312" w:eastAsia="楷体_GB2312"/>
          <w:b/>
          <w:color w:val="auto"/>
          <w:sz w:val="32"/>
          <w:szCs w:val="32"/>
          <w:highlight w:val="none"/>
        </w:rPr>
      </w:pPr>
    </w:p>
    <w:p w14:paraId="23EA5566">
      <w:pPr>
        <w:rPr>
          <w:rFonts w:hint="eastAsia" w:ascii="楷体_GB2312" w:eastAsia="楷体_GB2312"/>
          <w:b/>
          <w:color w:val="auto"/>
          <w:sz w:val="32"/>
          <w:szCs w:val="32"/>
          <w:highlight w:val="none"/>
        </w:rPr>
      </w:pPr>
    </w:p>
    <w:p w14:paraId="26EBFD4F">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7A61E0D3">
      <w:pPr>
        <w:rPr>
          <w:rFonts w:ascii="宋体"/>
          <w:b/>
          <w:bCs/>
          <w:color w:val="auto"/>
          <w:sz w:val="24"/>
          <w:szCs w:val="24"/>
          <w:highlight w:val="none"/>
        </w:rPr>
      </w:pPr>
      <w:bookmarkStart w:id="81" w:name="_Toc24602"/>
      <w:r>
        <w:rPr>
          <w:rFonts w:hint="eastAsia" w:ascii="黑体" w:hAnsi="宋体" w:eastAsia="黑体"/>
          <w:bCs/>
          <w:color w:val="auto"/>
          <w:sz w:val="24"/>
          <w:szCs w:val="24"/>
          <w:highlight w:val="none"/>
        </w:rPr>
        <w:br w:type="page"/>
      </w:r>
      <w:r>
        <w:rPr>
          <w:rFonts w:hint="eastAsia" w:ascii="黑体" w:hAnsi="宋体" w:eastAsia="黑体"/>
          <w:bCs/>
          <w:color w:val="auto"/>
          <w:sz w:val="24"/>
          <w:szCs w:val="24"/>
          <w:highlight w:val="none"/>
        </w:rPr>
        <w:t>（一）投标函（格式）：</w:t>
      </w:r>
    </w:p>
    <w:p w14:paraId="15D1ED07">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3B8645E6">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致宜兴市环保集团有限公司、</w:t>
      </w:r>
      <w:r>
        <w:rPr>
          <w:rFonts w:hint="eastAsia" w:ascii="宋体" w:hAnsi="宋体"/>
          <w:bCs/>
          <w:color w:val="auto"/>
          <w:sz w:val="24"/>
          <w:szCs w:val="24"/>
          <w:highlight w:val="none"/>
        </w:rPr>
        <w:t>江苏鸿成工程项目管理有限公司</w:t>
      </w:r>
      <w:r>
        <w:rPr>
          <w:rFonts w:hint="eastAsia" w:ascii="宋体" w:hAnsi="宋体"/>
          <w:bCs/>
          <w:color w:val="auto"/>
          <w:sz w:val="24"/>
          <w:highlight w:val="none"/>
          <w:lang w:val="zh-CN"/>
        </w:rPr>
        <w:t>：</w:t>
      </w:r>
    </w:p>
    <w:p w14:paraId="0546571E">
      <w:pPr>
        <w:spacing w:line="360" w:lineRule="auto"/>
        <w:ind w:firstLine="480" w:firstLineChars="200"/>
        <w:rPr>
          <w:rFonts w:hint="eastAsia" w:ascii="宋体" w:hAnsi="宋体"/>
          <w:bCs/>
          <w:color w:val="auto"/>
          <w:sz w:val="24"/>
          <w:highlight w:val="none"/>
          <w:lang w:val="zh-CN"/>
        </w:rPr>
      </w:pPr>
      <w:r>
        <w:rPr>
          <w:rFonts w:hint="eastAsia" w:ascii="宋体" w:hAnsi="宋体" w:eastAsia="宋体" w:cs="Times New Roman"/>
          <w:bCs/>
          <w:color w:val="auto"/>
          <w:sz w:val="24"/>
          <w:highlight w:val="none"/>
          <w:lang w:val="zh-CN"/>
        </w:rPr>
        <w:t>我方收到你们</w:t>
      </w:r>
      <w:r>
        <w:rPr>
          <w:rFonts w:hint="eastAsia" w:ascii="宋体" w:hAnsi="宋体" w:cs="Times New Roman"/>
          <w:bCs/>
          <w:color w:val="auto"/>
          <w:sz w:val="24"/>
          <w:highlight w:val="none"/>
          <w:lang w:val="zh-CN"/>
        </w:rPr>
        <w:t>宜兴市环保集团有限公司宜兴市西氿近岸湖体修复工程不可避让论证服务项目</w:t>
      </w:r>
      <w:r>
        <w:rPr>
          <w:rFonts w:hint="eastAsia" w:ascii="宋体" w:hAnsi="宋体" w:eastAsia="宋体" w:cs="Times New Roman"/>
          <w:bCs/>
          <w:color w:val="auto"/>
          <w:sz w:val="24"/>
          <w:highlight w:val="none"/>
          <w:lang w:val="zh-CN"/>
        </w:rPr>
        <w:t>招标</w:t>
      </w:r>
      <w:r>
        <w:rPr>
          <w:rFonts w:hint="eastAsia" w:ascii="宋体" w:hAnsi="宋体"/>
          <w:bCs/>
          <w:color w:val="auto"/>
          <w:sz w:val="24"/>
          <w:highlight w:val="none"/>
          <w:lang w:val="zh-CN"/>
        </w:rPr>
        <w:t>文件，经仔细阅读和研究，我方决定参加投标。</w:t>
      </w:r>
    </w:p>
    <w:p w14:paraId="6255EB47">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231492D8">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截止之日起的60天（含提交当日）。在特殊情况下，可与贵方协商延长投标文件的有效期。</w:t>
      </w:r>
    </w:p>
    <w:p w14:paraId="76CCB04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76B907E4">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我方愿意根据贵方和评标委员会的要求，提供投标文件中所有材料的原件及相关证明性资料。</w:t>
      </w:r>
    </w:p>
    <w:p w14:paraId="0925347C">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650AA2E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101D408B">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1B1A819C">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3630C9C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如有违反，无条件接受相关管理部门的处罚。</w:t>
      </w:r>
    </w:p>
    <w:p w14:paraId="242C1014">
      <w:pPr>
        <w:numPr>
          <w:ilvl w:val="0"/>
          <w:numId w:val="5"/>
        </w:numPr>
        <w:spacing w:line="360" w:lineRule="auto"/>
        <w:ind w:firstLine="480" w:firstLineChars="200"/>
        <w:rPr>
          <w:rFonts w:hint="eastAsia" w:ascii="宋体" w:hAnsi="宋体"/>
          <w:bCs/>
          <w:color w:val="auto"/>
          <w:sz w:val="24"/>
          <w:highlight w:val="none"/>
          <w:lang w:val="zh-CN"/>
        </w:rPr>
      </w:pPr>
      <w:bookmarkStart w:id="82" w:name="OLE_LINK231"/>
      <w:bookmarkStart w:id="83" w:name="OLE_LINK281"/>
      <w:r>
        <w:rPr>
          <w:rFonts w:hint="eastAsia" w:ascii="宋体" w:hAnsi="宋体"/>
          <w:bCs/>
          <w:color w:val="auto"/>
          <w:sz w:val="24"/>
          <w:highlight w:val="none"/>
          <w:lang w:val="zh-CN"/>
        </w:rPr>
        <w:t>我方不是为本项目提供整体设计、规范编制或者项目管理、监理、检测等服务的供应商。</w:t>
      </w:r>
      <w:bookmarkEnd w:id="82"/>
    </w:p>
    <w:p w14:paraId="069CE64D">
      <w:pPr>
        <w:numPr>
          <w:ilvl w:val="0"/>
          <w:numId w:val="5"/>
        </w:numPr>
        <w:spacing w:line="360" w:lineRule="auto"/>
        <w:ind w:firstLine="480" w:firstLineChars="200"/>
        <w:rPr>
          <w:rFonts w:hint="eastAsia" w:ascii="宋体" w:hAnsi="宋体"/>
          <w:bCs/>
          <w:color w:val="auto"/>
          <w:sz w:val="24"/>
          <w:highlight w:val="none"/>
          <w:lang w:val="zh-CN"/>
        </w:rPr>
      </w:pPr>
      <w:bookmarkStart w:id="84" w:name="OLE_LINK233"/>
      <w:r>
        <w:rPr>
          <w:rFonts w:hint="eastAsia" w:ascii="宋体" w:hAnsi="宋体"/>
          <w:bCs/>
          <w:color w:val="auto"/>
          <w:sz w:val="24"/>
          <w:highlight w:val="none"/>
          <w:lang w:val="zh-CN"/>
        </w:rPr>
        <w:t>关联单位情况说明：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7DEC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060BD357">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noWrap w:val="0"/>
            <w:vAlign w:val="center"/>
          </w:tcPr>
          <w:p w14:paraId="070371F3">
            <w:pPr>
              <w:spacing w:line="360" w:lineRule="auto"/>
              <w:rPr>
                <w:rFonts w:hint="eastAsia" w:ascii="宋体" w:hAnsi="宋体"/>
                <w:bCs/>
                <w:color w:val="auto"/>
                <w:sz w:val="24"/>
                <w:highlight w:val="none"/>
                <w:lang w:val="zh-CN"/>
              </w:rPr>
            </w:pPr>
          </w:p>
        </w:tc>
      </w:tr>
      <w:tr w14:paraId="0CD1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11FBBA50">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noWrap w:val="0"/>
            <w:vAlign w:val="center"/>
          </w:tcPr>
          <w:p w14:paraId="3BDA6897">
            <w:pPr>
              <w:spacing w:line="360" w:lineRule="auto"/>
              <w:rPr>
                <w:rFonts w:hint="eastAsia" w:ascii="宋体" w:hAnsi="宋体"/>
                <w:bCs/>
                <w:color w:val="auto"/>
                <w:sz w:val="24"/>
                <w:highlight w:val="none"/>
                <w:lang w:val="zh-CN"/>
              </w:rPr>
            </w:pPr>
          </w:p>
        </w:tc>
      </w:tr>
    </w:tbl>
    <w:p w14:paraId="2BD2325F">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479A0680">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30D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593692C1">
            <w:pPr>
              <w:spacing w:line="360" w:lineRule="auto"/>
              <w:jc w:val="center"/>
              <w:rPr>
                <w:rFonts w:ascii="宋体" w:hAnsi="宋体"/>
                <w:bCs/>
                <w:color w:val="auto"/>
                <w:sz w:val="24"/>
                <w:highlight w:val="none"/>
                <w:lang w:val="zh-CN"/>
              </w:rPr>
            </w:pPr>
            <w:bookmarkStart w:id="85" w:name="OLE_LINK249"/>
            <w:r>
              <w:rPr>
                <w:rFonts w:hint="eastAsia" w:ascii="宋体" w:hAnsi="宋体"/>
                <w:bCs/>
                <w:color w:val="auto"/>
                <w:sz w:val="24"/>
                <w:highlight w:val="none"/>
                <w:lang w:val="zh-CN"/>
              </w:rPr>
              <w:t>地址</w:t>
            </w:r>
          </w:p>
        </w:tc>
        <w:tc>
          <w:tcPr>
            <w:tcW w:w="2928" w:type="dxa"/>
            <w:noWrap w:val="0"/>
            <w:vAlign w:val="center"/>
          </w:tcPr>
          <w:p w14:paraId="515FE1BE">
            <w:pPr>
              <w:spacing w:line="360" w:lineRule="auto"/>
              <w:jc w:val="center"/>
              <w:rPr>
                <w:rFonts w:hint="eastAsia" w:ascii="宋体" w:hAnsi="宋体"/>
                <w:bCs/>
                <w:color w:val="auto"/>
                <w:sz w:val="24"/>
                <w:highlight w:val="none"/>
                <w:lang w:val="zh-CN"/>
              </w:rPr>
            </w:pPr>
          </w:p>
        </w:tc>
        <w:tc>
          <w:tcPr>
            <w:tcW w:w="1252" w:type="dxa"/>
            <w:noWrap w:val="0"/>
            <w:vAlign w:val="center"/>
          </w:tcPr>
          <w:p w14:paraId="4BD4F52D">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noWrap w:val="0"/>
            <w:vAlign w:val="center"/>
          </w:tcPr>
          <w:p w14:paraId="1EA94AAD">
            <w:pPr>
              <w:spacing w:line="360" w:lineRule="auto"/>
              <w:jc w:val="center"/>
              <w:rPr>
                <w:rFonts w:hint="eastAsia" w:ascii="宋体" w:hAnsi="宋体"/>
                <w:bCs/>
                <w:color w:val="auto"/>
                <w:sz w:val="24"/>
                <w:highlight w:val="none"/>
                <w:lang w:val="zh-CN"/>
              </w:rPr>
            </w:pPr>
          </w:p>
        </w:tc>
      </w:tr>
      <w:tr w14:paraId="2CF1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0D03183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15D7E825">
            <w:pPr>
              <w:spacing w:line="360" w:lineRule="auto"/>
              <w:jc w:val="center"/>
              <w:rPr>
                <w:rFonts w:hint="eastAsia" w:ascii="宋体" w:hAnsi="宋体"/>
                <w:bCs/>
                <w:color w:val="auto"/>
                <w:sz w:val="24"/>
                <w:highlight w:val="none"/>
                <w:lang w:val="zh-CN"/>
              </w:rPr>
            </w:pPr>
          </w:p>
        </w:tc>
        <w:tc>
          <w:tcPr>
            <w:tcW w:w="1252" w:type="dxa"/>
            <w:noWrap w:val="0"/>
            <w:vAlign w:val="center"/>
          </w:tcPr>
          <w:p w14:paraId="48A89B2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noWrap w:val="0"/>
            <w:vAlign w:val="center"/>
          </w:tcPr>
          <w:p w14:paraId="02D9D63E">
            <w:pPr>
              <w:spacing w:line="360" w:lineRule="auto"/>
              <w:jc w:val="center"/>
              <w:rPr>
                <w:rFonts w:hint="eastAsia" w:ascii="宋体" w:hAnsi="宋体"/>
                <w:bCs/>
                <w:color w:val="auto"/>
                <w:sz w:val="24"/>
                <w:highlight w:val="none"/>
                <w:lang w:val="zh-CN"/>
              </w:rPr>
            </w:pPr>
          </w:p>
        </w:tc>
      </w:tr>
      <w:tr w14:paraId="2B28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5585F55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762B53FB">
            <w:pPr>
              <w:spacing w:line="360" w:lineRule="auto"/>
              <w:jc w:val="center"/>
              <w:rPr>
                <w:rFonts w:hint="eastAsia" w:ascii="宋体" w:hAnsi="宋体"/>
                <w:bCs/>
                <w:color w:val="auto"/>
                <w:sz w:val="24"/>
                <w:highlight w:val="none"/>
                <w:lang w:val="zh-CN"/>
              </w:rPr>
            </w:pPr>
          </w:p>
        </w:tc>
        <w:tc>
          <w:tcPr>
            <w:tcW w:w="1252" w:type="dxa"/>
            <w:noWrap w:val="0"/>
            <w:vAlign w:val="center"/>
          </w:tcPr>
          <w:p w14:paraId="459F63CE">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5525B643">
            <w:pPr>
              <w:spacing w:line="360" w:lineRule="auto"/>
              <w:jc w:val="center"/>
              <w:rPr>
                <w:rFonts w:hint="eastAsia" w:ascii="宋体" w:hAnsi="宋体"/>
                <w:bCs/>
                <w:color w:val="auto"/>
                <w:sz w:val="24"/>
                <w:highlight w:val="none"/>
                <w:lang w:val="zh-CN"/>
              </w:rPr>
            </w:pPr>
          </w:p>
        </w:tc>
      </w:tr>
      <w:tr w14:paraId="7C46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61C0DB5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54DD96D4">
            <w:pPr>
              <w:spacing w:line="360" w:lineRule="auto"/>
              <w:jc w:val="center"/>
              <w:rPr>
                <w:rFonts w:hint="eastAsia" w:ascii="宋体" w:hAnsi="宋体"/>
                <w:bCs/>
                <w:color w:val="auto"/>
                <w:sz w:val="24"/>
                <w:highlight w:val="none"/>
                <w:lang w:val="zh-CN"/>
              </w:rPr>
            </w:pPr>
          </w:p>
        </w:tc>
        <w:tc>
          <w:tcPr>
            <w:tcW w:w="1252" w:type="dxa"/>
            <w:noWrap w:val="0"/>
            <w:vAlign w:val="center"/>
          </w:tcPr>
          <w:p w14:paraId="497AF08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58C969AA">
            <w:pPr>
              <w:spacing w:line="360" w:lineRule="auto"/>
              <w:jc w:val="center"/>
              <w:rPr>
                <w:rFonts w:hint="eastAsia" w:ascii="宋体" w:hAnsi="宋体"/>
                <w:bCs/>
                <w:color w:val="auto"/>
                <w:sz w:val="24"/>
                <w:highlight w:val="none"/>
                <w:lang w:val="zh-CN"/>
              </w:rPr>
            </w:pPr>
          </w:p>
        </w:tc>
      </w:tr>
      <w:tr w14:paraId="48FD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B14EFF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noWrap w:val="0"/>
            <w:vAlign w:val="center"/>
          </w:tcPr>
          <w:p w14:paraId="5EF22282">
            <w:pPr>
              <w:spacing w:line="360" w:lineRule="auto"/>
              <w:jc w:val="center"/>
              <w:rPr>
                <w:rFonts w:hint="eastAsia" w:ascii="宋体" w:hAnsi="宋体"/>
                <w:bCs/>
                <w:color w:val="auto"/>
                <w:sz w:val="24"/>
                <w:highlight w:val="none"/>
                <w:lang w:val="zh-CN"/>
              </w:rPr>
            </w:pPr>
          </w:p>
        </w:tc>
      </w:tr>
      <w:tr w14:paraId="4AC9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C24E03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40A9DA9E">
            <w:pPr>
              <w:spacing w:line="360" w:lineRule="auto"/>
              <w:jc w:val="center"/>
              <w:rPr>
                <w:rFonts w:hint="eastAsia" w:ascii="宋体" w:hAnsi="宋体"/>
                <w:bCs/>
                <w:color w:val="auto"/>
                <w:sz w:val="24"/>
                <w:highlight w:val="none"/>
                <w:lang w:val="zh-CN"/>
              </w:rPr>
            </w:pPr>
          </w:p>
        </w:tc>
        <w:tc>
          <w:tcPr>
            <w:tcW w:w="1252" w:type="dxa"/>
            <w:noWrap w:val="0"/>
            <w:vAlign w:val="center"/>
          </w:tcPr>
          <w:p w14:paraId="7167523D">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noWrap w:val="0"/>
            <w:vAlign w:val="center"/>
          </w:tcPr>
          <w:p w14:paraId="73B9AD8A">
            <w:pPr>
              <w:spacing w:line="360" w:lineRule="auto"/>
              <w:jc w:val="center"/>
              <w:rPr>
                <w:rFonts w:hint="eastAsia" w:ascii="宋体" w:hAnsi="宋体"/>
                <w:bCs/>
                <w:color w:val="auto"/>
                <w:sz w:val="24"/>
                <w:highlight w:val="none"/>
                <w:lang w:val="zh-CN"/>
              </w:rPr>
            </w:pPr>
          </w:p>
        </w:tc>
      </w:tr>
      <w:bookmarkEnd w:id="83"/>
      <w:bookmarkEnd w:id="84"/>
      <w:bookmarkEnd w:id="85"/>
    </w:tbl>
    <w:p w14:paraId="78F581D8">
      <w:pPr>
        <w:ind w:firstLine="480" w:firstLineChars="200"/>
        <w:rPr>
          <w:rFonts w:hint="eastAsia" w:ascii="黑体" w:hAnsi="宋体" w:eastAsia="黑体"/>
          <w:bCs/>
          <w:color w:val="auto"/>
          <w:sz w:val="24"/>
          <w:szCs w:val="24"/>
          <w:highlight w:val="none"/>
        </w:rPr>
      </w:pPr>
    </w:p>
    <w:p w14:paraId="2E2A8F01">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643B99A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52CEA2A3">
      <w:pPr>
        <w:ind w:firstLine="480" w:firstLineChars="200"/>
        <w:rPr>
          <w:rFonts w:hint="eastAsia" w:ascii="黑体" w:hAnsi="宋体" w:eastAsia="黑体"/>
          <w:bCs/>
          <w:color w:val="auto"/>
          <w:sz w:val="24"/>
          <w:szCs w:val="24"/>
          <w:highlight w:val="none"/>
        </w:rPr>
      </w:pPr>
    </w:p>
    <w:bookmarkEnd w:id="81"/>
    <w:p w14:paraId="084CAE39">
      <w:pPr>
        <w:jc w:val="left"/>
        <w:rPr>
          <w:rFonts w:ascii="黑体" w:hAnsi="宋体" w:eastAsia="黑体"/>
          <w:bCs/>
          <w:color w:val="auto"/>
          <w:sz w:val="24"/>
          <w:szCs w:val="24"/>
          <w:highlight w:val="none"/>
        </w:rPr>
        <w:sectPr>
          <w:headerReference r:id="rId7" w:type="default"/>
          <w:footerReference r:id="rId8" w:type="default"/>
          <w:pgSz w:w="11906" w:h="16838"/>
          <w:pgMar w:top="1417" w:right="1701" w:bottom="1417" w:left="1701" w:header="851" w:footer="992" w:gutter="0"/>
          <w:cols w:space="720" w:num="1"/>
          <w:docGrid w:type="lines" w:linePitch="312" w:charSpace="0"/>
        </w:sectPr>
      </w:pPr>
      <w:bookmarkStart w:id="86" w:name="OLE_LINK146"/>
      <w:bookmarkStart w:id="87" w:name="_Toc4946"/>
    </w:p>
    <w:p w14:paraId="3C02B57B">
      <w:pPr>
        <w:jc w:val="left"/>
        <w:rPr>
          <w:rFonts w:hint="eastAsia" w:ascii="黑体" w:hAnsi="宋体" w:eastAsia="黑体"/>
          <w:bCs/>
          <w:color w:val="auto"/>
          <w:sz w:val="24"/>
          <w:szCs w:val="24"/>
          <w:highlight w:val="none"/>
        </w:rPr>
      </w:pPr>
      <w:r>
        <w:rPr>
          <w:rFonts w:hint="eastAsia" w:ascii="黑体" w:hAnsi="宋体" w:eastAsia="黑体"/>
          <w:bCs/>
          <w:color w:val="auto"/>
          <w:sz w:val="28"/>
          <w:szCs w:val="28"/>
          <w:highlight w:val="none"/>
        </w:rPr>
        <w:t>（二）报价文件：</w:t>
      </w:r>
      <w:bookmarkEnd w:id="86"/>
    </w:p>
    <w:p w14:paraId="31C4538D">
      <w:pPr>
        <w:ind w:firstLine="480" w:firstLineChars="200"/>
        <w:rPr>
          <w:rFonts w:hint="eastAsia" w:ascii="宋体" w:hAnsi="宋体"/>
          <w:color w:val="auto"/>
          <w:sz w:val="28"/>
          <w:szCs w:val="28"/>
          <w:highlight w:val="none"/>
        </w:rPr>
      </w:pPr>
      <w:r>
        <w:rPr>
          <w:rFonts w:hint="eastAsia" w:ascii="黑体" w:hAnsi="宋体" w:eastAsia="黑体"/>
          <w:bCs/>
          <w:color w:val="auto"/>
          <w:sz w:val="24"/>
          <w:szCs w:val="24"/>
          <w:highlight w:val="none"/>
        </w:rPr>
        <w:t>1、开标一览表（格式）：</w:t>
      </w:r>
    </w:p>
    <w:p w14:paraId="2955D765">
      <w:pPr>
        <w:spacing w:before="156" w:beforeLines="50" w:after="156" w:afterLines="50"/>
        <w:jc w:val="center"/>
        <w:rPr>
          <w:rFonts w:hint="eastAsia" w:ascii="黑体" w:hAnsi="黑体" w:eastAsia="黑体"/>
          <w:color w:val="auto"/>
          <w:sz w:val="28"/>
          <w:szCs w:val="28"/>
          <w:highlight w:val="none"/>
        </w:rPr>
      </w:pPr>
      <w:bookmarkStart w:id="88" w:name="_Toc32423"/>
      <w:r>
        <w:rPr>
          <w:rFonts w:hint="eastAsia" w:ascii="黑体" w:eastAsia="黑体"/>
          <w:bCs/>
          <w:color w:val="auto"/>
          <w:sz w:val="28"/>
          <w:szCs w:val="28"/>
          <w:highlight w:val="none"/>
        </w:rPr>
        <w:t>开标一览表</w:t>
      </w:r>
      <w:bookmarkEnd w:id="88"/>
    </w:p>
    <w:p w14:paraId="365D4B25">
      <w:pPr>
        <w:jc w:val="center"/>
        <w:rPr>
          <w:rFonts w:hint="eastAsia" w:ascii="宋体" w:hAnsi="宋体"/>
          <w:color w:val="auto"/>
          <w:sz w:val="24"/>
          <w:szCs w:val="24"/>
          <w:highlight w:val="none"/>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YXGYJT202510009</w:t>
      </w:r>
      <w:r>
        <w:rPr>
          <w:rFonts w:hint="eastAsia" w:ascii="宋体" w:hAnsi="宋体"/>
          <w:color w:val="auto"/>
          <w:sz w:val="24"/>
          <w:szCs w:val="24"/>
          <w:highlight w:val="none"/>
        </w:rPr>
        <w:t xml:space="preserve"> </w:t>
      </w:r>
    </w:p>
    <w:bookmarkEnd w:id="87"/>
    <w:p w14:paraId="102F40A3">
      <w:pPr>
        <w:ind w:left="1"/>
        <w:jc w:val="center"/>
        <w:rPr>
          <w:rFonts w:ascii="宋体" w:hAnsi="宋体"/>
          <w:color w:val="auto"/>
          <w:sz w:val="24"/>
          <w:szCs w:val="24"/>
          <w:highlight w:val="none"/>
        </w:rPr>
      </w:pPr>
      <w:bookmarkStart w:id="89" w:name="OLE_LINK151"/>
      <w:r>
        <w:rPr>
          <w:rFonts w:hint="eastAsia" w:ascii="宋体" w:hAnsi="宋体"/>
          <w:color w:val="auto"/>
          <w:sz w:val="24"/>
          <w:szCs w:val="24"/>
          <w:highlight w:val="none"/>
        </w:rPr>
        <w:t>投标人（</w:t>
      </w:r>
      <w:r>
        <w:rPr>
          <w:rFonts w:hint="eastAsia" w:ascii="宋体" w:hAnsi="宋体"/>
          <w:color w:val="auto"/>
          <w:sz w:val="24"/>
          <w:szCs w:val="24"/>
          <w:highlight w:val="none"/>
          <w:lang w:val="zh-CN"/>
        </w:rPr>
        <w:t>签章</w:t>
      </w:r>
      <w:r>
        <w:rPr>
          <w:rFonts w:hint="eastAsia" w:ascii="宋体" w:hAnsi="宋体"/>
          <w:color w:val="auto"/>
          <w:sz w:val="24"/>
          <w:szCs w:val="24"/>
          <w:highlight w:val="none"/>
        </w:rPr>
        <w:t>）：                                         单位：元</w:t>
      </w:r>
    </w:p>
    <w:tbl>
      <w:tblPr>
        <w:tblStyle w:val="9"/>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261"/>
        <w:gridCol w:w="1701"/>
        <w:gridCol w:w="1265"/>
        <w:gridCol w:w="1144"/>
        <w:gridCol w:w="993"/>
        <w:gridCol w:w="1275"/>
      </w:tblGrid>
      <w:tr w14:paraId="216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6133FCC9">
            <w:pPr>
              <w:jc w:val="center"/>
              <w:rPr>
                <w:rFonts w:ascii="宋体" w:hAnsi="宋体"/>
                <w:color w:val="auto"/>
                <w:sz w:val="24"/>
                <w:szCs w:val="28"/>
                <w:highlight w:val="none"/>
              </w:rPr>
            </w:pPr>
            <w:r>
              <w:rPr>
                <w:rFonts w:hint="eastAsia" w:ascii="宋体" w:hAnsi="宋体"/>
                <w:color w:val="auto"/>
                <w:sz w:val="24"/>
                <w:szCs w:val="28"/>
                <w:highlight w:val="none"/>
              </w:rPr>
              <w:t>序号</w:t>
            </w:r>
          </w:p>
        </w:tc>
        <w:tc>
          <w:tcPr>
            <w:tcW w:w="3261" w:type="dxa"/>
            <w:tcBorders>
              <w:top w:val="single" w:color="auto" w:sz="4" w:space="0"/>
              <w:left w:val="single" w:color="auto" w:sz="4" w:space="0"/>
              <w:bottom w:val="single" w:color="auto" w:sz="4" w:space="0"/>
              <w:right w:val="single" w:color="auto" w:sz="4" w:space="0"/>
            </w:tcBorders>
            <w:noWrap w:val="0"/>
            <w:vAlign w:val="center"/>
          </w:tcPr>
          <w:p w14:paraId="2F059504">
            <w:pPr>
              <w:jc w:val="center"/>
              <w:rPr>
                <w:rFonts w:ascii="宋体" w:hAnsi="宋体"/>
                <w:color w:val="auto"/>
                <w:sz w:val="24"/>
                <w:szCs w:val="28"/>
                <w:highlight w:val="none"/>
              </w:rPr>
            </w:pPr>
            <w:r>
              <w:rPr>
                <w:rFonts w:hint="eastAsia" w:ascii="宋体" w:hAnsi="宋体"/>
                <w:color w:val="auto"/>
                <w:sz w:val="24"/>
                <w:szCs w:val="28"/>
                <w:highlight w:val="none"/>
              </w:rPr>
              <w:t>项目名称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140E337">
            <w:pPr>
              <w:jc w:val="center"/>
              <w:rPr>
                <w:rFonts w:ascii="宋体" w:hAnsi="宋体"/>
                <w:color w:val="auto"/>
                <w:sz w:val="24"/>
                <w:szCs w:val="28"/>
                <w:highlight w:val="none"/>
              </w:rPr>
            </w:pPr>
            <w:r>
              <w:rPr>
                <w:rFonts w:hint="eastAsia" w:ascii="宋体" w:hAnsi="宋体"/>
                <w:color w:val="auto"/>
                <w:sz w:val="24"/>
                <w:szCs w:val="28"/>
                <w:highlight w:val="none"/>
              </w:rPr>
              <w:t>数量</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668E451">
            <w:pPr>
              <w:jc w:val="center"/>
              <w:rPr>
                <w:rFonts w:ascii="宋体" w:hAnsi="宋体"/>
                <w:color w:val="auto"/>
                <w:sz w:val="24"/>
                <w:szCs w:val="28"/>
                <w:highlight w:val="none"/>
              </w:rPr>
            </w:pPr>
            <w:r>
              <w:rPr>
                <w:rFonts w:hint="eastAsia" w:ascii="宋体" w:hAnsi="宋体"/>
                <w:color w:val="auto"/>
                <w:sz w:val="24"/>
                <w:szCs w:val="28"/>
                <w:highlight w:val="none"/>
              </w:rPr>
              <w:t>投标含税单价</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8BDB491">
            <w:pPr>
              <w:jc w:val="center"/>
              <w:rPr>
                <w:rFonts w:ascii="宋体" w:hAnsi="宋体"/>
                <w:color w:val="auto"/>
                <w:sz w:val="24"/>
                <w:szCs w:val="28"/>
                <w:highlight w:val="none"/>
              </w:rPr>
            </w:pPr>
            <w:r>
              <w:rPr>
                <w:rFonts w:ascii="宋体" w:hAnsi="宋体"/>
                <w:color w:val="auto"/>
                <w:sz w:val="24"/>
                <w:szCs w:val="28"/>
                <w:highlight w:val="none"/>
              </w:rPr>
              <w:t>含税总价</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924B1C5">
            <w:pPr>
              <w:jc w:val="center"/>
              <w:rPr>
                <w:rFonts w:ascii="宋体" w:hAnsi="宋体"/>
                <w:color w:val="auto"/>
                <w:sz w:val="24"/>
                <w:szCs w:val="28"/>
                <w:highlight w:val="none"/>
              </w:rPr>
            </w:pPr>
            <w:r>
              <w:rPr>
                <w:rFonts w:ascii="宋体" w:hAnsi="宋体"/>
                <w:color w:val="auto"/>
                <w:sz w:val="24"/>
                <w:szCs w:val="28"/>
                <w:highlight w:val="none"/>
              </w:rPr>
              <w:t>不含税总价</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6BFE65">
            <w:pPr>
              <w:jc w:val="center"/>
              <w:rPr>
                <w:rFonts w:ascii="宋体" w:hAnsi="宋体"/>
                <w:color w:val="auto"/>
                <w:sz w:val="24"/>
                <w:szCs w:val="28"/>
                <w:highlight w:val="none"/>
              </w:rPr>
            </w:pPr>
            <w:r>
              <w:rPr>
                <w:rFonts w:hint="eastAsia" w:ascii="宋体" w:hAnsi="宋体"/>
                <w:color w:val="auto"/>
                <w:sz w:val="24"/>
                <w:szCs w:val="28"/>
                <w:highlight w:val="none"/>
              </w:rPr>
              <w:t>增值税税额</w:t>
            </w:r>
          </w:p>
        </w:tc>
      </w:tr>
      <w:tr w14:paraId="1F63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686A9AC1">
            <w:pPr>
              <w:ind w:left="-111" w:leftChars="-53" w:firstLine="62" w:firstLineChars="26"/>
              <w:jc w:val="center"/>
              <w:rPr>
                <w:rFonts w:ascii="宋体" w:hAnsi="宋体"/>
                <w:color w:val="auto"/>
                <w:sz w:val="24"/>
                <w:szCs w:val="28"/>
                <w:highlight w:val="none"/>
              </w:rPr>
            </w:pPr>
            <w:r>
              <w:rPr>
                <w:rFonts w:hint="eastAsia" w:ascii="宋体" w:hAnsi="宋体"/>
                <w:color w:val="auto"/>
                <w:sz w:val="24"/>
                <w:szCs w:val="28"/>
                <w:highlight w:val="none"/>
              </w:rPr>
              <w:t>1</w:t>
            </w:r>
          </w:p>
        </w:tc>
        <w:tc>
          <w:tcPr>
            <w:tcW w:w="3261" w:type="dxa"/>
            <w:tcBorders>
              <w:top w:val="single" w:color="auto" w:sz="4" w:space="0"/>
              <w:left w:val="single" w:color="auto" w:sz="4" w:space="0"/>
              <w:bottom w:val="single" w:color="auto" w:sz="4" w:space="0"/>
              <w:right w:val="single" w:color="auto" w:sz="4" w:space="0"/>
            </w:tcBorders>
            <w:noWrap w:val="0"/>
            <w:vAlign w:val="center"/>
          </w:tcPr>
          <w:p w14:paraId="467AB70E">
            <w:pPr>
              <w:jc w:val="center"/>
              <w:rPr>
                <w:rFonts w:hint="eastAsia" w:ascii="宋体" w:hAnsi="宋体" w:eastAsia="宋体" w:cs="Times New Roman"/>
                <w:color w:val="auto"/>
                <w:sz w:val="24"/>
                <w:szCs w:val="28"/>
                <w:highlight w:val="none"/>
                <w:lang w:eastAsia="zh-CN"/>
              </w:rPr>
            </w:pPr>
            <w:r>
              <w:rPr>
                <w:rFonts w:hint="eastAsia" w:ascii="宋体" w:hAnsi="宋体"/>
                <w:color w:val="auto"/>
                <w:sz w:val="24"/>
                <w:szCs w:val="21"/>
                <w:highlight w:val="none"/>
                <w:lang w:val="zh-CN"/>
              </w:rPr>
              <w:t>宜兴市西氿近岸湖体修复工程不可避让论证服务项目</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3D6C2F">
            <w:pPr>
              <w:jc w:val="center"/>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1项</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B68788B">
            <w:pPr>
              <w:jc w:val="center"/>
              <w:rPr>
                <w:rFonts w:ascii="宋体" w:hAnsi="宋体"/>
                <w:color w:val="auto"/>
                <w:sz w:val="24"/>
                <w:szCs w:val="28"/>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E77DF57">
            <w:pPr>
              <w:jc w:val="center"/>
              <w:rPr>
                <w:rFonts w:ascii="宋体" w:hAnsi="宋体"/>
                <w:color w:val="auto"/>
                <w:sz w:val="24"/>
                <w:szCs w:val="2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1346D3DC">
            <w:pPr>
              <w:jc w:val="center"/>
              <w:rPr>
                <w:rFonts w:ascii="宋体" w:hAnsi="宋体"/>
                <w:color w:val="auto"/>
                <w:sz w:val="24"/>
                <w:szCs w:val="28"/>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7DDA271">
            <w:pPr>
              <w:jc w:val="center"/>
              <w:rPr>
                <w:rFonts w:ascii="宋体" w:hAnsi="宋体"/>
                <w:color w:val="auto"/>
                <w:sz w:val="24"/>
                <w:szCs w:val="28"/>
                <w:highlight w:val="none"/>
              </w:rPr>
            </w:pPr>
          </w:p>
        </w:tc>
      </w:tr>
      <w:tr w14:paraId="1B12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02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EC66113">
            <w:pPr>
              <w:ind w:left="-111" w:leftChars="-53" w:firstLine="62" w:firstLineChars="26"/>
              <w:jc w:val="center"/>
              <w:rPr>
                <w:rFonts w:hint="eastAsia" w:ascii="宋体" w:hAnsi="宋体"/>
                <w:color w:val="auto"/>
                <w:sz w:val="24"/>
                <w:szCs w:val="28"/>
                <w:highlight w:val="none"/>
              </w:rPr>
            </w:pPr>
            <w:r>
              <w:rPr>
                <w:rFonts w:hint="eastAsia" w:ascii="宋体" w:hAnsi="宋体"/>
                <w:color w:val="auto"/>
                <w:sz w:val="24"/>
                <w:szCs w:val="28"/>
                <w:highlight w:val="none"/>
              </w:rPr>
              <w:t>合  计（含税）</w:t>
            </w:r>
          </w:p>
        </w:tc>
        <w:tc>
          <w:tcPr>
            <w:tcW w:w="6378" w:type="dxa"/>
            <w:gridSpan w:val="5"/>
            <w:tcBorders>
              <w:top w:val="single" w:color="auto" w:sz="4" w:space="0"/>
              <w:left w:val="single" w:color="auto" w:sz="4" w:space="0"/>
              <w:bottom w:val="single" w:color="auto" w:sz="4" w:space="0"/>
              <w:right w:val="single" w:color="auto" w:sz="4" w:space="0"/>
            </w:tcBorders>
            <w:noWrap w:val="0"/>
            <w:vAlign w:val="center"/>
          </w:tcPr>
          <w:p w14:paraId="635BA028">
            <w:pPr>
              <w:rPr>
                <w:rFonts w:ascii="宋体" w:hAnsi="宋体"/>
                <w:color w:val="auto"/>
                <w:sz w:val="24"/>
                <w:szCs w:val="28"/>
                <w:highlight w:val="none"/>
              </w:rPr>
            </w:pPr>
            <w:r>
              <w:rPr>
                <w:rFonts w:hint="eastAsia" w:ascii="宋体" w:hAnsi="宋体"/>
                <w:color w:val="auto"/>
                <w:sz w:val="24"/>
                <w:szCs w:val="28"/>
                <w:highlight w:val="none"/>
              </w:rPr>
              <w:t>（小写）</w:t>
            </w:r>
          </w:p>
        </w:tc>
      </w:tr>
      <w:tr w14:paraId="55E9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0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A29510">
            <w:pPr>
              <w:widowControl/>
              <w:jc w:val="left"/>
              <w:rPr>
                <w:rFonts w:ascii="宋体" w:hAnsi="宋体"/>
                <w:color w:val="auto"/>
                <w:sz w:val="24"/>
                <w:szCs w:val="28"/>
                <w:highlight w:val="none"/>
              </w:rPr>
            </w:pPr>
          </w:p>
        </w:tc>
        <w:tc>
          <w:tcPr>
            <w:tcW w:w="6378" w:type="dxa"/>
            <w:gridSpan w:val="5"/>
            <w:tcBorders>
              <w:top w:val="single" w:color="auto" w:sz="4" w:space="0"/>
              <w:left w:val="single" w:color="auto" w:sz="4" w:space="0"/>
              <w:bottom w:val="single" w:color="auto" w:sz="4" w:space="0"/>
              <w:right w:val="single" w:color="auto" w:sz="4" w:space="0"/>
            </w:tcBorders>
            <w:noWrap w:val="0"/>
            <w:vAlign w:val="center"/>
          </w:tcPr>
          <w:p w14:paraId="7D9A0735">
            <w:pPr>
              <w:rPr>
                <w:rFonts w:ascii="宋体" w:hAnsi="宋体"/>
                <w:color w:val="auto"/>
                <w:sz w:val="24"/>
                <w:szCs w:val="28"/>
                <w:highlight w:val="none"/>
              </w:rPr>
            </w:pPr>
            <w:r>
              <w:rPr>
                <w:rFonts w:hint="eastAsia" w:ascii="宋体" w:hAnsi="宋体"/>
                <w:color w:val="auto"/>
                <w:sz w:val="24"/>
                <w:szCs w:val="28"/>
                <w:highlight w:val="none"/>
              </w:rPr>
              <w:t>（大写）</w:t>
            </w:r>
          </w:p>
        </w:tc>
      </w:tr>
    </w:tbl>
    <w:p w14:paraId="030E3569">
      <w:pPr>
        <w:rPr>
          <w:rFonts w:hint="eastAsia" w:ascii="宋体" w:hAnsi="宋体"/>
          <w:color w:val="auto"/>
          <w:sz w:val="28"/>
          <w:szCs w:val="28"/>
          <w:highlight w:val="none"/>
        </w:rPr>
      </w:pPr>
    </w:p>
    <w:p w14:paraId="04EF4773">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7465391">
      <w:pPr>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投标人签名：                                             日期：</w:t>
      </w:r>
    </w:p>
    <w:p w14:paraId="794BF042">
      <w:pPr>
        <w:ind w:left="1"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注：</w:t>
      </w:r>
    </w:p>
    <w:p w14:paraId="52A26D04">
      <w:pPr>
        <w:numPr>
          <w:ilvl w:val="0"/>
          <w:numId w:val="6"/>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04CA8B06">
      <w:pPr>
        <w:numPr>
          <w:ilvl w:val="0"/>
          <w:numId w:val="6"/>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90" w:name="OLE_LINK15"/>
      <w:r>
        <w:rPr>
          <w:rFonts w:hint="eastAsia" w:ascii="宋体" w:hAnsi="宋体"/>
          <w:color w:val="auto"/>
          <w:szCs w:val="21"/>
          <w:highlight w:val="none"/>
          <w:lang w:val="zh-CN"/>
        </w:rPr>
        <w:t>开标一览表</w:t>
      </w:r>
      <w:bookmarkEnd w:id="90"/>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p w14:paraId="269A906E">
      <w:pPr>
        <w:pStyle w:val="4"/>
        <w:rPr>
          <w:rFonts w:hint="eastAsia" w:ascii="黑体" w:hAnsi="宋体" w:eastAsia="黑体"/>
          <w:bCs/>
          <w:color w:val="auto"/>
          <w:sz w:val="28"/>
          <w:szCs w:val="28"/>
          <w:highlight w:val="none"/>
        </w:rPr>
        <w:sectPr>
          <w:pgSz w:w="11906" w:h="16838"/>
          <w:pgMar w:top="1417" w:right="1701" w:bottom="1417" w:left="1701" w:header="851" w:footer="992" w:gutter="0"/>
          <w:cols w:space="720" w:num="1"/>
          <w:docGrid w:type="lines" w:linePitch="312" w:charSpace="0"/>
        </w:sectPr>
      </w:pPr>
    </w:p>
    <w:p w14:paraId="57546EBD">
      <w:pPr>
        <w:tabs>
          <w:tab w:val="left" w:pos="2470"/>
        </w:tabs>
        <w:spacing w:line="360" w:lineRule="auto"/>
        <w:jc w:val="both"/>
        <w:rPr>
          <w:rFonts w:hint="eastAsia" w:ascii="黑体" w:eastAsia="黑体"/>
          <w:bCs/>
          <w:color w:val="auto"/>
          <w:sz w:val="28"/>
          <w:szCs w:val="28"/>
          <w:highlight w:val="none"/>
        </w:rPr>
      </w:pPr>
      <w:r>
        <w:rPr>
          <w:rFonts w:hint="eastAsia" w:ascii="黑体" w:hAnsi="宋体" w:eastAsia="黑体"/>
          <w:bCs/>
          <w:color w:val="auto"/>
          <w:sz w:val="28"/>
          <w:szCs w:val="28"/>
          <w:highlight w:val="none"/>
        </w:rPr>
        <w:t>（三）资格证明文件</w:t>
      </w:r>
      <w:bookmarkEnd w:id="89"/>
    </w:p>
    <w:p w14:paraId="5EFF80E8">
      <w:pPr>
        <w:ind w:firstLine="480" w:firstLineChars="200"/>
        <w:rPr>
          <w:rFonts w:ascii="黑体" w:eastAsia="黑体"/>
          <w:bCs/>
          <w:color w:val="auto"/>
          <w:sz w:val="36"/>
          <w:highlight w:val="none"/>
        </w:rPr>
      </w:pPr>
      <w:bookmarkStart w:id="91" w:name="_Toc8000"/>
      <w:r>
        <w:rPr>
          <w:rFonts w:hint="eastAsia" w:ascii="黑体" w:hAnsi="宋体" w:eastAsia="黑体"/>
          <w:bCs/>
          <w:color w:val="auto"/>
          <w:sz w:val="24"/>
          <w:szCs w:val="24"/>
          <w:highlight w:val="none"/>
        </w:rPr>
        <w:t>1、关于资格的声明函（格式）：</w:t>
      </w:r>
    </w:p>
    <w:p w14:paraId="0E60D2EB">
      <w:pPr>
        <w:spacing w:before="156" w:beforeLines="50" w:after="156"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64686E55">
      <w:pPr>
        <w:jc w:val="left"/>
        <w:rPr>
          <w:rFonts w:ascii="宋体"/>
          <w:bCs/>
          <w:color w:val="auto"/>
          <w:sz w:val="24"/>
          <w:szCs w:val="24"/>
          <w:highlight w:val="none"/>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p>
    <w:p w14:paraId="48F168AB">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宜兴市环保集团有限公司</w:t>
      </w:r>
      <w:r>
        <w:rPr>
          <w:rFonts w:hint="eastAsia" w:ascii="宋体" w:hAnsi="宋体"/>
          <w:bCs/>
          <w:color w:val="auto"/>
          <w:sz w:val="24"/>
          <w:szCs w:val="24"/>
          <w:highlight w:val="none"/>
        </w:rPr>
        <w:t>：</w:t>
      </w:r>
    </w:p>
    <w:p w14:paraId="02F99894">
      <w:pPr>
        <w:spacing w:line="480" w:lineRule="auto"/>
        <w:ind w:firstLine="480" w:firstLineChars="200"/>
        <w:rPr>
          <w:rFonts w:ascii="宋体" w:hAnsi="宋体"/>
          <w:bCs/>
          <w:color w:val="auto"/>
          <w:sz w:val="24"/>
          <w:szCs w:val="24"/>
          <w:highlight w:val="none"/>
        </w:rPr>
      </w:pPr>
      <w:r>
        <w:rPr>
          <w:rFonts w:hint="eastAsia" w:ascii="宋体"/>
          <w:bCs/>
          <w:color w:val="auto"/>
          <w:sz w:val="24"/>
          <w:szCs w:val="24"/>
          <w:highlight w:val="none"/>
        </w:rPr>
        <w:t>我公司参加贵单位</w:t>
      </w:r>
      <w:r>
        <w:rPr>
          <w:rFonts w:hint="eastAsia" w:ascii="宋体"/>
          <w:bCs/>
          <w:color w:val="auto"/>
          <w:sz w:val="24"/>
          <w:szCs w:val="24"/>
          <w:highlight w:val="none"/>
          <w:lang w:eastAsia="zh-CN"/>
        </w:rPr>
        <w:t>宜兴市环保集团有限公司宜兴市西氿近岸湖体修复工程不可避让论证服务项目</w:t>
      </w:r>
      <w:r>
        <w:rPr>
          <w:rFonts w:hint="eastAsia" w:ascii="宋体" w:hAnsi="Times New Roman" w:eastAsia="宋体" w:cs="Times New Roman"/>
          <w:bCs/>
          <w:color w:val="auto"/>
          <w:sz w:val="24"/>
          <w:szCs w:val="24"/>
          <w:highlight w:val="none"/>
          <w:lang w:eastAsia="zh-CN"/>
        </w:rPr>
        <w:t>（</w:t>
      </w:r>
      <w:r>
        <w:rPr>
          <w:rFonts w:hint="eastAsia" w:ascii="宋体" w:cs="Times New Roman"/>
          <w:bCs/>
          <w:color w:val="auto"/>
          <w:sz w:val="24"/>
          <w:szCs w:val="24"/>
          <w:highlight w:val="none"/>
          <w:lang w:eastAsia="zh-CN"/>
        </w:rPr>
        <w:t>YXGYJT202510009</w:t>
      </w:r>
      <w:r>
        <w:rPr>
          <w:rFonts w:hint="eastAsia" w:ascii="宋体"/>
          <w:bCs/>
          <w:color w:val="auto"/>
          <w:sz w:val="24"/>
          <w:szCs w:val="24"/>
          <w:highlight w:val="none"/>
        </w:rPr>
        <w:t>）采购活动前三年内在经营活动中没有重大违法记录；同时，投标时不存在</w:t>
      </w:r>
      <w:bookmarkStart w:id="92" w:name="OLE_LINK242"/>
      <w:r>
        <w:rPr>
          <w:rFonts w:hint="eastAsia" w:ascii="宋体"/>
          <w:bCs/>
          <w:color w:val="auto"/>
          <w:sz w:val="24"/>
          <w:szCs w:val="24"/>
          <w:highlight w:val="none"/>
        </w:rPr>
        <w:t>有效期限</w:t>
      </w:r>
      <w:bookmarkEnd w:id="92"/>
      <w:r>
        <w:rPr>
          <w:rFonts w:hint="eastAsia" w:ascii="宋体"/>
          <w:bCs/>
          <w:color w:val="auto"/>
          <w:sz w:val="24"/>
          <w:szCs w:val="24"/>
          <w:highlight w:val="none"/>
        </w:rPr>
        <w:t>内的采购严重违法失信行为的处罚记录，未被列入失信名单或重大税收违法案件当事人名单；且具备履行合同所必需的设备和专业技术能力。我公司（单位）愿针对本次项目（</w:t>
      </w:r>
      <w:r>
        <w:rPr>
          <w:rFonts w:hint="eastAsia" w:ascii="宋体"/>
          <w:bCs/>
          <w:color w:val="auto"/>
          <w:sz w:val="24"/>
          <w:szCs w:val="24"/>
          <w:highlight w:val="none"/>
          <w:lang w:eastAsia="zh-CN"/>
        </w:rPr>
        <w:t>YXGYJT202510009</w:t>
      </w:r>
      <w:r>
        <w:rPr>
          <w:rFonts w:hint="eastAsia" w:ascii="宋体"/>
          <w:bCs/>
          <w:color w:val="auto"/>
          <w:sz w:val="24"/>
          <w:szCs w:val="24"/>
          <w:highlight w:val="none"/>
        </w:rPr>
        <w:t>）进行投标，</w:t>
      </w:r>
      <w:r>
        <w:rPr>
          <w:rFonts w:hint="eastAsia" w:ascii="宋体" w:hAnsi="宋体"/>
          <w:bCs/>
          <w:color w:val="auto"/>
          <w:sz w:val="24"/>
          <w:szCs w:val="24"/>
          <w:highlight w:val="none"/>
        </w:rPr>
        <w:t>投标文件中所有关于投标资格的文件、证明、陈述均是真实的、准确的。若有违背，我公司（单位）</w:t>
      </w:r>
      <w:r>
        <w:rPr>
          <w:rFonts w:ascii="宋体" w:hAnsi="宋体"/>
          <w:bCs/>
          <w:color w:val="auto"/>
          <w:sz w:val="24"/>
          <w:szCs w:val="24"/>
          <w:highlight w:val="none"/>
          <w:u w:val="single"/>
        </w:rPr>
        <w:t xml:space="preserve">               </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78F28E9A">
      <w:pPr>
        <w:spacing w:line="480" w:lineRule="auto"/>
        <w:ind w:firstLine="480" w:firstLineChars="200"/>
        <w:rPr>
          <w:rFonts w:ascii="宋体" w:hAnsi="宋体"/>
          <w:bCs/>
          <w:color w:val="auto"/>
          <w:sz w:val="24"/>
          <w:szCs w:val="24"/>
          <w:highlight w:val="none"/>
        </w:rPr>
      </w:pPr>
    </w:p>
    <w:p w14:paraId="55E73F2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1E6AAD4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5887DEFA">
      <w:pPr>
        <w:spacing w:line="360" w:lineRule="auto"/>
        <w:jc w:val="center"/>
        <w:rPr>
          <w:rFonts w:hint="eastAsia" w:ascii="黑体" w:eastAsia="黑体"/>
          <w:bCs/>
          <w:color w:val="auto"/>
          <w:sz w:val="28"/>
          <w:szCs w:val="28"/>
          <w:highlight w:val="none"/>
        </w:rPr>
      </w:pPr>
    </w:p>
    <w:p w14:paraId="122F8A96">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2701925</wp:posOffset>
                </wp:positionH>
                <wp:positionV relativeFrom="paragraph">
                  <wp:posOffset>26035</wp:posOffset>
                </wp:positionV>
                <wp:extent cx="2633345" cy="1752600"/>
                <wp:effectExtent l="4445" t="4445" r="10160" b="14605"/>
                <wp:wrapNone/>
                <wp:docPr id="4" name="文本框 4"/>
                <wp:cNvGraphicFramePr/>
                <a:graphic xmlns:a="http://schemas.openxmlformats.org/drawingml/2006/main">
                  <a:graphicData uri="http://schemas.microsoft.com/office/word/2010/wordprocessingShape">
                    <wps:wsp>
                      <wps:cNvSpPr txBox="1"/>
                      <wps:spPr>
                        <a:xfrm>
                          <a:off x="0" y="0"/>
                          <a:ext cx="2633345" cy="1752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12.75pt;margin-top:2.05pt;height:138pt;width:207.35pt;z-index:251660288;mso-width-relative:page;mso-height-relative:page;" fillcolor="#FFFFFF" filled="t" stroked="t" coordsize="21600,21600" o:gfxdata="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QVw62AAAAAkBAAAPAAAAAAAAAAEAIAAA&#10;ACIAAABkcnMvZG93bnJldi54bWxQSwECFAAUAAAACACHTuJAzBXm6gwCAAA3BAAADgAAAAAAAAAB&#10;ACAAAAAnAQAAZHJzL2Uyb0RvYy54bWxQSwUGAAAAAAYABgBZAQAApQUAAAAA&#10;">
                <v:fill on="t" focussize="0,0"/>
                <v:stroke color="#000000" joinstyle="miter"/>
                <v:imagedata o:title=""/>
                <o:lock v:ext="edit" aspectratio="f"/>
                <v:textbo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540635" cy="1753870"/>
                <wp:effectExtent l="4445" t="4445" r="7620" b="13335"/>
                <wp:wrapNone/>
                <wp:docPr id="3" name="文本框 3"/>
                <wp:cNvGraphicFramePr/>
                <a:graphic xmlns:a="http://schemas.openxmlformats.org/drawingml/2006/main">
                  <a:graphicData uri="http://schemas.microsoft.com/office/word/2010/wordprocessingShape">
                    <wps:wsp>
                      <wps:cNvSpPr txBox="1"/>
                      <wps:spPr>
                        <a:xfrm>
                          <a:off x="0" y="0"/>
                          <a:ext cx="2540635" cy="17538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38.1pt;width:200.05pt;z-index:251659264;mso-width-relative:page;mso-height-relative:page;" fillcolor="#FFFFFF" filled="t" stroked="t" coordsize="21600,21600" o:gfxdata="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tGHdPYAAAACAEAAA8AAAAAAAAAAQAg&#10;AAAAIgAAAGRycy9kb3ducmV2LnhtbFBLAQIUABQAAAAIAIdO4kBV9p+gDgIAADcEAAAOAAAAAAAA&#10;AAEAIAAAACcBAABkcnMvZTJvRG9jLnhtbFBLBQYAAAAABgAGAFkBAACnBQAAAAA=&#10;">
                <v:fill on="t" focussize="0,0"/>
                <v:stroke color="#000000" joinstyle="miter"/>
                <v:imagedata o:title=""/>
                <o:lock v:ext="edit" aspectratio="f"/>
                <v:textbo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58355338">
      <w:pPr>
        <w:spacing w:line="360" w:lineRule="auto"/>
        <w:rPr>
          <w:rFonts w:hint="eastAsia" w:ascii="黑体" w:eastAsia="黑体"/>
          <w:bCs/>
          <w:color w:val="auto"/>
          <w:sz w:val="28"/>
          <w:szCs w:val="28"/>
          <w:highlight w:val="none"/>
        </w:rPr>
      </w:pPr>
    </w:p>
    <w:p w14:paraId="1DF3F535">
      <w:pPr>
        <w:spacing w:line="360" w:lineRule="auto"/>
        <w:jc w:val="center"/>
        <w:rPr>
          <w:rFonts w:hint="eastAsia" w:ascii="黑体" w:eastAsia="黑体"/>
          <w:bCs/>
          <w:color w:val="auto"/>
          <w:sz w:val="28"/>
          <w:szCs w:val="28"/>
          <w:highlight w:val="none"/>
        </w:rPr>
      </w:pPr>
    </w:p>
    <w:p w14:paraId="6990E86E">
      <w:pPr>
        <w:spacing w:line="360" w:lineRule="auto"/>
        <w:jc w:val="center"/>
        <w:rPr>
          <w:rFonts w:hint="eastAsia" w:ascii="黑体" w:eastAsia="黑体"/>
          <w:bCs/>
          <w:color w:val="auto"/>
          <w:sz w:val="28"/>
          <w:szCs w:val="28"/>
          <w:highlight w:val="none"/>
        </w:rPr>
      </w:pPr>
    </w:p>
    <w:p w14:paraId="296119EC">
      <w:pPr>
        <w:spacing w:line="360" w:lineRule="auto"/>
        <w:jc w:val="center"/>
        <w:rPr>
          <w:rFonts w:hint="eastAsia" w:ascii="黑体" w:eastAsia="黑体"/>
          <w:bCs/>
          <w:color w:val="auto"/>
          <w:sz w:val="28"/>
          <w:szCs w:val="28"/>
          <w:highlight w:val="none"/>
        </w:rPr>
      </w:pPr>
    </w:p>
    <w:p w14:paraId="3B4A0476">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br w:type="page"/>
      </w:r>
    </w:p>
    <w:p w14:paraId="15AB2243">
      <w:pPr>
        <w:rPr>
          <w:rFonts w:hint="eastAsia" w:ascii="宋体" w:hAnsi="宋体"/>
          <w:color w:val="auto"/>
          <w:sz w:val="24"/>
          <w:szCs w:val="28"/>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r>
        <w:rPr>
          <w:rFonts w:hint="eastAsia" w:ascii="宋体" w:hAnsi="宋体"/>
          <w:color w:val="auto"/>
          <w:sz w:val="24"/>
          <w:szCs w:val="28"/>
          <w:highlight w:val="none"/>
        </w:rPr>
        <w:t xml:space="preserve"> </w:t>
      </w:r>
    </w:p>
    <w:p w14:paraId="5D8691ED">
      <w:pPr>
        <w:tabs>
          <w:tab w:val="center" w:pos="4819"/>
          <w:tab w:val="left" w:pos="6732"/>
        </w:tabs>
        <w:spacing w:before="156" w:beforeLines="50" w:after="156" w:afterLines="50"/>
        <w:jc w:val="left"/>
        <w:rPr>
          <w:rFonts w:hint="eastAsia" w:ascii="黑体" w:hAnsi="黑体" w:eastAsia="黑体"/>
          <w:color w:val="auto"/>
          <w:sz w:val="28"/>
          <w:szCs w:val="28"/>
          <w:highlight w:val="none"/>
        </w:rPr>
      </w:pPr>
      <w:r>
        <w:rPr>
          <w:rFonts w:ascii="黑体" w:hAnsi="黑体" w:eastAsia="黑体"/>
          <w:color w:val="auto"/>
          <w:sz w:val="28"/>
          <w:szCs w:val="28"/>
          <w:highlight w:val="none"/>
        </w:rPr>
        <w:tab/>
      </w:r>
      <w:r>
        <w:rPr>
          <w:rFonts w:hint="eastAsia" w:ascii="黑体" w:hAnsi="黑体" w:eastAsia="黑体"/>
          <w:color w:val="auto"/>
          <w:sz w:val="28"/>
          <w:szCs w:val="28"/>
          <w:highlight w:val="none"/>
        </w:rPr>
        <w:t>法定代表人授权委托书</w:t>
      </w:r>
      <w:r>
        <w:rPr>
          <w:rFonts w:ascii="黑体" w:hAnsi="黑体" w:eastAsia="黑体"/>
          <w:color w:val="auto"/>
          <w:sz w:val="28"/>
          <w:szCs w:val="28"/>
          <w:highlight w:val="none"/>
        </w:rPr>
        <w:tab/>
      </w:r>
    </w:p>
    <w:p w14:paraId="3C70D914">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p>
    <w:p w14:paraId="7CD55BD7">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宜兴市环保集团有限公司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65090FAF">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w:t>
      </w:r>
      <w:r>
        <w:rPr>
          <w:rFonts w:hint="eastAsia" w:ascii="宋体" w:hAnsi="宋体"/>
          <w:bCs/>
          <w:color w:val="auto"/>
          <w:sz w:val="24"/>
          <w:szCs w:val="24"/>
          <w:highlight w:val="none"/>
          <w:lang w:eastAsia="zh-CN"/>
        </w:rPr>
        <w:t>宜兴市环保集团有限公司宜兴市西氿近岸湖体修复工程不可避让论证服务项目</w:t>
      </w:r>
      <w:r>
        <w:rPr>
          <w:rFonts w:hint="eastAsia" w:ascii="宋体" w:hAnsi="宋体"/>
          <w:color w:val="auto"/>
          <w:sz w:val="24"/>
          <w:szCs w:val="21"/>
          <w:highlight w:val="none"/>
          <w:lang w:val="zh-CN"/>
        </w:rPr>
        <w:t>（YXGYJT202510009）的投标、参与开标、谈判、签约等具体工作，并签署全部有关的文件、协议及合同。</w:t>
      </w:r>
    </w:p>
    <w:p w14:paraId="2C651E3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2FDF6B05">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3A9537C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459ABA5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367E9D3E">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6B8B505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7945251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2FACAB9B">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7AEFFBD9">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47A9065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307975</wp:posOffset>
                </wp:positionV>
                <wp:extent cx="2865755" cy="1794510"/>
                <wp:effectExtent l="4445" t="4445" r="10160" b="14605"/>
                <wp:wrapNone/>
                <wp:docPr id="5" name="文本框 5"/>
                <wp:cNvGraphicFramePr/>
                <a:graphic xmlns:a="http://schemas.openxmlformats.org/drawingml/2006/main">
                  <a:graphicData uri="http://schemas.microsoft.com/office/word/2010/wordprocessingShape">
                    <wps:wsp>
                      <wps:cNvSpPr txBox="1"/>
                      <wps:spPr>
                        <a:xfrm>
                          <a:off x="0" y="0"/>
                          <a:ext cx="2865755" cy="1794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6.1pt;margin-top:24.25pt;height:141.3pt;width:225.65pt;z-index:251661312;mso-width-relative:page;mso-height-relative:page;" fillcolor="#FFFFFF" filled="t" stroked="t" coordsize="21600,21600" o:gfxdata="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8LyptoAAAAKAQAADwAAAAAAAAAB&#10;ACAAAAAiAAAAZHJzL2Rvd25yZXYueG1sUEsBAhQAFAAAAAgAh07iQJe1f38OAgAANwQAAA4AAAAA&#10;AAAAAQAgAAAAKQEAAGRycy9lMm9Eb2MueG1sUEsFBgAAAAAGAAYAWQEAAKkFAAAAAA==&#10;">
                <v:fill on="t" focussize="0,0"/>
                <v:stroke color="#000000" joinstyle="miter"/>
                <v:imagedata o:title=""/>
                <o:lock v:ext="edit" aspectratio="f"/>
                <v:textbo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3065780</wp:posOffset>
                </wp:positionH>
                <wp:positionV relativeFrom="paragraph">
                  <wp:posOffset>327025</wp:posOffset>
                </wp:positionV>
                <wp:extent cx="2836545" cy="1736725"/>
                <wp:effectExtent l="4445" t="4445" r="8890" b="11430"/>
                <wp:wrapNone/>
                <wp:docPr id="1" name="文本框 1"/>
                <wp:cNvGraphicFramePr/>
                <a:graphic xmlns:a="http://schemas.openxmlformats.org/drawingml/2006/main">
                  <a:graphicData uri="http://schemas.microsoft.com/office/word/2010/wordprocessingShape">
                    <wps:wsp>
                      <wps:cNvSpPr txBox="1"/>
                      <wps:spPr>
                        <a:xfrm>
                          <a:off x="0" y="0"/>
                          <a:ext cx="283654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1.4pt;margin-top:25.75pt;height:136.75pt;width:223.35pt;z-index:251662336;mso-width-relative:page;mso-height-relative:page;" fillcolor="#FFFFFF" filled="t" stroked="t" coordsize="21600,21600" o:gfxdata="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irs3toAAAAKAQAADwAAAAAAAAABACAA&#10;AAAiAAAAZHJzL2Rvd25yZXYueG1sUEsBAhQAFAAAAAgAh07iQOQbZYYLAgAANwQAAA4AAAAAAAAA&#10;AQAgAAAAKQEAAGRycy9lMm9Eb2MueG1sUEsFBgAAAAAGAAYAWQEAAKYFAAAAAA==&#10;">
                <v:fill on="t" focussize="0,0"/>
                <v:stroke color="#000000" joinstyle="miter"/>
                <v:imagedata o:title=""/>
                <o:lock v:ext="edit" aspectratio="f"/>
                <v:textbo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v:textbox>
              </v:shape>
            </w:pict>
          </mc:Fallback>
        </mc:AlternateContent>
      </w:r>
    </w:p>
    <w:p w14:paraId="61531D0A">
      <w:pPr>
        <w:spacing w:line="360" w:lineRule="auto"/>
        <w:rPr>
          <w:rFonts w:hint="eastAsia" w:ascii="黑体" w:eastAsia="黑体"/>
          <w:bCs/>
          <w:color w:val="auto"/>
          <w:sz w:val="28"/>
          <w:szCs w:val="28"/>
          <w:highlight w:val="none"/>
        </w:rPr>
      </w:pPr>
    </w:p>
    <w:p w14:paraId="6312050F">
      <w:pPr>
        <w:spacing w:line="360" w:lineRule="auto"/>
        <w:rPr>
          <w:rFonts w:hint="eastAsia" w:ascii="黑体" w:eastAsia="黑体"/>
          <w:bCs/>
          <w:color w:val="auto"/>
          <w:sz w:val="28"/>
          <w:szCs w:val="28"/>
          <w:highlight w:val="none"/>
        </w:rPr>
      </w:pPr>
    </w:p>
    <w:p w14:paraId="3125F64E">
      <w:pPr>
        <w:spacing w:line="360" w:lineRule="auto"/>
        <w:jc w:val="center"/>
        <w:rPr>
          <w:rFonts w:hint="eastAsia" w:ascii="黑体" w:eastAsia="黑体"/>
          <w:bCs/>
          <w:color w:val="auto"/>
          <w:sz w:val="28"/>
          <w:szCs w:val="28"/>
          <w:highlight w:val="none"/>
        </w:rPr>
      </w:pPr>
    </w:p>
    <w:p w14:paraId="68A12D85">
      <w:pPr>
        <w:spacing w:before="156" w:beforeLines="50" w:after="156" w:afterLines="50" w:line="480" w:lineRule="auto"/>
        <w:rPr>
          <w:rFonts w:ascii="黑体" w:hAnsi="黑体" w:eastAsia="黑体"/>
          <w:bCs/>
          <w:color w:val="auto"/>
          <w:sz w:val="28"/>
          <w:szCs w:val="24"/>
          <w:highlight w:val="none"/>
        </w:rPr>
      </w:pPr>
    </w:p>
    <w:p w14:paraId="30F27D6E">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投标人为本项目被授权代表在近三个月内（不含投标当月）任意一个月缴纳的社保证明复印件（提供相关主管部门证明或银行代扣证明，法定代表人亲自参加报价的除外）；</w:t>
      </w:r>
    </w:p>
    <w:p w14:paraId="4D718A37">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br w:type="page"/>
      </w:r>
    </w:p>
    <w:p w14:paraId="3EABA12B">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t xml:space="preserve">3、资格性证明材料                                               </w:t>
      </w:r>
    </w:p>
    <w:p w14:paraId="2210971D">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①具有独立承担民事责任的能力：投标人为法人或其他组织的提供营业执照或法人（登记）证书复印件，投标人为自然人的提供自然人身份证复印件； （开标时提供原件或公证件）</w:t>
      </w:r>
    </w:p>
    <w:p w14:paraId="0F234AC6">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1546332C">
      <w:pPr>
        <w:tabs>
          <w:tab w:val="left" w:pos="0"/>
          <w:tab w:val="left" w:pos="2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③投标人依法缴纳近十二个月中任意一个月份税收的相关材料（提供相关主管部门证明或银行代扣证明）复印件；</w:t>
      </w:r>
    </w:p>
    <w:p w14:paraId="079C7A91">
      <w:pPr>
        <w:tabs>
          <w:tab w:val="left" w:pos="0"/>
          <w:tab w:val="left" w:pos="2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④投标人依法缴纳近十二个月中任意一个月份社会保障资金的相关材料（提供相关主管部门证明或银行代扣证明）复印件；</w:t>
      </w:r>
    </w:p>
    <w:p w14:paraId="72F8B170">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⑤投标人为本项目被授权代表在近三个月内（不含投标当月）任意一个月缴纳的社保证明复印件（提供相关主管部门证明或银行代扣证明，法定代表人亲自参加报价的除外）；</w:t>
      </w:r>
    </w:p>
    <w:p w14:paraId="26A4200F">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⑥投标保证金交纳证明复印件（银行转账记录）；</w:t>
      </w:r>
    </w:p>
    <w:p w14:paraId="69D53F50">
      <w:pPr>
        <w:tabs>
          <w:tab w:val="left" w:pos="0"/>
          <w:tab w:val="left" w:pos="255"/>
        </w:tabs>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⑦良好的信用记录：未被“信用中国”网站列入失信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bCs/>
          <w:color w:val="auto"/>
          <w:sz w:val="24"/>
          <w:szCs w:val="24"/>
          <w:highlight w:val="none"/>
        </w:rPr>
        <w:t>（</w:t>
      </w:r>
      <w:r>
        <w:rPr>
          <w:rFonts w:ascii="宋体" w:hAnsi="宋体" w:cs="宋体"/>
          <w:b/>
          <w:bCs/>
          <w:color w:val="auto"/>
          <w:sz w:val="24"/>
          <w:szCs w:val="24"/>
          <w:highlight w:val="none"/>
        </w:rPr>
        <w:t>若投标人企业信息已录入以上网站的，</w:t>
      </w:r>
      <w:r>
        <w:rPr>
          <w:rFonts w:hint="eastAsia" w:ascii="宋体" w:hAnsi="宋体" w:cs="宋体"/>
          <w:b/>
          <w:bCs/>
          <w:color w:val="auto"/>
          <w:sz w:val="24"/>
          <w:szCs w:val="24"/>
          <w:highlight w:val="none"/>
        </w:rPr>
        <w:t>无需提供相关证明材料</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若投标人企业信息</w:t>
      </w:r>
      <w:r>
        <w:rPr>
          <w:rFonts w:ascii="宋体" w:hAnsi="宋体" w:cs="宋体"/>
          <w:b/>
          <w:bCs/>
          <w:color w:val="auto"/>
          <w:sz w:val="24"/>
          <w:szCs w:val="24"/>
          <w:highlight w:val="none"/>
        </w:rPr>
        <w:t>未</w:t>
      </w:r>
      <w:r>
        <w:rPr>
          <w:rFonts w:hint="eastAsia" w:ascii="宋体" w:hAnsi="宋体" w:cs="宋体"/>
          <w:b/>
          <w:bCs/>
          <w:color w:val="auto"/>
          <w:sz w:val="24"/>
          <w:szCs w:val="24"/>
          <w:highlight w:val="none"/>
        </w:rPr>
        <w:t>录入以上网站的，须在投标文件中提供</w:t>
      </w:r>
      <w:r>
        <w:rPr>
          <w:rFonts w:ascii="宋体" w:hAnsi="宋体" w:cs="宋体"/>
          <w:b/>
          <w:bCs/>
          <w:color w:val="auto"/>
          <w:sz w:val="24"/>
          <w:szCs w:val="24"/>
          <w:highlight w:val="none"/>
        </w:rPr>
        <w:t>无不良信用记录</w:t>
      </w:r>
      <w:r>
        <w:rPr>
          <w:rFonts w:hint="eastAsia" w:ascii="宋体" w:hAnsi="宋体" w:cs="宋体"/>
          <w:b/>
          <w:bCs/>
          <w:color w:val="auto"/>
          <w:sz w:val="24"/>
          <w:szCs w:val="24"/>
          <w:highlight w:val="none"/>
        </w:rPr>
        <w:t>承诺</w:t>
      </w:r>
      <w:r>
        <w:rPr>
          <w:rFonts w:ascii="宋体" w:hAnsi="宋体" w:cs="宋体"/>
          <w:b/>
          <w:bCs/>
          <w:color w:val="auto"/>
          <w:sz w:val="24"/>
          <w:szCs w:val="24"/>
          <w:highlight w:val="none"/>
        </w:rPr>
        <w:t>书</w:t>
      </w:r>
      <w:r>
        <w:rPr>
          <w:rFonts w:hint="eastAsia" w:ascii="宋体" w:hAnsi="宋体" w:cs="宋体"/>
          <w:b/>
          <w:bCs/>
          <w:color w:val="auto"/>
          <w:sz w:val="24"/>
          <w:szCs w:val="24"/>
          <w:highlight w:val="none"/>
        </w:rPr>
        <w:t>）</w:t>
      </w:r>
    </w:p>
    <w:p w14:paraId="24657394">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08705AF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投标人签章：</w:t>
      </w:r>
      <w:bookmarkEnd w:id="91"/>
    </w:p>
    <w:p w14:paraId="73D94C1B">
      <w:pPr>
        <w:spacing w:line="360" w:lineRule="auto"/>
        <w:jc w:val="center"/>
        <w:rPr>
          <w:rFonts w:hint="eastAsia" w:ascii="宋体" w:hAnsi="宋体"/>
          <w:bCs/>
          <w:color w:val="auto"/>
          <w:sz w:val="24"/>
          <w:highlight w:val="none"/>
          <w:lang w:val="zh-CN"/>
        </w:rPr>
      </w:pPr>
    </w:p>
    <w:p w14:paraId="14BBCB35">
      <w:pPr>
        <w:spacing w:line="360" w:lineRule="auto"/>
        <w:jc w:val="center"/>
        <w:rPr>
          <w:rFonts w:hint="eastAsia" w:ascii="宋体" w:hAnsi="宋体"/>
          <w:bCs/>
          <w:color w:val="auto"/>
          <w:sz w:val="24"/>
          <w:highlight w:val="none"/>
          <w:lang w:val="zh-CN"/>
        </w:rPr>
      </w:pPr>
    </w:p>
    <w:p w14:paraId="0B00B742">
      <w:pPr>
        <w:spacing w:line="360" w:lineRule="auto"/>
        <w:jc w:val="center"/>
        <w:rPr>
          <w:rFonts w:hint="eastAsia" w:ascii="宋体" w:hAnsi="宋体"/>
          <w:bCs/>
          <w:color w:val="auto"/>
          <w:sz w:val="24"/>
          <w:highlight w:val="none"/>
          <w:lang w:val="zh-CN"/>
        </w:rPr>
      </w:pPr>
    </w:p>
    <w:p w14:paraId="6939D1AA">
      <w:pPr>
        <w:spacing w:line="360" w:lineRule="auto"/>
        <w:jc w:val="center"/>
        <w:rPr>
          <w:rFonts w:hint="eastAsia" w:ascii="宋体" w:hAnsi="宋体"/>
          <w:bCs/>
          <w:color w:val="auto"/>
          <w:sz w:val="24"/>
          <w:highlight w:val="none"/>
          <w:lang w:val="zh-CN"/>
        </w:rPr>
      </w:pPr>
    </w:p>
    <w:p w14:paraId="0873BFF4">
      <w:pPr>
        <w:spacing w:line="360" w:lineRule="auto"/>
        <w:jc w:val="center"/>
        <w:rPr>
          <w:rFonts w:hint="eastAsia" w:ascii="宋体" w:hAnsi="宋体"/>
          <w:bCs/>
          <w:color w:val="auto"/>
          <w:sz w:val="24"/>
          <w:highlight w:val="none"/>
          <w:lang w:val="zh-CN"/>
        </w:rPr>
      </w:pPr>
    </w:p>
    <w:p w14:paraId="7FA906B2">
      <w:pPr>
        <w:spacing w:line="360" w:lineRule="auto"/>
        <w:jc w:val="center"/>
        <w:rPr>
          <w:rFonts w:hint="eastAsia" w:ascii="宋体" w:hAnsi="宋体"/>
          <w:bCs/>
          <w:color w:val="auto"/>
          <w:sz w:val="24"/>
          <w:highlight w:val="none"/>
          <w:lang w:val="zh-CN"/>
        </w:rPr>
      </w:pPr>
    </w:p>
    <w:p w14:paraId="547885BC">
      <w:pPr>
        <w:spacing w:line="360" w:lineRule="auto"/>
        <w:jc w:val="center"/>
        <w:rPr>
          <w:rFonts w:hint="eastAsia" w:ascii="宋体" w:hAnsi="宋体"/>
          <w:bCs/>
          <w:color w:val="auto"/>
          <w:sz w:val="24"/>
          <w:highlight w:val="none"/>
          <w:lang w:val="zh-CN"/>
        </w:rPr>
      </w:pPr>
    </w:p>
    <w:p w14:paraId="6BCA211A">
      <w:pPr>
        <w:tabs>
          <w:tab w:val="left" w:pos="0"/>
          <w:tab w:val="left" w:pos="255"/>
        </w:tabs>
        <w:spacing w:line="360" w:lineRule="auto"/>
        <w:rPr>
          <w:rFonts w:hint="eastAsia" w:ascii="宋体" w:hAnsi="宋体"/>
          <w:color w:val="auto"/>
          <w:sz w:val="24"/>
          <w:szCs w:val="21"/>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四</w:t>
      </w: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rPr>
        <w:t>技术商务部分评分导读表（格式）</w:t>
      </w:r>
    </w:p>
    <w:p w14:paraId="13DD4650">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2D742A73">
      <w:pPr>
        <w:spacing w:after="156" w:afterLines="50"/>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1"/>
          <w:highlight w:val="none"/>
          <w:lang w:val="zh-CN"/>
        </w:rPr>
        <w:t>宜兴市西氿近岸湖体修复工程不可避让论证服务项目</w:t>
      </w:r>
      <w:r>
        <w:rPr>
          <w:rFonts w:hint="eastAsia" w:ascii="宋体" w:hAnsi="宋体"/>
          <w:color w:val="auto"/>
          <w:sz w:val="24"/>
          <w:szCs w:val="24"/>
          <w:highlight w:val="none"/>
        </w:rPr>
        <w:t xml:space="preserve">                                     </w:t>
      </w:r>
    </w:p>
    <w:p w14:paraId="600E0CF1">
      <w:pPr>
        <w:spacing w:after="156" w:afterLines="50"/>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YXGYJT202510009</w:t>
      </w:r>
      <w:r>
        <w:rPr>
          <w:rFonts w:hint="eastAsia" w:ascii="宋体" w:hAnsi="宋体"/>
          <w:color w:val="auto"/>
          <w:sz w:val="24"/>
          <w:szCs w:val="21"/>
          <w:highlight w:val="none"/>
          <w:lang w:val="zh-CN"/>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23"/>
        <w:gridCol w:w="4494"/>
        <w:gridCol w:w="1252"/>
        <w:gridCol w:w="1252"/>
      </w:tblGrid>
      <w:tr w14:paraId="1945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6DBA62DA">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23" w:type="dxa"/>
            <w:tcBorders>
              <w:top w:val="single" w:color="auto" w:sz="4" w:space="0"/>
              <w:left w:val="single" w:color="auto" w:sz="4" w:space="0"/>
              <w:right w:val="single" w:color="auto" w:sz="4" w:space="0"/>
            </w:tcBorders>
            <w:noWrap w:val="0"/>
            <w:vAlign w:val="center"/>
          </w:tcPr>
          <w:p w14:paraId="309C2C79">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4494" w:type="dxa"/>
            <w:tcBorders>
              <w:top w:val="single" w:color="auto" w:sz="4" w:space="0"/>
              <w:left w:val="single" w:color="auto" w:sz="4" w:space="0"/>
              <w:bottom w:val="single" w:color="auto" w:sz="4" w:space="0"/>
              <w:right w:val="single" w:color="auto" w:sz="4" w:space="0"/>
            </w:tcBorders>
            <w:noWrap w:val="0"/>
            <w:vAlign w:val="center"/>
          </w:tcPr>
          <w:p w14:paraId="27EA6268">
            <w:pPr>
              <w:jc w:val="center"/>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2B6095">
            <w:pPr>
              <w:jc w:val="center"/>
              <w:rPr>
                <w:rFonts w:hint="eastAsia" w:ascii="宋体" w:hAnsi="宋体"/>
                <w:color w:val="auto"/>
                <w:sz w:val="24"/>
                <w:szCs w:val="24"/>
                <w:highlight w:val="none"/>
              </w:rPr>
            </w:pPr>
            <w:r>
              <w:rPr>
                <w:rFonts w:hint="eastAsia" w:ascii="宋体" w:hAnsi="宋体"/>
                <w:color w:val="auto"/>
                <w:sz w:val="24"/>
                <w:szCs w:val="24"/>
                <w:highlight w:val="none"/>
              </w:rPr>
              <w:t>自评分</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C2EE75E">
            <w:pPr>
              <w:jc w:val="center"/>
              <w:rPr>
                <w:rFonts w:hint="eastAsia" w:ascii="宋体" w:hAnsi="宋体"/>
                <w:color w:val="auto"/>
                <w:sz w:val="24"/>
                <w:szCs w:val="24"/>
                <w:highlight w:val="none"/>
              </w:rPr>
            </w:pPr>
            <w:r>
              <w:rPr>
                <w:rFonts w:hint="eastAsia" w:ascii="宋体" w:hAnsi="宋体"/>
                <w:color w:val="auto"/>
                <w:sz w:val="24"/>
                <w:szCs w:val="24"/>
                <w:highlight w:val="none"/>
              </w:rPr>
              <w:t>投标文件对应页码</w:t>
            </w:r>
          </w:p>
        </w:tc>
      </w:tr>
      <w:tr w14:paraId="13C5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4B1449DB">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123" w:type="dxa"/>
            <w:tcBorders>
              <w:top w:val="single" w:color="auto" w:sz="4" w:space="0"/>
              <w:left w:val="single" w:color="auto" w:sz="4" w:space="0"/>
              <w:right w:val="single" w:color="auto" w:sz="4" w:space="0"/>
            </w:tcBorders>
            <w:noWrap w:val="0"/>
            <w:vAlign w:val="center"/>
          </w:tcPr>
          <w:p w14:paraId="1AAB227E">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6F00DC0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7339A2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9DFBD81">
            <w:pPr>
              <w:jc w:val="center"/>
              <w:rPr>
                <w:rFonts w:hint="eastAsia" w:ascii="宋体" w:hAnsi="宋体"/>
                <w:color w:val="auto"/>
                <w:sz w:val="24"/>
                <w:szCs w:val="24"/>
                <w:highlight w:val="none"/>
              </w:rPr>
            </w:pPr>
          </w:p>
        </w:tc>
      </w:tr>
      <w:tr w14:paraId="38C0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DAD0F56">
            <w:pPr>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123" w:type="dxa"/>
            <w:tcBorders>
              <w:top w:val="single" w:color="auto" w:sz="4" w:space="0"/>
              <w:left w:val="single" w:color="auto" w:sz="4" w:space="0"/>
              <w:right w:val="single" w:color="auto" w:sz="4" w:space="0"/>
            </w:tcBorders>
            <w:noWrap w:val="0"/>
            <w:vAlign w:val="center"/>
          </w:tcPr>
          <w:p w14:paraId="4081E352">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2379649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A9B7914">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F2595C5">
            <w:pPr>
              <w:jc w:val="center"/>
              <w:rPr>
                <w:rFonts w:hint="eastAsia" w:ascii="宋体" w:hAnsi="宋体"/>
                <w:color w:val="auto"/>
                <w:sz w:val="24"/>
                <w:szCs w:val="24"/>
                <w:highlight w:val="none"/>
              </w:rPr>
            </w:pPr>
          </w:p>
        </w:tc>
      </w:tr>
      <w:tr w14:paraId="25A2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AA93FE3">
            <w:pPr>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123" w:type="dxa"/>
            <w:tcBorders>
              <w:top w:val="single" w:color="auto" w:sz="4" w:space="0"/>
              <w:left w:val="single" w:color="auto" w:sz="4" w:space="0"/>
              <w:right w:val="single" w:color="auto" w:sz="4" w:space="0"/>
            </w:tcBorders>
            <w:noWrap w:val="0"/>
            <w:vAlign w:val="center"/>
          </w:tcPr>
          <w:p w14:paraId="5F1014FB">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663DC5E8">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B2CF32F">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497F272">
            <w:pPr>
              <w:jc w:val="center"/>
              <w:rPr>
                <w:rFonts w:hint="eastAsia" w:ascii="宋体" w:hAnsi="宋体"/>
                <w:color w:val="auto"/>
                <w:sz w:val="24"/>
                <w:szCs w:val="24"/>
                <w:highlight w:val="none"/>
              </w:rPr>
            </w:pPr>
          </w:p>
        </w:tc>
      </w:tr>
    </w:tbl>
    <w:p w14:paraId="22616E16">
      <w:pPr>
        <w:spacing w:line="360" w:lineRule="auto"/>
        <w:ind w:left="5460" w:hanging="5460" w:hangingChars="2275"/>
        <w:jc w:val="center"/>
        <w:rPr>
          <w:rFonts w:hint="eastAsia" w:ascii="宋体" w:hAnsi="宋体"/>
          <w:bCs/>
          <w:color w:val="auto"/>
          <w:sz w:val="24"/>
          <w:highlight w:val="none"/>
          <w:lang w:val="zh-CN"/>
        </w:rPr>
      </w:pPr>
    </w:p>
    <w:p w14:paraId="5487004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0DDFD39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F500A3B">
      <w:pPr>
        <w:spacing w:line="580" w:lineRule="exact"/>
        <w:ind w:firstLine="480" w:firstLineChars="200"/>
        <w:rPr>
          <w:rFonts w:hint="eastAsia" w:ascii="宋体" w:hAnsi="宋体"/>
          <w:bCs/>
          <w:color w:val="auto"/>
          <w:sz w:val="24"/>
          <w:szCs w:val="24"/>
          <w:highlight w:val="none"/>
          <w:lang w:val="zh-CN"/>
        </w:rPr>
      </w:pPr>
    </w:p>
    <w:p w14:paraId="7160B282">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rPr>
        <w:t>四</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14F8E212">
      <w:pPr>
        <w:spacing w:line="580" w:lineRule="exact"/>
        <w:rPr>
          <w:rFonts w:hint="eastAsia" w:ascii="黑体" w:hAnsi="宋体" w:eastAsia="黑体"/>
          <w:bCs/>
          <w:color w:val="auto"/>
          <w:sz w:val="24"/>
          <w:szCs w:val="24"/>
          <w:highlight w:val="none"/>
          <w:lang w:val="zh-CN"/>
        </w:rPr>
      </w:pPr>
    </w:p>
    <w:p w14:paraId="763317F7">
      <w:pPr>
        <w:spacing w:line="580" w:lineRule="exact"/>
        <w:rPr>
          <w:rFonts w:hint="eastAsia" w:ascii="黑体" w:hAnsi="宋体" w:eastAsia="黑体"/>
          <w:bCs/>
          <w:color w:val="auto"/>
          <w:sz w:val="24"/>
          <w:szCs w:val="24"/>
          <w:highlight w:val="none"/>
          <w:lang w:val="zh-CN"/>
        </w:rPr>
      </w:pPr>
    </w:p>
    <w:p w14:paraId="460CF226">
      <w:pPr>
        <w:pStyle w:val="8"/>
        <w:ind w:left="900" w:hanging="480"/>
        <w:rPr>
          <w:rFonts w:hint="eastAsia" w:ascii="黑体" w:hAnsi="宋体" w:eastAsia="黑体"/>
          <w:bCs/>
          <w:color w:val="auto"/>
          <w:sz w:val="24"/>
          <w:szCs w:val="24"/>
          <w:highlight w:val="none"/>
          <w:lang w:val="zh-CN"/>
        </w:rPr>
      </w:pPr>
    </w:p>
    <w:p w14:paraId="0FF72B25">
      <w:pPr>
        <w:rPr>
          <w:rFonts w:hint="eastAsia" w:ascii="黑体" w:hAnsi="宋体" w:eastAsia="黑体"/>
          <w:bCs/>
          <w:color w:val="auto"/>
          <w:sz w:val="24"/>
          <w:szCs w:val="24"/>
          <w:highlight w:val="none"/>
          <w:lang w:val="zh-CN"/>
        </w:rPr>
      </w:pPr>
    </w:p>
    <w:p w14:paraId="02E8C484">
      <w:pPr>
        <w:pStyle w:val="8"/>
        <w:ind w:left="900" w:hanging="480"/>
        <w:rPr>
          <w:rFonts w:hint="eastAsia" w:ascii="黑体" w:hAnsi="宋体" w:eastAsia="黑体"/>
          <w:bCs/>
          <w:color w:val="auto"/>
          <w:sz w:val="24"/>
          <w:szCs w:val="24"/>
          <w:highlight w:val="none"/>
          <w:lang w:val="zh-CN"/>
        </w:rPr>
      </w:pPr>
    </w:p>
    <w:p w14:paraId="5E92F622">
      <w:pPr>
        <w:rPr>
          <w:rFonts w:hint="eastAsia" w:ascii="黑体" w:hAnsi="宋体" w:eastAsia="黑体"/>
          <w:bCs/>
          <w:color w:val="auto"/>
          <w:sz w:val="24"/>
          <w:szCs w:val="24"/>
          <w:highlight w:val="none"/>
          <w:lang w:val="zh-CN"/>
        </w:rPr>
      </w:pPr>
    </w:p>
    <w:p w14:paraId="202746EB">
      <w:pPr>
        <w:pStyle w:val="8"/>
        <w:ind w:left="900" w:hanging="480"/>
        <w:rPr>
          <w:rFonts w:hint="eastAsia" w:ascii="黑体" w:hAnsi="宋体" w:eastAsia="黑体"/>
          <w:bCs/>
          <w:color w:val="auto"/>
          <w:sz w:val="24"/>
          <w:szCs w:val="24"/>
          <w:highlight w:val="none"/>
          <w:lang w:val="zh-CN"/>
        </w:rPr>
      </w:pPr>
    </w:p>
    <w:p w14:paraId="43392562">
      <w:pPr>
        <w:rPr>
          <w:rFonts w:hint="eastAsia" w:ascii="黑体" w:hAnsi="宋体" w:eastAsia="黑体"/>
          <w:bCs/>
          <w:color w:val="auto"/>
          <w:sz w:val="24"/>
          <w:szCs w:val="24"/>
          <w:highlight w:val="none"/>
          <w:lang w:val="zh-CN"/>
        </w:rPr>
      </w:pPr>
    </w:p>
    <w:p w14:paraId="470E2D19">
      <w:pPr>
        <w:pStyle w:val="8"/>
        <w:ind w:left="900" w:hanging="480"/>
        <w:rPr>
          <w:rFonts w:hint="eastAsia" w:ascii="黑体" w:hAnsi="宋体" w:eastAsia="黑体"/>
          <w:bCs/>
          <w:color w:val="auto"/>
          <w:sz w:val="24"/>
          <w:szCs w:val="24"/>
          <w:highlight w:val="none"/>
          <w:lang w:val="zh-CN"/>
        </w:rPr>
      </w:pPr>
    </w:p>
    <w:p w14:paraId="178CFD40">
      <w:pPr>
        <w:spacing w:line="580" w:lineRule="exact"/>
        <w:rPr>
          <w:rFonts w:hint="eastAsia" w:ascii="宋体" w:hAnsi="宋体"/>
          <w:color w:val="auto"/>
          <w:sz w:val="24"/>
          <w:szCs w:val="21"/>
          <w:highlight w:val="none"/>
          <w:lang w:val="zh-CN"/>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zh-CN"/>
        </w:rPr>
        <w:t>项目人员配置清单（格式）</w:t>
      </w:r>
    </w:p>
    <w:p w14:paraId="0BE5592C">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项目人员配置清单</w:t>
      </w:r>
    </w:p>
    <w:p w14:paraId="428B62F0">
      <w:pPr>
        <w:tabs>
          <w:tab w:val="left" w:pos="255"/>
        </w:tabs>
        <w:spacing w:line="360" w:lineRule="auto"/>
        <w:rPr>
          <w:rFonts w:hint="eastAsia" w:ascii="宋体" w:hAnsi="宋体"/>
          <w:bCs/>
          <w:color w:val="auto"/>
          <w:sz w:val="24"/>
          <w:szCs w:val="24"/>
          <w:highlight w:val="none"/>
          <w:lang w:val="zh-CN"/>
        </w:rPr>
      </w:pPr>
      <w:r>
        <w:rPr>
          <w:rFonts w:hint="eastAsia" w:ascii="宋体" w:hAnsi="宋体"/>
          <w:color w:val="auto"/>
          <w:sz w:val="24"/>
          <w:szCs w:val="21"/>
          <w:highlight w:val="none"/>
          <w:lang w:val="zh-CN"/>
        </w:rPr>
        <w:t xml:space="preserve">投标人（签章）：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74"/>
        <w:gridCol w:w="1232"/>
        <w:gridCol w:w="1177"/>
        <w:gridCol w:w="1326"/>
        <w:gridCol w:w="1177"/>
        <w:gridCol w:w="1031"/>
        <w:gridCol w:w="1043"/>
      </w:tblGrid>
      <w:tr w14:paraId="73CC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A51C56F">
            <w:pPr>
              <w:jc w:val="center"/>
              <w:rPr>
                <w:rFonts w:hint="eastAsia"/>
                <w:bCs/>
                <w:color w:val="auto"/>
                <w:sz w:val="24"/>
                <w:highlight w:val="none"/>
              </w:rPr>
            </w:pPr>
            <w:r>
              <w:rPr>
                <w:rFonts w:hint="eastAsia" w:ascii="宋体" w:hAnsi="宋体"/>
                <w:bCs/>
                <w:color w:val="auto"/>
                <w:sz w:val="24"/>
                <w:highlight w:val="none"/>
              </w:rPr>
              <w:t>序号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0D6BB68">
            <w:pPr>
              <w:jc w:val="center"/>
              <w:rPr>
                <w:rFonts w:hint="eastAsia"/>
                <w:bCs/>
                <w:color w:val="auto"/>
                <w:sz w:val="24"/>
                <w:highlight w:val="none"/>
              </w:rPr>
            </w:pPr>
            <w:r>
              <w:rPr>
                <w:rFonts w:hint="eastAsia" w:ascii="宋体" w:hAnsi="宋体"/>
                <w:bCs/>
                <w:color w:val="auto"/>
                <w:sz w:val="24"/>
                <w:highlight w:val="none"/>
              </w:rPr>
              <w:t>姓名</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0B7B305">
            <w:pPr>
              <w:jc w:val="center"/>
              <w:rPr>
                <w:rFonts w:hint="eastAsia"/>
                <w:bCs/>
                <w:color w:val="auto"/>
                <w:sz w:val="24"/>
                <w:highlight w:val="none"/>
              </w:rPr>
            </w:pPr>
            <w:r>
              <w:rPr>
                <w:rFonts w:hint="eastAsia" w:ascii="宋体" w:hAnsi="宋体"/>
                <w:bCs/>
                <w:color w:val="auto"/>
                <w:sz w:val="24"/>
                <w:highlight w:val="none"/>
              </w:rPr>
              <w:t>性别</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644661">
            <w:pPr>
              <w:jc w:val="center"/>
              <w:rPr>
                <w:rFonts w:hint="eastAsia"/>
                <w:bCs/>
                <w:color w:val="auto"/>
                <w:sz w:val="24"/>
                <w:highlight w:val="none"/>
              </w:rPr>
            </w:pPr>
            <w:r>
              <w:rPr>
                <w:rFonts w:hint="eastAsia" w:ascii="宋体" w:hAnsi="宋体"/>
                <w:bCs/>
                <w:color w:val="auto"/>
                <w:sz w:val="24"/>
                <w:highlight w:val="none"/>
              </w:rPr>
              <w:t>年龄</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35B285E">
            <w:pPr>
              <w:jc w:val="center"/>
              <w:rPr>
                <w:rFonts w:hint="eastAsia"/>
                <w:bCs/>
                <w:color w:val="auto"/>
                <w:sz w:val="24"/>
                <w:highlight w:val="none"/>
              </w:rPr>
            </w:pPr>
            <w:r>
              <w:rPr>
                <w:rFonts w:hint="eastAsia" w:ascii="宋体" w:hAnsi="宋体"/>
                <w:bCs/>
                <w:color w:val="auto"/>
                <w:sz w:val="24"/>
                <w:highlight w:val="none"/>
              </w:rPr>
              <w:t>岗位名称</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553631">
            <w:pPr>
              <w:jc w:val="center"/>
              <w:rPr>
                <w:bCs/>
                <w:color w:val="auto"/>
                <w:sz w:val="24"/>
                <w:highlight w:val="none"/>
              </w:rPr>
            </w:pPr>
            <w:r>
              <w:rPr>
                <w:rFonts w:hint="eastAsia" w:ascii="宋体" w:hAnsi="宋体"/>
                <w:bCs/>
                <w:color w:val="auto"/>
                <w:sz w:val="24"/>
                <w:highlight w:val="none"/>
              </w:rPr>
              <w:t>身体状况</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A902F3">
            <w:pPr>
              <w:jc w:val="center"/>
              <w:rPr>
                <w:rFonts w:hint="eastAsia"/>
                <w:bCs/>
                <w:color w:val="auto"/>
                <w:sz w:val="24"/>
                <w:highlight w:val="none"/>
              </w:rPr>
            </w:pPr>
            <w:r>
              <w:rPr>
                <w:rFonts w:hint="eastAsia" w:ascii="宋体" w:hAnsi="宋体"/>
                <w:bCs/>
                <w:color w:val="auto"/>
                <w:sz w:val="24"/>
                <w:highlight w:val="none"/>
              </w:rPr>
              <w:t>是否驻扎现场</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4BBC2D7A">
            <w:pPr>
              <w:jc w:val="center"/>
              <w:rPr>
                <w:bCs/>
                <w:color w:val="auto"/>
                <w:sz w:val="24"/>
                <w:highlight w:val="none"/>
              </w:rPr>
            </w:pPr>
            <w:r>
              <w:rPr>
                <w:rFonts w:hint="eastAsia"/>
                <w:bCs/>
                <w:color w:val="auto"/>
                <w:sz w:val="24"/>
                <w:highlight w:val="none"/>
              </w:rPr>
              <w:t>备注</w:t>
            </w:r>
          </w:p>
        </w:tc>
      </w:tr>
      <w:tr w14:paraId="54BC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B99FEE9">
            <w:pPr>
              <w:jc w:val="center"/>
              <w:rPr>
                <w:rFonts w:hint="eastAsia" w:ascii="宋体" w:hAnsi="宋体"/>
                <w:color w:val="auto"/>
                <w:sz w:val="24"/>
                <w:highlight w:val="none"/>
              </w:rPr>
            </w:pPr>
            <w:r>
              <w:rPr>
                <w:rFonts w:hint="eastAsia" w:ascii="宋体" w:hAnsi="宋体"/>
                <w:color w:val="auto"/>
                <w:sz w:val="24"/>
                <w:highlight w:val="none"/>
              </w:rPr>
              <w:t>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E10ADE">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B8E783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27E558E">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B620D4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6A70E3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10FAE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A9BB82">
            <w:pPr>
              <w:jc w:val="center"/>
              <w:rPr>
                <w:rFonts w:hint="eastAsia" w:ascii="宋体" w:hAnsi="宋体"/>
                <w:color w:val="auto"/>
                <w:sz w:val="24"/>
                <w:highlight w:val="none"/>
              </w:rPr>
            </w:pPr>
          </w:p>
        </w:tc>
      </w:tr>
      <w:tr w14:paraId="2812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5CDEF70">
            <w:pPr>
              <w:jc w:val="center"/>
              <w:rPr>
                <w:rFonts w:hint="eastAsia" w:ascii="宋体" w:hAnsi="宋体"/>
                <w:color w:val="auto"/>
                <w:sz w:val="24"/>
                <w:highlight w:val="none"/>
              </w:rPr>
            </w:pPr>
            <w:r>
              <w:rPr>
                <w:rFonts w:hint="eastAsia" w:ascii="宋体" w:hAnsi="宋体"/>
                <w:color w:val="auto"/>
                <w:sz w:val="24"/>
                <w:highlight w:val="none"/>
              </w:rPr>
              <w:t>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EB4BF89">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8633729">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6A436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055CB9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3E5BF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81F15E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27FC18D">
            <w:pPr>
              <w:jc w:val="center"/>
              <w:rPr>
                <w:rFonts w:hint="eastAsia" w:ascii="宋体" w:hAnsi="宋体"/>
                <w:color w:val="auto"/>
                <w:sz w:val="24"/>
                <w:highlight w:val="none"/>
              </w:rPr>
            </w:pPr>
          </w:p>
        </w:tc>
      </w:tr>
      <w:tr w14:paraId="1D07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7B720B7">
            <w:pPr>
              <w:jc w:val="center"/>
              <w:rPr>
                <w:rFonts w:hint="eastAsia" w:ascii="宋体" w:hAnsi="宋体"/>
                <w:color w:val="auto"/>
                <w:sz w:val="24"/>
                <w:highlight w:val="none"/>
              </w:rPr>
            </w:pPr>
            <w:r>
              <w:rPr>
                <w:rFonts w:hint="eastAsia" w:ascii="宋体" w:hAnsi="宋体"/>
                <w:color w:val="auto"/>
                <w:sz w:val="24"/>
                <w:highlight w:val="none"/>
              </w:rPr>
              <w:t>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4EB624D">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60DF10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A6EBE77">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99BFFE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B050227">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8F3414D">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7CD1EF">
            <w:pPr>
              <w:jc w:val="center"/>
              <w:rPr>
                <w:rFonts w:hint="eastAsia" w:ascii="宋体" w:hAnsi="宋体"/>
                <w:color w:val="auto"/>
                <w:sz w:val="24"/>
                <w:highlight w:val="none"/>
              </w:rPr>
            </w:pPr>
          </w:p>
        </w:tc>
      </w:tr>
      <w:tr w14:paraId="2D7E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439F174">
            <w:pPr>
              <w:jc w:val="center"/>
              <w:rPr>
                <w:rFonts w:hint="eastAsia" w:ascii="宋体" w:hAnsi="宋体"/>
                <w:color w:val="auto"/>
                <w:sz w:val="24"/>
                <w:highlight w:val="none"/>
              </w:rPr>
            </w:pPr>
            <w:r>
              <w:rPr>
                <w:rFonts w:hint="eastAsia" w:ascii="宋体" w:hAnsi="宋体"/>
                <w:color w:val="auto"/>
                <w:sz w:val="24"/>
                <w:highlight w:val="none"/>
              </w:rPr>
              <w:t>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2EDC6B">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B6492A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D069E35">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7B1A583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AA4004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7FC7BDB">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A37CB8C">
            <w:pPr>
              <w:jc w:val="center"/>
              <w:rPr>
                <w:rFonts w:hint="eastAsia" w:ascii="宋体" w:hAnsi="宋体"/>
                <w:color w:val="auto"/>
                <w:sz w:val="24"/>
                <w:highlight w:val="none"/>
              </w:rPr>
            </w:pPr>
          </w:p>
        </w:tc>
      </w:tr>
      <w:tr w14:paraId="1B65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978729E">
            <w:pPr>
              <w:jc w:val="center"/>
              <w:rPr>
                <w:rFonts w:hint="eastAsia" w:ascii="宋体" w:hAnsi="宋体"/>
                <w:color w:val="auto"/>
                <w:sz w:val="24"/>
                <w:highlight w:val="none"/>
              </w:rPr>
            </w:pPr>
            <w:r>
              <w:rPr>
                <w:rFonts w:hint="eastAsia" w:ascii="宋体" w:hAnsi="宋体"/>
                <w:color w:val="auto"/>
                <w:sz w:val="24"/>
                <w:highlight w:val="none"/>
              </w:rPr>
              <w:t>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348DD5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3CAECA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3E07A53">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D3AFEA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F4B52C6">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45807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89572F5">
            <w:pPr>
              <w:jc w:val="center"/>
              <w:rPr>
                <w:rFonts w:hint="eastAsia" w:ascii="宋体" w:hAnsi="宋体"/>
                <w:color w:val="auto"/>
                <w:sz w:val="24"/>
                <w:highlight w:val="none"/>
              </w:rPr>
            </w:pPr>
          </w:p>
        </w:tc>
      </w:tr>
      <w:tr w14:paraId="2E83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77B02A5">
            <w:pPr>
              <w:jc w:val="center"/>
              <w:rPr>
                <w:rFonts w:hint="eastAsia" w:ascii="宋体" w:hAnsi="宋体"/>
                <w:color w:val="auto"/>
                <w:sz w:val="24"/>
                <w:highlight w:val="none"/>
              </w:rPr>
            </w:pPr>
            <w:r>
              <w:rPr>
                <w:rFonts w:hint="eastAsia" w:ascii="宋体" w:hAnsi="宋体"/>
                <w:color w:val="auto"/>
                <w:sz w:val="24"/>
                <w:highlight w:val="none"/>
              </w:rPr>
              <w:t>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183E752">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9363E0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77C92F">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54D559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6A64726">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037141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0965EA4">
            <w:pPr>
              <w:jc w:val="center"/>
              <w:rPr>
                <w:rFonts w:hint="eastAsia" w:ascii="宋体" w:hAnsi="宋体"/>
                <w:color w:val="auto"/>
                <w:sz w:val="24"/>
                <w:highlight w:val="none"/>
              </w:rPr>
            </w:pPr>
          </w:p>
        </w:tc>
      </w:tr>
      <w:tr w14:paraId="602F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3A5991E">
            <w:pPr>
              <w:jc w:val="center"/>
              <w:rPr>
                <w:rFonts w:hint="eastAsia" w:ascii="宋体" w:hAnsi="宋体"/>
                <w:color w:val="auto"/>
                <w:sz w:val="24"/>
                <w:highlight w:val="none"/>
              </w:rPr>
            </w:pPr>
            <w:r>
              <w:rPr>
                <w:rFonts w:hint="eastAsia" w:ascii="宋体" w:hAnsi="宋体"/>
                <w:color w:val="auto"/>
                <w:sz w:val="24"/>
                <w:highlight w:val="none"/>
              </w:rPr>
              <w:t>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6289575">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FB7226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92E89B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544F256">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A492CFC">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247A4E0">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80BE54A">
            <w:pPr>
              <w:jc w:val="center"/>
              <w:rPr>
                <w:rFonts w:hint="eastAsia" w:ascii="宋体" w:hAnsi="宋体"/>
                <w:color w:val="auto"/>
                <w:sz w:val="24"/>
                <w:highlight w:val="none"/>
              </w:rPr>
            </w:pPr>
          </w:p>
        </w:tc>
      </w:tr>
      <w:tr w14:paraId="05EA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2E062B4">
            <w:pPr>
              <w:jc w:val="center"/>
              <w:rPr>
                <w:rFonts w:hint="eastAsia" w:ascii="宋体" w:hAnsi="宋体"/>
                <w:color w:val="auto"/>
                <w:sz w:val="24"/>
                <w:highlight w:val="none"/>
              </w:rPr>
            </w:pPr>
            <w:r>
              <w:rPr>
                <w:rFonts w:hint="eastAsia" w:ascii="宋体" w:hAnsi="宋体"/>
                <w:color w:val="auto"/>
                <w:sz w:val="24"/>
                <w:highlight w:val="none"/>
              </w:rPr>
              <w:t>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40D6973">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1FEE70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FD974CB">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FAA9B2B">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B8ED248">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9F52CCD">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3544918">
            <w:pPr>
              <w:jc w:val="center"/>
              <w:rPr>
                <w:rFonts w:hint="eastAsia" w:ascii="宋体" w:hAnsi="宋体"/>
                <w:color w:val="auto"/>
                <w:sz w:val="24"/>
                <w:highlight w:val="none"/>
              </w:rPr>
            </w:pPr>
          </w:p>
        </w:tc>
      </w:tr>
      <w:tr w14:paraId="1C57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7DE8845">
            <w:pPr>
              <w:jc w:val="center"/>
              <w:rPr>
                <w:rFonts w:hint="eastAsia" w:ascii="宋体" w:hAnsi="宋体"/>
                <w:color w:val="auto"/>
                <w:sz w:val="24"/>
                <w:highlight w:val="none"/>
              </w:rPr>
            </w:pPr>
            <w:r>
              <w:rPr>
                <w:rFonts w:hint="eastAsia" w:ascii="宋体" w:hAnsi="宋体"/>
                <w:color w:val="auto"/>
                <w:sz w:val="24"/>
                <w:highlight w:val="none"/>
              </w:rPr>
              <w:t>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0D81B56">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553DC12">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B73DD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EF854C1">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BCEF1EB">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34F3905">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B63F46E">
            <w:pPr>
              <w:jc w:val="center"/>
              <w:rPr>
                <w:rFonts w:hint="eastAsia" w:ascii="宋体" w:hAnsi="宋体"/>
                <w:color w:val="auto"/>
                <w:sz w:val="24"/>
                <w:highlight w:val="none"/>
              </w:rPr>
            </w:pPr>
          </w:p>
        </w:tc>
      </w:tr>
      <w:tr w14:paraId="4C46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C2BB155">
            <w:pPr>
              <w:jc w:val="center"/>
              <w:rPr>
                <w:rFonts w:hint="eastAsia" w:ascii="宋体" w:hAnsi="宋体"/>
                <w:color w:val="auto"/>
                <w:sz w:val="24"/>
                <w:highlight w:val="none"/>
              </w:rPr>
            </w:pPr>
            <w:r>
              <w:rPr>
                <w:rFonts w:hint="eastAsia" w:ascii="宋体" w:hAnsi="宋体"/>
                <w:color w:val="auto"/>
                <w:sz w:val="24"/>
                <w:highlight w:val="none"/>
              </w:rPr>
              <w:t>10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459656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7815C7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ADCC6D9">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65DE5B2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7812B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0E69FD2">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011DDC9">
            <w:pPr>
              <w:jc w:val="center"/>
              <w:rPr>
                <w:rFonts w:hint="eastAsia" w:ascii="宋体" w:hAnsi="宋体"/>
                <w:color w:val="auto"/>
                <w:sz w:val="24"/>
                <w:highlight w:val="none"/>
              </w:rPr>
            </w:pPr>
          </w:p>
        </w:tc>
      </w:tr>
      <w:tr w14:paraId="0C84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1E74328B">
            <w:pPr>
              <w:jc w:val="center"/>
              <w:rPr>
                <w:rFonts w:hint="eastAsia"/>
                <w:color w:val="auto"/>
                <w:sz w:val="24"/>
                <w:highlight w:val="none"/>
              </w:rPr>
            </w:pPr>
            <w:r>
              <w:rPr>
                <w:rFonts w:hint="eastAsia"/>
                <w:color w:val="auto"/>
                <w:sz w:val="24"/>
                <w:highlight w:val="none"/>
              </w:rPr>
              <w:t>…</w:t>
            </w:r>
            <w:r>
              <w:rPr>
                <w:rFonts w:hint="eastAsia" w:ascii="宋体" w:hAnsi="宋体"/>
                <w:color w:val="auto"/>
                <w:sz w:val="24"/>
                <w:highlight w:val="none"/>
              </w:rPr>
              <w:t xml:space="preserve"> </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35BE96D">
            <w:pPr>
              <w:jc w:val="center"/>
              <w:rPr>
                <w:rFonts w:hint="eastAsia"/>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EC98EE9">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B48CE17">
            <w:pPr>
              <w:jc w:val="center"/>
              <w:rPr>
                <w:rFonts w:hint="eastAsia"/>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88509C9">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EDFB892">
            <w:pPr>
              <w:jc w:val="center"/>
              <w:rPr>
                <w:rFonts w:hint="eastAsia"/>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098B250">
            <w:pPr>
              <w:jc w:val="center"/>
              <w:rPr>
                <w:rFonts w:hint="eastAsia"/>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55C8B23">
            <w:pPr>
              <w:jc w:val="center"/>
              <w:rPr>
                <w:rFonts w:hint="eastAsia"/>
                <w:color w:val="auto"/>
                <w:sz w:val="24"/>
                <w:highlight w:val="none"/>
              </w:rPr>
            </w:pPr>
          </w:p>
        </w:tc>
      </w:tr>
    </w:tbl>
    <w:p w14:paraId="49BC6120">
      <w:pPr>
        <w:tabs>
          <w:tab w:val="left" w:pos="255"/>
        </w:tabs>
        <w:spacing w:line="360" w:lineRule="auto"/>
        <w:ind w:left="840" w:leftChars="400"/>
        <w:rPr>
          <w:rFonts w:hint="eastAsia" w:ascii="宋体" w:hAnsi="宋体"/>
          <w:bCs/>
          <w:color w:val="auto"/>
          <w:sz w:val="24"/>
          <w:szCs w:val="24"/>
          <w:highlight w:val="none"/>
          <w:lang w:val="zh-CN"/>
        </w:rPr>
      </w:pPr>
    </w:p>
    <w:p w14:paraId="4C488C59">
      <w:pPr>
        <w:rPr>
          <w:rFonts w:hint="eastAsia"/>
          <w:color w:val="auto"/>
          <w:highlight w:val="none"/>
        </w:rPr>
      </w:pPr>
      <w:r>
        <w:rPr>
          <w:rFonts w:hint="eastAsia" w:ascii="宋体" w:hAnsi="宋体"/>
          <w:color w:val="auto"/>
          <w:highlight w:val="none"/>
        </w:rPr>
        <w:t>注：1.表格不够可自行延长。</w:t>
      </w:r>
    </w:p>
    <w:p w14:paraId="0E760520">
      <w:pPr>
        <w:ind w:firstLine="367" w:firstLineChars="175"/>
        <w:rPr>
          <w:rFonts w:hint="eastAsia" w:ascii="宋体" w:hAnsi="宋体"/>
          <w:color w:val="auto"/>
          <w:highlight w:val="none"/>
        </w:rPr>
      </w:pPr>
      <w:r>
        <w:rPr>
          <w:rFonts w:hint="eastAsia" w:ascii="宋体" w:hAnsi="宋体"/>
          <w:color w:val="auto"/>
          <w:highlight w:val="none"/>
        </w:rPr>
        <w:t>2.上表内容须按招标文件要求提供经社保部门确认的社保缴纳名单复印件（标注各人员所处位置）和相关证书复印件作为填列证明材料，证明材料请附在本表之后。</w:t>
      </w:r>
    </w:p>
    <w:p w14:paraId="6C428832">
      <w:pPr>
        <w:ind w:firstLine="367" w:firstLineChars="175"/>
        <w:rPr>
          <w:rFonts w:ascii="黑体" w:hAnsi="宋体" w:eastAsia="黑体"/>
          <w:color w:val="auto"/>
          <w:sz w:val="24"/>
          <w:highlight w:val="none"/>
        </w:rPr>
      </w:pPr>
      <w:r>
        <w:rPr>
          <w:rFonts w:hint="eastAsia" w:ascii="宋体" w:hAnsi="宋体"/>
          <w:color w:val="auto"/>
          <w:highlight w:val="none"/>
          <w:lang w:val="en-US" w:eastAsia="zh-CN"/>
        </w:rPr>
        <w:t>3.</w:t>
      </w:r>
      <w:r>
        <w:rPr>
          <w:rFonts w:hint="eastAsia" w:ascii="宋体" w:hAnsi="宋体"/>
          <w:color w:val="auto"/>
          <w:highlight w:val="none"/>
        </w:rPr>
        <w:t>上述</w:t>
      </w:r>
      <w:r>
        <w:rPr>
          <w:rFonts w:hint="eastAsia"/>
          <w:color w:val="auto"/>
          <w:highlight w:val="none"/>
        </w:rPr>
        <w:t>人员如在项目执行过程中需要更换，须经采购人同意。擅自更换或不到位属违约行为。</w:t>
      </w:r>
    </w:p>
    <w:p w14:paraId="5BC1D8ED">
      <w:pPr>
        <w:tabs>
          <w:tab w:val="left" w:pos="255"/>
        </w:tabs>
        <w:spacing w:line="360" w:lineRule="auto"/>
        <w:ind w:left="840" w:leftChars="400"/>
        <w:rPr>
          <w:rFonts w:hint="eastAsia" w:ascii="宋体" w:hAnsi="宋体"/>
          <w:bCs/>
          <w:color w:val="auto"/>
          <w:sz w:val="24"/>
          <w:szCs w:val="24"/>
          <w:highlight w:val="none"/>
          <w:lang w:val="zh-CN"/>
        </w:rPr>
      </w:pPr>
    </w:p>
    <w:p w14:paraId="7EC27C59">
      <w:pPr>
        <w:tabs>
          <w:tab w:val="left" w:pos="255"/>
        </w:tabs>
        <w:spacing w:line="360" w:lineRule="auto"/>
        <w:ind w:left="840" w:leftChars="400"/>
        <w:rPr>
          <w:rFonts w:hint="eastAsia" w:ascii="宋体" w:hAnsi="宋体"/>
          <w:bCs/>
          <w:color w:val="auto"/>
          <w:sz w:val="24"/>
          <w:szCs w:val="24"/>
          <w:highlight w:val="none"/>
          <w:lang w:val="zh-CN"/>
        </w:rPr>
      </w:pPr>
    </w:p>
    <w:p w14:paraId="58647170">
      <w:pPr>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60599C2D">
      <w:pPr>
        <w:tabs>
          <w:tab w:val="left" w:pos="255"/>
        </w:tabs>
        <w:spacing w:line="360" w:lineRule="auto"/>
        <w:jc w:val="left"/>
        <w:rPr>
          <w:rFonts w:hint="eastAsia" w:ascii="黑体" w:hAnsi="宋体" w:eastAsia="黑体"/>
          <w:bCs/>
          <w:color w:val="auto"/>
          <w:sz w:val="24"/>
          <w:szCs w:val="24"/>
          <w:highlight w:val="none"/>
        </w:rPr>
      </w:pPr>
    </w:p>
    <w:p w14:paraId="499C36F5">
      <w:pPr>
        <w:tabs>
          <w:tab w:val="left" w:pos="255"/>
        </w:tabs>
        <w:spacing w:line="360" w:lineRule="auto"/>
        <w:jc w:val="left"/>
        <w:rPr>
          <w:rFonts w:hint="eastAsia" w:ascii="黑体" w:hAnsi="宋体" w:eastAsia="黑体"/>
          <w:bCs/>
          <w:color w:val="auto"/>
          <w:sz w:val="24"/>
          <w:szCs w:val="24"/>
          <w:highlight w:val="none"/>
        </w:rPr>
      </w:pPr>
    </w:p>
    <w:p w14:paraId="354824D0">
      <w:pPr>
        <w:tabs>
          <w:tab w:val="left" w:pos="255"/>
        </w:tabs>
        <w:spacing w:line="360" w:lineRule="auto"/>
        <w:jc w:val="left"/>
        <w:rPr>
          <w:rFonts w:hint="eastAsia" w:ascii="黑体" w:hAnsi="宋体" w:eastAsia="黑体"/>
          <w:bCs/>
          <w:color w:val="auto"/>
          <w:sz w:val="24"/>
          <w:szCs w:val="24"/>
          <w:highlight w:val="none"/>
        </w:rPr>
      </w:pPr>
    </w:p>
    <w:p w14:paraId="459CB093">
      <w:pPr>
        <w:tabs>
          <w:tab w:val="left" w:pos="255"/>
        </w:tabs>
        <w:spacing w:line="360" w:lineRule="auto"/>
        <w:jc w:val="left"/>
        <w:rPr>
          <w:rFonts w:hint="eastAsia" w:ascii="黑体" w:hAnsi="宋体" w:eastAsia="黑体"/>
          <w:bCs/>
          <w:color w:val="auto"/>
          <w:sz w:val="24"/>
          <w:szCs w:val="24"/>
          <w:highlight w:val="none"/>
        </w:rPr>
      </w:pPr>
    </w:p>
    <w:p w14:paraId="7C0A165A">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br w:type="page"/>
      </w:r>
    </w:p>
    <w:p w14:paraId="20717058">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）招标文件“第三章 项目技术要求和有关说明”中要求提供的相关文件、证明材料等（如有自行添加）</w:t>
      </w:r>
    </w:p>
    <w:p w14:paraId="3DCFE01C">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七</w:t>
      </w:r>
      <w:r>
        <w:rPr>
          <w:rFonts w:hint="eastAsia" w:ascii="黑体" w:hAnsi="宋体" w:eastAsia="黑体"/>
          <w:bCs/>
          <w:color w:val="auto"/>
          <w:sz w:val="24"/>
          <w:szCs w:val="24"/>
          <w:highlight w:val="none"/>
          <w:lang w:val="zh-CN"/>
        </w:rPr>
        <w:t>）服务内容的详细说明及服务方案（格式自拟）：</w:t>
      </w:r>
    </w:p>
    <w:p w14:paraId="74E5B719">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八</w:t>
      </w:r>
      <w:r>
        <w:rPr>
          <w:rFonts w:hint="eastAsia" w:ascii="黑体" w:hAnsi="宋体" w:eastAsia="黑体"/>
          <w:bCs/>
          <w:color w:val="auto"/>
          <w:sz w:val="24"/>
          <w:szCs w:val="24"/>
          <w:highlight w:val="none"/>
        </w:rPr>
        <w:t>）要求采购人提供的配合（如有自拟并自行添加）</w:t>
      </w:r>
    </w:p>
    <w:p w14:paraId="551ACF0E">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九</w:t>
      </w:r>
      <w:r>
        <w:rPr>
          <w:rFonts w:hint="eastAsia" w:ascii="黑体" w:hAnsi="宋体" w:eastAsia="黑体"/>
          <w:bCs/>
          <w:color w:val="auto"/>
          <w:sz w:val="24"/>
          <w:szCs w:val="24"/>
          <w:highlight w:val="none"/>
        </w:rPr>
        <w:t>）其他（投标人认为有必要提供的声明和文件，如有自拟并自行添加）</w:t>
      </w:r>
    </w:p>
    <w:p w14:paraId="2C0593A0">
      <w:pPr>
        <w:rPr>
          <w:rFonts w:hint="eastAsia" w:ascii="黑体" w:hAnsi="宋体" w:eastAsia="黑体"/>
          <w:color w:val="auto"/>
          <w:sz w:val="32"/>
          <w:szCs w:val="32"/>
          <w:highlight w:val="none"/>
        </w:rPr>
      </w:pPr>
    </w:p>
    <w:p w14:paraId="5A80C6F0">
      <w:pPr>
        <w:rPr>
          <w:rFonts w:hint="eastAsia" w:ascii="黑体" w:hAnsi="宋体" w:eastAsia="黑体"/>
          <w:color w:val="auto"/>
          <w:sz w:val="32"/>
          <w:szCs w:val="32"/>
          <w:highlight w:val="none"/>
        </w:rPr>
      </w:pPr>
    </w:p>
    <w:p w14:paraId="163F2E4D">
      <w:pPr>
        <w:rPr>
          <w:color w:val="auto"/>
          <w:highlight w:val="none"/>
        </w:rPr>
      </w:pPr>
    </w:p>
    <w:sectPr>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804B6">
    <w:pPr>
      <w:pStyle w:val="4"/>
      <w:pBdr>
        <w:between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0E6F0">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E20E6F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CA783">
    <w:pPr>
      <w:pStyle w:val="4"/>
      <w:framePr w:wrap="around" w:vAnchor="text" w:hAnchor="margin" w:xAlign="center" w:yAlign="top"/>
      <w:pBdr>
        <w:between w:val="none" w:color="auto" w:sz="0" w:space="0"/>
      </w:pBdr>
    </w:pPr>
    <w:r>
      <w:fldChar w:fldCharType="begin"/>
    </w:r>
    <w:r>
      <w:rPr>
        <w:rStyle w:val="12"/>
      </w:rPr>
      <w:instrText xml:space="preserve"> PAGE  </w:instrText>
    </w:r>
    <w:r>
      <w:fldChar w:fldCharType="separate"/>
    </w:r>
    <w:r>
      <w:rPr>
        <w:rStyle w:val="12"/>
      </w:rPr>
      <w:t>- 3 -</w:t>
    </w:r>
    <w:r>
      <w:fldChar w:fldCharType="end"/>
    </w:r>
  </w:p>
  <w:p w14:paraId="23EDB66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32CB">
    <w:pPr>
      <w:pStyle w:val="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82F730">
                          <w:pPr>
                            <w:pStyle w:val="4"/>
                          </w:pPr>
                          <w:r>
                            <w:fldChar w:fldCharType="begin"/>
                          </w:r>
                          <w:r>
                            <w:rPr>
                              <w:rStyle w:val="12"/>
                            </w:rPr>
                            <w:instrText xml:space="preserve"> PAGE  </w:instrText>
                          </w:r>
                          <w:r>
                            <w:fldChar w:fldCharType="separate"/>
                          </w:r>
                          <w:r>
                            <w:rPr>
                              <w:rStyle w:val="12"/>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0282F730">
                    <w:pPr>
                      <w:pStyle w:val="4"/>
                    </w:pPr>
                    <w:r>
                      <w:fldChar w:fldCharType="begin"/>
                    </w:r>
                    <w:r>
                      <w:rPr>
                        <w:rStyle w:val="12"/>
                      </w:rPr>
                      <w:instrText xml:space="preserve"> PAGE  </w:instrText>
                    </w:r>
                    <w:r>
                      <w:fldChar w:fldCharType="separate"/>
                    </w:r>
                    <w:r>
                      <w:rPr>
                        <w:rStyle w:val="12"/>
                      </w:rP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6AA1">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EDC7">
    <w:pPr>
      <w:pStyle w:val="6"/>
      <w:rPr>
        <w:rFonts w:hint="eastAsia" w:eastAsia="华文新魏"/>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DA2E">
    <w:pPr>
      <w:pStyle w:val="6"/>
      <w:rPr>
        <w:rFonts w:hint="eastAsia" w:eastAsia="华文新魏"/>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
    <w:nsid w:val="23FA2401"/>
    <w:multiLevelType w:val="singleLevel"/>
    <w:tmpl w:val="23FA2401"/>
    <w:lvl w:ilvl="0" w:tentative="0">
      <w:start w:val="17"/>
      <w:numFmt w:val="decimal"/>
      <w:suff w:val="nothing"/>
      <w:lvlText w:val="%1、"/>
      <w:lvlJc w:val="left"/>
    </w:lvl>
  </w:abstractNum>
  <w:abstractNum w:abstractNumId="2">
    <w:nsid w:val="3A6FE255"/>
    <w:multiLevelType w:val="singleLevel"/>
    <w:tmpl w:val="3A6FE255"/>
    <w:lvl w:ilvl="0" w:tentative="0">
      <w:start w:val="1"/>
      <w:numFmt w:val="decimalEnclosedCircleChinese"/>
      <w:suff w:val="nothing"/>
      <w:lvlText w:val="%1　"/>
      <w:lvlJc w:val="left"/>
      <w:pPr>
        <w:ind w:left="0" w:firstLine="400"/>
      </w:pPr>
      <w:rPr>
        <w:rFonts w:hint="eastAsia"/>
      </w:rPr>
    </w:lvl>
  </w:abstractNum>
  <w:abstractNum w:abstractNumId="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4">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56ABC"/>
    <w:rsid w:val="000D06CA"/>
    <w:rsid w:val="00B256B8"/>
    <w:rsid w:val="04CA3E85"/>
    <w:rsid w:val="0DC56ABC"/>
    <w:rsid w:val="16CA07EC"/>
    <w:rsid w:val="179A3965"/>
    <w:rsid w:val="19B752B3"/>
    <w:rsid w:val="1C6D44A3"/>
    <w:rsid w:val="1F4A3A53"/>
    <w:rsid w:val="23891B64"/>
    <w:rsid w:val="32BF0100"/>
    <w:rsid w:val="347F2549"/>
    <w:rsid w:val="3CAD1E6B"/>
    <w:rsid w:val="459B6042"/>
    <w:rsid w:val="4B637095"/>
    <w:rsid w:val="58B91B10"/>
    <w:rsid w:val="5B975306"/>
    <w:rsid w:val="5D1C0CB4"/>
    <w:rsid w:val="6205116D"/>
    <w:rsid w:val="6D5944B2"/>
    <w:rsid w:val="76706D01"/>
    <w:rsid w:val="767234CD"/>
    <w:rsid w:val="79323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index 4"/>
    <w:basedOn w:val="1"/>
    <w:next w:val="1"/>
    <w:unhideWhenUsed/>
    <w:qFormat/>
    <w:uiPriority w:val="0"/>
    <w:pPr>
      <w:ind w:left="600" w:leftChars="600"/>
    </w:pPr>
  </w:style>
  <w:style w:type="paragraph" w:styleId="4">
    <w:name w:val="footer"/>
    <w:basedOn w:val="1"/>
    <w:next w:val="5"/>
    <w:qFormat/>
    <w:uiPriority w:val="0"/>
    <w:pPr>
      <w:tabs>
        <w:tab w:val="center" w:pos="4153"/>
        <w:tab w:val="right" w:pos="8306"/>
      </w:tabs>
      <w:snapToGrid w:val="0"/>
      <w:jc w:val="left"/>
    </w:pPr>
    <w:rPr>
      <w:sz w:val="18"/>
    </w:rPr>
  </w:style>
  <w:style w:type="paragraph" w:customStyle="1" w:styleId="5">
    <w:name w:val="TOC Heading1"/>
    <w:next w:val="1"/>
    <w:qFormat/>
    <w:uiPriority w:val="0"/>
    <w:pPr>
      <w:wordWrap w:val="0"/>
    </w:pPr>
    <w:rPr>
      <w:rFonts w:ascii="Times New Roman" w:hAnsi="Times New Roman" w:eastAsia="宋体" w:cs="Times New Roman"/>
      <w:sz w:val="3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able of figures"/>
    <w:basedOn w:val="1"/>
    <w:next w:val="1"/>
    <w:unhideWhenUsed/>
    <w:qFormat/>
    <w:uiPriority w:val="99"/>
    <w:pPr>
      <w:ind w:left="200" w:leftChars="200" w:hanging="200" w:hangingChars="200"/>
    </w:p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FollowedHyperlink"/>
    <w:qFormat/>
    <w:uiPriority w:val="0"/>
    <w:rPr>
      <w:color w:val="auto"/>
      <w:u w:val="none"/>
    </w:rPr>
  </w:style>
  <w:style w:type="paragraph" w:customStyle="1" w:styleId="14">
    <w:name w:val="普通文字"/>
    <w:basedOn w:val="1"/>
    <w:next w:val="1"/>
    <w:qFormat/>
    <w:uiPriority w:val="0"/>
    <w:rPr>
      <w:rFonts w:ascii="宋体"/>
      <w:kern w:val="0"/>
      <w:sz w:val="24"/>
      <w:u w:val="none" w:color="000000"/>
    </w:rPr>
  </w:style>
  <w:style w:type="paragraph" w:customStyle="1" w:styleId="15">
    <w:name w:val="首行缩进"/>
    <w:basedOn w:val="1"/>
    <w:qFormat/>
    <w:uiPriority w:val="0"/>
    <w:pPr>
      <w:ind w:firstLine="480"/>
      <w:jc w:val="left"/>
    </w:pPr>
    <w:rPr>
      <w:rFonts w:ascii="宋体" w:hAnsi="宋体" w:cs="Calibri"/>
      <w:szCs w:val="21"/>
    </w:rPr>
  </w:style>
  <w:style w:type="paragraph" w:customStyle="1" w:styleId="16">
    <w:name w:val="正文1"/>
    <w:next w:val="1"/>
    <w:qFormat/>
    <w:uiPriority w:val="0"/>
    <w:pPr>
      <w:widowControl w:val="0"/>
      <w:jc w:val="both"/>
    </w:pPr>
    <w:rPr>
      <w:rFonts w:ascii="Times New Roman" w:hAnsi="Times New Roman" w:eastAsia="宋体" w:cs="Times New Roman"/>
      <w:szCs w:val="24"/>
      <w:lang w:val="en-US" w:eastAsia="zh-CN" w:bidi="ar-SA"/>
    </w:rPr>
  </w:style>
  <w:style w:type="character" w:customStyle="1" w:styleId="17">
    <w:name w:val="NormalCharacter"/>
    <w:qFormat/>
    <w:uiPriority w:val="0"/>
    <w:rPr>
      <w:kern w:val="2"/>
      <w:sz w:val="21"/>
      <w:lang w:val="en-US" w:eastAsia="zh-CN" w:bidi="ar-SA"/>
    </w:rPr>
  </w:style>
  <w:style w:type="paragraph" w:customStyle="1" w:styleId="18">
    <w:name w:val="正文缩进1"/>
    <w:basedOn w:val="1"/>
    <w:qFormat/>
    <w:uiPriority w:val="0"/>
    <w:pPr>
      <w:autoSpaceDE w:val="0"/>
      <w:autoSpaceDN w:val="0"/>
      <w:adjustRightInd w:val="0"/>
      <w:ind w:firstLine="420"/>
      <w:jc w:val="left"/>
    </w:pPr>
    <w:rPr>
      <w:rFonts w:ascii="宋体"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9761</Words>
  <Characters>10379</Characters>
  <Lines>0</Lines>
  <Paragraphs>0</Paragraphs>
  <TotalTime>6</TotalTime>
  <ScaleCrop>false</ScaleCrop>
  <LinksUpToDate>false</LinksUpToDate>
  <CharactersWithSpaces>10520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2025-08-15T08:21:00Z</dcterms:created>
  <dc:creator>12149</dc:creator>
  <cp:lastModifiedBy>你是不是</cp:lastModifiedBy>
  <dcterms:modified xsi:type="dcterms:W3CDTF">2025-10-30T08:33:48Z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BC5324B2A956441CA65A41C8B279EEE4_11</vt:lpwstr>
  </property>
  <property fmtid="{D5CDD505-2E9C-101B-9397-08002B2CF9AE}" pid="4" name="KSOTemplateDocerSaveRecord">
    <vt:lpwstr>eyJoZGlkIjoiYTZhODIzNjM5YTA0YWE1NDI3NGQ4MjBiZjEwMjIwOTEiLCJ1c2VySWQiOiIxNTEyNDIzODMyIn0=</vt:lpwstr>
  </property>
</Properties>
</file>