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宜兴市离岸水域深井控藻工程不可避让论证服务项目采购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YXGYJT202509031</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宜兴市离岸水域深井控藻工程不可避让论证服务项目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宜兴市离岸水域深井控藻工程不可避让论证服务项目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：YXGYJT202509031</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宜兴市离岸水域深井控藻工程不可避让论证服务项目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25</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23</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30</w:t>
            </w:r>
            <w:r>
              <w:rPr>
                <w:rFonts w:hint="eastAsia" w:hAnsi="宋体" w:cs="宋体"/>
                <w:color w:val="auto"/>
                <w:szCs w:val="24"/>
                <w:highlight w:val="none"/>
              </w:rPr>
              <w:t>日</w:t>
            </w:r>
            <w:r>
              <w:rPr>
                <w:rFonts w:hint="eastAsia" w:hAnsi="宋体" w:cs="宋体"/>
                <w:color w:val="auto"/>
                <w:szCs w:val="24"/>
                <w:highlight w:val="none"/>
                <w:lang w:val="en-US" w:eastAsia="zh-CN"/>
              </w:rPr>
              <w:t>08:50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806"/>
              <w:gridCol w:w="767"/>
              <w:gridCol w:w="2221"/>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44"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806"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767"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21"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44"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806"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767" w:type="dxa"/>
                  <w:vMerge w:val="continue"/>
                  <w:noWrap w:val="0"/>
                  <w:vAlign w:val="center"/>
                </w:tcPr>
                <w:p w14:paraId="42828153">
                  <w:pPr>
                    <w:jc w:val="center"/>
                    <w:rPr>
                      <w:rFonts w:hAnsi="宋体"/>
                      <w:bCs/>
                      <w:color w:val="auto"/>
                      <w:sz w:val="21"/>
                      <w:szCs w:val="21"/>
                      <w:highlight w:val="none"/>
                      <w:lang w:val="zh-CN"/>
                    </w:rPr>
                  </w:pPr>
                </w:p>
              </w:tc>
              <w:tc>
                <w:tcPr>
                  <w:tcW w:w="2221"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44"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806"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51610188000316267</w:t>
                  </w:r>
                </w:p>
              </w:tc>
              <w:tc>
                <w:tcPr>
                  <w:tcW w:w="767" w:type="dxa"/>
                  <w:vMerge w:val="continue"/>
                  <w:noWrap w:val="0"/>
                  <w:vAlign w:val="center"/>
                </w:tcPr>
                <w:p w14:paraId="08A368EA">
                  <w:pPr>
                    <w:jc w:val="center"/>
                    <w:rPr>
                      <w:rFonts w:hAnsi="宋体"/>
                      <w:bCs/>
                      <w:color w:val="auto"/>
                      <w:sz w:val="21"/>
                      <w:szCs w:val="21"/>
                      <w:highlight w:val="none"/>
                      <w:lang w:val="zh-CN"/>
                    </w:rPr>
                  </w:pPr>
                </w:p>
              </w:tc>
              <w:tc>
                <w:tcPr>
                  <w:tcW w:w="2221"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w:t>
            </w:r>
            <w:bookmarkStart w:id="93" w:name="_GoBack"/>
            <w:bookmarkEnd w:id="93"/>
            <w:r>
              <w:rPr>
                <w:rFonts w:hint="eastAsia"/>
                <w:color w:val="auto"/>
                <w:highlight w:val="none"/>
                <w:lang w:val="zh-CN"/>
              </w:rPr>
              <w:t>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上午09:00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248"/>
      <w:bookmarkStart w:id="32" w:name="_Toc23231"/>
      <w:bookmarkStart w:id="33" w:name="_Toc520356155"/>
      <w:bookmarkStart w:id="34" w:name="_Toc19624"/>
      <w:bookmarkStart w:id="35" w:name="_Toc515647770"/>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25105"/>
      <w:bookmarkStart w:id="77" w:name="_Toc30976"/>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3082"/>
      <w:bookmarkStart w:id="79" w:name="_Toc25967"/>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宜兴市离岸水域深井控藻工程不可避让论证服务项目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7DBB636F">
      <w:pPr>
        <w:pageBreakBefore w:val="0"/>
        <w:kinsoku/>
        <w:overflowPunct/>
        <w:topLinePunct w:val="0"/>
        <w:bidi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highlight w:val="none"/>
          <w:lang w:val="en-US" w:eastAsia="zh-CN"/>
        </w:rPr>
        <w:t>本工程新建蓝藻围隔9km，同步建设3座深潜式高压控藻深井和2座大通量活水抑藻推流器。工程总体平面布置图如下：</w:t>
      </w:r>
    </w:p>
    <w:p w14:paraId="50C2CA2B">
      <w:pPr>
        <w:pageBreakBefore w:val="0"/>
        <w:kinsoku/>
        <w:overflowPunct/>
        <w:topLinePunct w:val="0"/>
        <w:bidi w:val="0"/>
        <w:snapToGrid w:val="0"/>
        <w:spacing w:line="360" w:lineRule="auto"/>
        <w:jc w:val="center"/>
        <w:rPr>
          <w:color w:val="auto"/>
          <w:sz w:val="24"/>
          <w:szCs w:val="24"/>
          <w:highlight w:val="none"/>
        </w:rPr>
      </w:pPr>
      <w:r>
        <w:rPr>
          <w:color w:val="auto"/>
          <w:sz w:val="24"/>
          <w:szCs w:val="24"/>
          <w:highlight w:val="none"/>
        </w:rPr>
        <w:drawing>
          <wp:inline distT="0" distB="0" distL="114300" distR="114300">
            <wp:extent cx="3249930" cy="4255135"/>
            <wp:effectExtent l="9525" t="9525" r="17145" b="215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3249930" cy="4255135"/>
                    </a:xfrm>
                    <a:prstGeom prst="rect">
                      <a:avLst/>
                    </a:prstGeom>
                    <a:noFill/>
                    <a:ln w="6350" cap="flat" cmpd="sng">
                      <a:solidFill>
                        <a:srgbClr val="000000"/>
                      </a:solidFill>
                      <a:prstDash val="solid"/>
                      <a:round/>
                      <a:headEnd type="none" w="med" len="med"/>
                      <a:tailEnd type="none" w="med" len="med"/>
                    </a:ln>
                  </pic:spPr>
                </pic:pic>
              </a:graphicData>
            </a:graphic>
          </wp:inline>
        </w:drawing>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1393E8D9">
      <w:pPr>
        <w:pageBreakBefore w:val="0"/>
        <w:numPr>
          <w:ilvl w:val="0"/>
          <w:numId w:val="0"/>
        </w:numPr>
        <w:kinsoku/>
        <w:overflowPunct/>
        <w:topLinePunct w:val="0"/>
        <w:bidi w:val="0"/>
        <w:snapToGrid w:val="0"/>
        <w:spacing w:line="360" w:lineRule="auto"/>
        <w:rPr>
          <w:rFonts w:hint="default"/>
          <w:color w:val="auto"/>
          <w:highlight w:val="none"/>
          <w:lang w:val="en-US" w:eastAsia="zh-CN"/>
        </w:rPr>
      </w:pPr>
    </w:p>
    <w:p w14:paraId="33EE1EDB">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eastAsia="zh-CN"/>
        </w:rPr>
      </w:pP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324866E5">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473AC88B">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日内完成不可避让论证送审稿编制（按照专家意见7天内完成报告修改，</w:t>
      </w:r>
      <w:r>
        <w:rPr>
          <w:rFonts w:hint="eastAsia"/>
          <w:color w:val="auto"/>
          <w:sz w:val="24"/>
          <w:szCs w:val="24"/>
          <w:highlight w:val="none"/>
          <w:lang w:val="en-US" w:eastAsia="zh-CN"/>
        </w:rPr>
        <w:t>须专家签字确认）；报批稿提交后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rPr>
              <w:t>①拟派项目负责人：具备</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专业高级及以上技术职称的得</w:t>
            </w:r>
            <w:r>
              <w:rPr>
                <w:rFonts w:hint="eastAsia" w:ascii="宋体" w:hAnsi="宋体" w:eastAsia="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rPr>
              <w:t>分</w:t>
            </w:r>
            <w:r>
              <w:rPr>
                <w:rFonts w:hint="eastAsia" w:ascii="宋体" w:hAnsi="宋体" w:eastAsia="宋体" w:cs="Times New Roman"/>
                <w:b w:val="0"/>
                <w:bCs w:val="0"/>
                <w:color w:val="auto"/>
                <w:sz w:val="24"/>
                <w:szCs w:val="24"/>
                <w:highlight w:val="none"/>
                <w:lang w:eastAsia="zh-CN"/>
              </w:rPr>
              <w:t>，具备</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lang w:eastAsia="zh-CN"/>
              </w:rPr>
              <w:t>技术职称的得</w:t>
            </w:r>
            <w:r>
              <w:rPr>
                <w:rFonts w:hint="eastAsia" w:ascii="宋体" w:hAnsi="宋体" w:eastAsia="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eastAsia="zh-CN"/>
              </w:rPr>
              <w:t>分。</w:t>
            </w:r>
          </w:p>
          <w:p w14:paraId="232A88C5">
            <w:pPr>
              <w:jc w:val="both"/>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②拟派项目组成员中</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除项目负责人外，成员不少于3人</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：具有</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rPr>
              <w:t>（含）以上职称的，每提供1个职称证书得</w:t>
            </w:r>
            <w:r>
              <w:rPr>
                <w:rFonts w:hint="eastAsia" w:ascii="宋体" w:hAnsi="宋体" w:eastAsia="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rPr>
              <w:t>分，本项最高得</w:t>
            </w:r>
            <w:r>
              <w:rPr>
                <w:rFonts w:hint="eastAsia" w:ascii="宋体" w:hAnsi="宋体" w:eastAsia="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4C012ED7">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716F14E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eastAsia="zh-CN"/>
        </w:rPr>
        <w:t>江苏宜公投蓝藻资源开发有限公司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宜兴市离岸水域深井控藻工程不可避让论证服务项目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5B0E684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江苏宜公投蓝藻资源开发有限公司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中国银行宜兴周铁支行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519674450517</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YXGYJT202509031</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宜兴市离岸水域深井控藻工程不可避让论证服务项目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宜兴市离岸水域深井控藻工程不可避让论证服务项目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4"/>
          <w:highlight w:val="none"/>
        </w:rPr>
        <w:t xml:space="preserve"> </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61"/>
        <w:gridCol w:w="1701"/>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宜兴市离岸水域深井控藻工程不可避让论证服务项目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江苏宜公投蓝藻资源开发有限公司宜兴市离岸水域深井控藻工程不可避让论证服务项目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YXGYJT202509031</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YXGYJT202509031</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江苏宜公投蓝藻资源开发有限公司宜兴市离岸水域深井控藻工程不可避让论证服务项目</w:t>
      </w:r>
      <w:r>
        <w:rPr>
          <w:rFonts w:hint="eastAsia" w:ascii="宋体" w:hAnsi="宋体"/>
          <w:color w:val="auto"/>
          <w:sz w:val="24"/>
          <w:szCs w:val="21"/>
          <w:highlight w:val="none"/>
          <w:lang w:val="zh-CN"/>
        </w:rPr>
        <w:t>（YXGYJT202509031）的投标、参与开标、谈判、签约等具体工作，并签署全部有关的文件、协议及合同。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30F27D6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宜兴市离岸水域深井控藻工程不可避让论证服务项目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1"/>
          <w:highlight w:val="none"/>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7423AB4"/>
    <w:rsid w:val="0DC56ABC"/>
    <w:rsid w:val="16732871"/>
    <w:rsid w:val="1C6D44A3"/>
    <w:rsid w:val="1CF612E6"/>
    <w:rsid w:val="1F4A3A53"/>
    <w:rsid w:val="2035068E"/>
    <w:rsid w:val="34034468"/>
    <w:rsid w:val="347F2549"/>
    <w:rsid w:val="349E1425"/>
    <w:rsid w:val="3A1B5FB1"/>
    <w:rsid w:val="44B92D03"/>
    <w:rsid w:val="4B637095"/>
    <w:rsid w:val="4BDE1707"/>
    <w:rsid w:val="558E5A4D"/>
    <w:rsid w:val="579B7E8D"/>
    <w:rsid w:val="58B91B10"/>
    <w:rsid w:val="5D1C0CB4"/>
    <w:rsid w:val="6205116D"/>
    <w:rsid w:val="6D5944B2"/>
    <w:rsid w:val="710249F5"/>
    <w:rsid w:val="76706D01"/>
    <w:rsid w:val="7672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15831</Words>
  <Characters>16667</Characters>
  <Lines>0</Lines>
  <Paragraphs>0</Paragraphs>
  <TotalTime>8</TotalTime>
  <ScaleCrop>false</ScaleCrop>
  <LinksUpToDate>false</LinksUpToDate>
  <CharactersWithSpaces>17198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你是不是</cp:lastModifiedBy>
  <dcterms:modified xsi:type="dcterms:W3CDTF">2025-10-23T06:36:34Z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BC5324B2A956441CA65A41C8B279EEE4_11</vt:lpwstr>
  </property>
  <property fmtid="{D5CDD505-2E9C-101B-9397-08002B2CF9AE}" pid="4" name="KSOTemplateDocerSaveRecord">
    <vt:lpwstr>eyJoZGlkIjoiYTZhODIzNjM5YTA0YWE1NDI3NGQ4MjBiZjEwMjIwOTEiLCJ1c2VySWQiOiIxNTEyNDIzODMyIn0=</vt:lpwstr>
  </property>
</Properties>
</file>