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宜兴市公用投资管理有限公司太湖内源污染治理（太湖西岸宜兴近岸区域）一期工程涉航技术评价采购服务项目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YXGYJT202506020</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宜兴市公用投资管理有限公司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太湖内源污染治理（太湖西岸宜兴近岸区域）一期工程涉航技术评价采购服务项目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六</w:t>
      </w:r>
      <w:r>
        <w:rPr>
          <w:rFonts w:hint="eastAsia" w:ascii="宋体" w:hAnsi="宋体"/>
          <w:color w:val="auto"/>
          <w:sz w:val="32"/>
          <w:highlight w:val="none"/>
        </w:rPr>
        <w:t>月</w:t>
      </w:r>
    </w:p>
    <w:p w14:paraId="47598A6F">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3"/>
          <w:rFonts w:eastAsia="黑体"/>
          <w:bCs/>
          <w:color w:val="auto"/>
          <w:sz w:val="48"/>
          <w:highlight w:val="none"/>
        </w:rPr>
      </w:pPr>
      <w:r>
        <w:rPr>
          <w:rStyle w:val="13"/>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1C4D488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6ED9D568">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5A66B0C2">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15ECB6F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367B6750">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太湖内源污染治理（太湖西岸宜兴近岸区域）一期工程涉航技术评价采购服务项目</w:t>
      </w:r>
      <w:r>
        <w:rPr>
          <w:rFonts w:hint="eastAsia" w:ascii="宋体" w:hAnsi="宋体"/>
          <w:bCs/>
          <w:color w:val="auto"/>
          <w:sz w:val="24"/>
          <w:szCs w:val="24"/>
          <w:highlight w:val="none"/>
        </w:rPr>
        <w:t>进行公开招标，欢迎你单位参加投标并提请注意下列附表中的相关事项：</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：YXGYJT202506020</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太湖内源污染治理（太湖西岸宜兴近岸区域）一期工程涉航技术评价采购服务项目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ascii="宋体" w:hAnsi="宋体"/>
                <w:bCs/>
                <w:color w:val="auto"/>
                <w:sz w:val="24"/>
                <w:szCs w:val="24"/>
                <w:highlight w:val="none"/>
              </w:rPr>
              <w:t>：</w:t>
            </w:r>
            <w:r>
              <w:rPr>
                <w:rFonts w:hint="eastAsia" w:ascii="宋体" w:hAnsi="宋体"/>
                <w:bCs/>
                <w:color w:val="auto"/>
                <w:sz w:val="24"/>
                <w:szCs w:val="24"/>
                <w:highlight w:val="none"/>
                <w:lang w:val="en-US" w:eastAsia="zh-CN"/>
              </w:rPr>
              <w:t>37.5</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10162D83">
            <w:pPr>
              <w:pStyle w:val="14"/>
              <w:spacing w:line="276" w:lineRule="auto"/>
              <w:rPr>
                <w:rFonts w:hint="eastAsia"/>
                <w:color w:val="auto"/>
                <w:highlight w:val="none"/>
                <w:lang w:val="zh-CN"/>
              </w:rPr>
            </w:pPr>
            <w:r>
              <w:rPr>
                <w:rFonts w:hint="eastAsia"/>
                <w:color w:val="auto"/>
                <w:highlight w:val="none"/>
                <w:lang w:val="zh-CN"/>
              </w:rPr>
              <w:t>2.1投标人参加本次采购活动应具备下</w:t>
            </w:r>
            <w:r>
              <w:rPr>
                <w:rFonts w:hint="eastAsia"/>
                <w:color w:val="auto"/>
                <w:highlight w:val="none"/>
                <w:lang w:val="zh-CN"/>
              </w:rPr>
              <w:t>列资格条件：</w:t>
            </w:r>
          </w:p>
          <w:p w14:paraId="751AA5F1">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5DE77925">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66500C86">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294992C8">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CFFD46B">
            <w:pPr>
              <w:pStyle w:val="14"/>
              <w:spacing w:line="276" w:lineRule="auto"/>
              <w:rPr>
                <w:rFonts w:hint="eastAsia"/>
                <w:color w:val="auto"/>
                <w:highlight w:val="none"/>
                <w:lang w:val="zh-CN"/>
              </w:rPr>
            </w:pPr>
            <w:r>
              <w:rPr>
                <w:rFonts w:hint="eastAsia"/>
                <w:color w:val="auto"/>
                <w:highlight w:val="none"/>
                <w:lang w:val="zh-CN"/>
              </w:rPr>
              <w:t>⑤不接受联合体，不接受中标后分包；</w:t>
            </w:r>
            <w:bookmarkStart w:id="98" w:name="_GoBack"/>
            <w:bookmarkEnd w:id="98"/>
          </w:p>
          <w:p w14:paraId="4BEAD1D4">
            <w:pPr>
              <w:pStyle w:val="14"/>
              <w:spacing w:line="276" w:lineRule="auto"/>
              <w:rPr>
                <w:rFonts w:hint="eastAsia" w:ascii="宋体" w:hAnsi="Times New Roman" w:eastAsia="宋体" w:cs="Times New Roman"/>
                <w:color w:val="auto"/>
                <w:highlight w:val="none"/>
                <w:lang w:val="zh-CN"/>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p w14:paraId="07AB8543">
            <w:pPr>
              <w:pStyle w:val="14"/>
              <w:spacing w:line="276" w:lineRule="auto"/>
              <w:rPr>
                <w:rFonts w:hint="eastAsia" w:ascii="宋体" w:hAnsi="Times New Roman" w:eastAsia="宋体" w:cs="Times New Roman"/>
                <w:color w:val="auto"/>
                <w:highlight w:val="none"/>
                <w:lang w:val="zh-CN"/>
              </w:rPr>
            </w:pPr>
            <w:r>
              <w:rPr>
                <w:rFonts w:hint="eastAsia" w:ascii="宋体" w:hAnsi="Times New Roman" w:eastAsia="宋体" w:cs="Times New Roman"/>
                <w:color w:val="auto"/>
                <w:highlight w:val="none"/>
                <w:lang w:val="zh-CN"/>
              </w:rPr>
              <w:t>⑦</w:t>
            </w:r>
            <w:r>
              <w:rPr>
                <w:rFonts w:hint="eastAsia"/>
                <w:highlight w:val="none"/>
                <w:lang w:val="zh-CN"/>
              </w:rPr>
              <w:t>投标人应具有类似项目涉航技术评价相关业绩；</w:t>
            </w:r>
            <w:r>
              <w:rPr>
                <w:rFonts w:hint="eastAsia"/>
                <w:b/>
                <w:bCs/>
                <w:highlight w:val="none"/>
                <w:lang w:val="zh-CN"/>
              </w:rPr>
              <w:t>（开标时提供合同原件）</w:t>
            </w:r>
          </w:p>
          <w:p w14:paraId="329E93EC">
            <w:pPr>
              <w:pStyle w:val="14"/>
              <w:spacing w:line="276" w:lineRule="auto"/>
              <w:rPr>
                <w:rFonts w:hint="eastAsia"/>
                <w:highlight w:val="none"/>
                <w:lang w:val="zh-CN"/>
              </w:rPr>
            </w:pPr>
            <w:r>
              <w:rPr>
                <w:rFonts w:hint="eastAsia" w:ascii="宋体" w:hAnsi="Times New Roman" w:eastAsia="宋体" w:cs="Times New Roman"/>
                <w:color w:val="auto"/>
                <w:highlight w:val="none"/>
                <w:lang w:val="en-US" w:eastAsia="zh-CN"/>
              </w:rPr>
              <w:t>⑧</w:t>
            </w:r>
            <w:r>
              <w:rPr>
                <w:rFonts w:hint="eastAsia"/>
                <w:highlight w:val="none"/>
                <w:lang w:val="zh-CN"/>
              </w:rPr>
              <w:t>投标人应在全国投资项目在线审批监管平台备案（备案专业水运（含港口河海工程））；或具有工程咨询协会颁发</w:t>
            </w:r>
            <w:r>
              <w:rPr>
                <w:rFonts w:hint="eastAsia" w:hAnsi="宋体" w:cs="宋体"/>
                <w:szCs w:val="24"/>
                <w:highlight w:val="none"/>
              </w:rPr>
              <w:t>的</w:t>
            </w:r>
            <w:r>
              <w:rPr>
                <w:rFonts w:hint="eastAsia" w:hAnsi="宋体" w:cs="宋体"/>
                <w:szCs w:val="24"/>
                <w:highlight w:val="none"/>
                <w:lang w:val="en-US" w:eastAsia="zh-CN"/>
              </w:rPr>
              <w:t>乙</w:t>
            </w:r>
            <w:r>
              <w:rPr>
                <w:rFonts w:hint="eastAsia" w:hAnsi="宋体" w:cs="宋体"/>
                <w:szCs w:val="24"/>
                <w:highlight w:val="none"/>
              </w:rPr>
              <w:t>级</w:t>
            </w:r>
            <w:r>
              <w:rPr>
                <w:rFonts w:hint="eastAsia" w:hAnsi="宋体" w:cs="宋体"/>
                <w:szCs w:val="24"/>
                <w:highlight w:val="none"/>
                <w:lang w:val="en-US" w:eastAsia="zh-CN"/>
              </w:rPr>
              <w:t>及以上资</w:t>
            </w:r>
            <w:r>
              <w:rPr>
                <w:rFonts w:hint="eastAsia" w:hAnsi="宋体" w:cs="宋体"/>
                <w:szCs w:val="24"/>
                <w:highlight w:val="none"/>
              </w:rPr>
              <w:t>信证书，业务范围包含水运（含港口河海工程）；</w:t>
            </w:r>
            <w:r>
              <w:rPr>
                <w:rFonts w:hint="eastAsia" w:hAnsi="宋体" w:cs="宋体"/>
                <w:b/>
                <w:bCs/>
                <w:szCs w:val="24"/>
                <w:highlight w:val="none"/>
              </w:rPr>
              <w:t>（开标时提供平台备案截图或</w:t>
            </w:r>
            <w:r>
              <w:rPr>
                <w:rFonts w:hint="eastAsia" w:ascii="宋体" w:hAnsi="宋体" w:eastAsia="宋体" w:cs="宋体"/>
                <w:b/>
                <w:bCs/>
                <w:szCs w:val="24"/>
                <w:highlight w:val="none"/>
                <w:lang w:val="en-US" w:eastAsia="zh-CN"/>
              </w:rPr>
              <w:t>资</w:t>
            </w:r>
            <w:r>
              <w:rPr>
                <w:rFonts w:hint="eastAsia" w:ascii="宋体" w:hAnsi="宋体" w:eastAsia="宋体" w:cs="宋体"/>
                <w:b/>
                <w:bCs/>
                <w:szCs w:val="24"/>
                <w:highlight w:val="none"/>
              </w:rPr>
              <w:t>信证</w:t>
            </w:r>
            <w:r>
              <w:rPr>
                <w:rFonts w:hint="eastAsia" w:hAnsi="宋体" w:cs="宋体"/>
                <w:b/>
                <w:bCs/>
                <w:szCs w:val="24"/>
                <w:highlight w:val="none"/>
              </w:rPr>
              <w:t>书原件）</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w:t>
            </w:r>
            <w:r>
              <w:rPr>
                <w:rFonts w:hint="eastAsia" w:hAnsi="宋体" w:cs="宋体"/>
                <w:color w:val="auto"/>
                <w:szCs w:val="24"/>
                <w:highlight w:val="none"/>
              </w:rPr>
              <w:t>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6</w:t>
            </w:r>
            <w:r>
              <w:rPr>
                <w:rFonts w:hint="eastAsia" w:hAnsi="宋体" w:cs="宋体"/>
                <w:color w:val="auto"/>
                <w:szCs w:val="24"/>
                <w:highlight w:val="none"/>
              </w:rPr>
              <w:t>月</w:t>
            </w:r>
            <w:r>
              <w:rPr>
                <w:rFonts w:hint="eastAsia" w:hAnsi="宋体" w:cs="宋体"/>
                <w:color w:val="auto"/>
                <w:szCs w:val="24"/>
                <w:highlight w:val="none"/>
                <w:lang w:val="en-US" w:eastAsia="zh-CN"/>
              </w:rPr>
              <w:t>13</w:t>
            </w:r>
            <w:r>
              <w:rPr>
                <w:rFonts w:hint="eastAsia" w:hAnsi="宋体" w:cs="宋体"/>
                <w:color w:val="auto"/>
                <w:szCs w:val="24"/>
                <w:highlight w:val="none"/>
              </w:rPr>
              <w:t>日</w:t>
            </w:r>
            <w:r>
              <w:rPr>
                <w:rFonts w:hint="eastAsia" w:hAnsi="宋体" w:cs="宋体"/>
                <w:color w:val="auto"/>
                <w:szCs w:val="24"/>
                <w:highlight w:val="none"/>
                <w:lang w:val="en-US" w:eastAsia="zh-CN"/>
              </w:rPr>
              <w:t>上午8:00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6</w:t>
            </w:r>
            <w:r>
              <w:rPr>
                <w:rFonts w:hint="eastAsia" w:hAnsi="宋体" w:cs="宋体"/>
                <w:color w:val="auto"/>
                <w:szCs w:val="24"/>
                <w:highlight w:val="none"/>
              </w:rPr>
              <w:t>月</w:t>
            </w:r>
            <w:r>
              <w:rPr>
                <w:rFonts w:hint="eastAsia" w:hAnsi="宋体" w:cs="宋体"/>
                <w:color w:val="auto"/>
                <w:szCs w:val="24"/>
                <w:highlight w:val="none"/>
                <w:lang w:val="en-US" w:eastAsia="zh-CN"/>
              </w:rPr>
              <w:t>23</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9:50</w:t>
            </w:r>
            <w:r>
              <w:rPr>
                <w:rFonts w:hint="eastAsia" w:hAnsi="宋体" w:cs="宋体"/>
                <w:color w:val="auto"/>
                <w:szCs w:val="24"/>
                <w:highlight w:val="none"/>
              </w:rPr>
              <w:t>前</w:t>
            </w:r>
            <w:r>
              <w:rPr>
                <w:rFonts w:hint="eastAsia" w:hAnsi="宋体" w:cs="宋体"/>
                <w:color w:val="auto"/>
                <w:szCs w:val="24"/>
                <w:highlight w:val="none"/>
              </w:rPr>
              <w:t>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柒仟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交纳投标保证金账户名称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51610188000297464</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400" w:lineRule="exact"/>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w:t>
            </w:r>
            <w:r>
              <w:rPr>
                <w:rFonts w:hint="eastAsia" w:ascii="宋体" w:hAnsi="宋体"/>
                <w:bCs/>
                <w:color w:val="auto"/>
                <w:sz w:val="24"/>
                <w:szCs w:val="24"/>
                <w:highlight w:val="none"/>
                <w:lang w:val="zh-CN"/>
              </w:rPr>
              <w:t>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23</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上午10:00</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5A887E30">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沈女士</w:t>
            </w:r>
          </w:p>
          <w:p w14:paraId="328E6672">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15161143434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7428E4D9">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2330427C">
      <w:pPr>
        <w:tabs>
          <w:tab w:val="left" w:pos="0"/>
          <w:tab w:val="left" w:pos="255"/>
        </w:tabs>
        <w:spacing w:line="360" w:lineRule="auto"/>
        <w:ind w:firstLine="480" w:firstLineChars="200"/>
        <w:rPr>
          <w:rFonts w:hint="eastAsia"/>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2.2明细报价</w:t>
      </w:r>
      <w:r>
        <w:rPr>
          <w:rFonts w:hint="eastAsia" w:ascii="宋体" w:hAnsi="宋体"/>
          <w:color w:val="auto"/>
          <w:sz w:val="24"/>
          <w:szCs w:val="24"/>
          <w:highlight w:val="none"/>
          <w:lang w:val="zh-CN"/>
        </w:rPr>
        <w:t>表</w:t>
      </w:r>
      <w:r>
        <w:rPr>
          <w:rFonts w:hint="eastAsia" w:ascii="宋体" w:hAnsi="宋体"/>
          <w:color w:val="auto"/>
          <w:sz w:val="24"/>
          <w:szCs w:val="21"/>
          <w:highlight w:val="none"/>
          <w:lang w:val="zh-CN"/>
        </w:rPr>
        <w:t>；</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AAE37BC">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4C1BEDDB">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投标人应具有类似项目涉航技术评价相关业绩；</w:t>
      </w:r>
      <w:r>
        <w:rPr>
          <w:rFonts w:hint="eastAsia" w:ascii="宋体" w:hAnsi="宋体" w:eastAsia="宋体" w:cs="宋体"/>
          <w:b/>
          <w:bCs/>
          <w:color w:val="auto"/>
          <w:sz w:val="24"/>
          <w:szCs w:val="24"/>
          <w:highlight w:val="none"/>
          <w:lang w:val="zh-CN"/>
        </w:rPr>
        <w:t>（开标时提供</w:t>
      </w:r>
      <w:r>
        <w:rPr>
          <w:rFonts w:hint="eastAsia" w:ascii="宋体" w:hAnsi="宋体" w:cs="宋体"/>
          <w:b/>
          <w:bCs/>
          <w:color w:val="auto"/>
          <w:sz w:val="24"/>
          <w:szCs w:val="24"/>
          <w:highlight w:val="none"/>
          <w:lang w:val="en-US" w:eastAsia="zh-CN"/>
        </w:rPr>
        <w:t>合同</w:t>
      </w:r>
      <w:r>
        <w:rPr>
          <w:rFonts w:hint="eastAsia" w:ascii="宋体" w:hAnsi="宋体" w:eastAsia="宋体" w:cs="宋体"/>
          <w:b/>
          <w:bCs/>
          <w:color w:val="auto"/>
          <w:sz w:val="24"/>
          <w:szCs w:val="24"/>
          <w:highlight w:val="none"/>
          <w:lang w:val="zh-CN"/>
        </w:rPr>
        <w:t>原件）</w:t>
      </w:r>
    </w:p>
    <w:p w14:paraId="382CA64E">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7.3.11</w:t>
      </w:r>
      <w:r>
        <w:rPr>
          <w:rFonts w:hint="eastAsia" w:ascii="宋体" w:hAnsi="宋体" w:eastAsia="宋体" w:cs="宋体"/>
          <w:color w:val="auto"/>
          <w:sz w:val="24"/>
          <w:szCs w:val="24"/>
          <w:highlight w:val="none"/>
          <w:lang w:val="zh-CN"/>
        </w:rPr>
        <w:t>投标人应在全国投资项目在线审批监管平台备案（备案专业水运（含港口河海工程））；或具有工程咨询协会颁发的乙级及以上资信证书，业务范围包含水运（含港口河海工程）复印件；</w:t>
      </w:r>
      <w:r>
        <w:rPr>
          <w:rFonts w:hint="eastAsia" w:ascii="宋体" w:hAnsi="宋体" w:eastAsia="宋体" w:cs="宋体"/>
          <w:b/>
          <w:bCs/>
          <w:color w:val="auto"/>
          <w:sz w:val="24"/>
          <w:szCs w:val="24"/>
          <w:highlight w:val="none"/>
          <w:lang w:val="zh-CN"/>
        </w:rPr>
        <w:t>（开标时提供平台备案截图或资信证书原件）</w:t>
      </w:r>
    </w:p>
    <w:p w14:paraId="06B5935D">
      <w:pPr>
        <w:tabs>
          <w:tab w:val="left" w:pos="420"/>
          <w:tab w:val="left" w:pos="945"/>
          <w:tab w:val="left" w:pos="1155"/>
        </w:tabs>
        <w:spacing w:line="360" w:lineRule="auto"/>
        <w:ind w:firstLine="480" w:firstLineChars="2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bookmarkEnd w:id="16"/>
    <w:bookmarkEnd w:id="17"/>
    <w:bookmarkEnd w:id="18"/>
    <w:bookmarkEnd w:id="19"/>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7技术参数及相关要求偏离表</w:t>
      </w:r>
    </w:p>
    <w:p w14:paraId="5F2095D0">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AA59AE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72AB9DF4">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20356155"/>
      <w:bookmarkStart w:id="32" w:name="_Toc515647770"/>
      <w:bookmarkStart w:id="33" w:name="_Toc2248"/>
      <w:bookmarkStart w:id="34" w:name="_Toc23231"/>
      <w:bookmarkStart w:id="35" w:name="_Toc19624"/>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933491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E4613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ascii="Times New Roman" w:hAnsi="宋体" w:eastAsia="宋体" w:cs="Times New Roman"/>
                <w:bCs/>
                <w:color w:val="auto"/>
                <w:szCs w:val="21"/>
                <w:highlight w:val="none"/>
                <w:lang w:val="en-US" w:eastAsia="zh-CN"/>
              </w:rPr>
              <w:t>宜兴市公用投资管理有限公司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jc w:val="center"/>
              <w:rPr>
                <w:rFonts w:hint="eastAsia" w:ascii="Times New Roman" w:hAnsi="Times New Roman" w:eastAsia="宋体" w:cs="Times New Roman"/>
                <w:color w:val="auto"/>
                <w:szCs w:val="21"/>
                <w:highlight w:val="none"/>
                <w:lang w:val="zh-CN"/>
              </w:rPr>
            </w:pPr>
            <w:r>
              <w:rPr>
                <w:rFonts w:hint="eastAsia"/>
                <w:color w:val="auto"/>
                <w:szCs w:val="21"/>
                <w:highlight w:val="none"/>
              </w:rPr>
              <w:t>宁波银行宜兴支行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jc w:val="center"/>
              <w:rPr>
                <w:rFonts w:hint="eastAsia" w:ascii="Times New Roman" w:hAnsi="Times New Roman" w:eastAsia="宋体" w:cs="Times New Roman"/>
                <w:color w:val="auto"/>
                <w:szCs w:val="21"/>
                <w:highlight w:val="none"/>
                <w:lang w:val="zh-CN"/>
              </w:rPr>
            </w:pPr>
            <w:r>
              <w:rPr>
                <w:rFonts w:hint="eastAsia"/>
                <w:color w:val="auto"/>
                <w:szCs w:val="21"/>
                <w:highlight w:val="none"/>
              </w:rPr>
              <w:t>78050122000115734</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33745DC4">
      <w:pPr>
        <w:spacing w:line="360" w:lineRule="auto"/>
        <w:ind w:firstLine="480" w:firstLineChars="200"/>
        <w:jc w:val="left"/>
        <w:rPr>
          <w:rFonts w:hint="eastAsia" w:ascii="宋体" w:hAnsi="宋体"/>
          <w:bCs/>
          <w:color w:val="auto"/>
          <w:sz w:val="24"/>
          <w:szCs w:val="24"/>
          <w:highlight w:val="none"/>
          <w:lang w:val="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p>
    <w:p w14:paraId="6EB83F91">
      <w:pPr>
        <w:spacing w:line="360" w:lineRule="auto"/>
        <w:jc w:val="center"/>
        <w:rPr>
          <w:rFonts w:hint="eastAsia" w:ascii="黑体" w:hAnsi="黑体" w:eastAsia="黑体"/>
          <w:color w:val="auto"/>
          <w:sz w:val="28"/>
          <w:highlight w:val="none"/>
        </w:rPr>
      </w:pPr>
      <w:bookmarkStart w:id="76" w:name="_Toc12653"/>
      <w:r>
        <w:rPr>
          <w:rFonts w:hint="eastAsia" w:ascii="黑体" w:hAnsi="黑体" w:eastAsia="黑体"/>
          <w:color w:val="auto"/>
          <w:sz w:val="28"/>
          <w:highlight w:val="none"/>
        </w:rPr>
        <w:t>第三章 项目技术要求和有关说明</w:t>
      </w:r>
      <w:bookmarkEnd w:id="75"/>
      <w:bookmarkEnd w:id="76"/>
    </w:p>
    <w:p w14:paraId="77A5C061">
      <w:pPr>
        <w:pStyle w:val="16"/>
        <w:spacing w:after="200" w:line="360" w:lineRule="auto"/>
        <w:ind w:firstLine="480" w:firstLineChars="200"/>
        <w:rPr>
          <w:rFonts w:ascii="宋体" w:hAnsi="宋体"/>
          <w:color w:val="auto"/>
          <w:sz w:val="24"/>
          <w:szCs w:val="24"/>
          <w:highlight w:val="none"/>
        </w:rPr>
      </w:pPr>
      <w:bookmarkStart w:id="77" w:name="_Toc25105"/>
      <w:bookmarkStart w:id="78" w:name="_Toc30976"/>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宜兴市公用投资管理有限公司太湖内源污染治理（太湖西岸宜兴近岸区域）一期工程涉航技术评价采购服务项目</w:t>
      </w:r>
      <w:r>
        <w:rPr>
          <w:rFonts w:hint="eastAsia" w:ascii="宋体" w:hAnsi="宋体"/>
          <w:color w:val="auto"/>
          <w:sz w:val="24"/>
          <w:szCs w:val="24"/>
          <w:highlight w:val="none"/>
        </w:rPr>
        <w:t>采购。具体要求如下，投标人须提供满足以下要求的服务，不得有负偏离。</w:t>
      </w:r>
    </w:p>
    <w:p w14:paraId="1F8A9066">
      <w:pPr>
        <w:adjustRightInd w:val="0"/>
        <w:spacing w:line="360" w:lineRule="auto"/>
        <w:ind w:firstLine="482" w:firstLineChars="200"/>
        <w:rPr>
          <w:rFonts w:hint="default"/>
          <w:b/>
          <w:bCs/>
          <w:color w:val="auto"/>
          <w:sz w:val="24"/>
          <w:highlight w:val="none"/>
          <w:lang w:val="en-US" w:eastAsia="zh-CN"/>
        </w:rPr>
      </w:pPr>
      <w:r>
        <w:rPr>
          <w:rFonts w:hint="eastAsia"/>
          <w:b/>
          <w:bCs/>
          <w:color w:val="auto"/>
          <w:sz w:val="24"/>
          <w:highlight w:val="none"/>
          <w:lang w:val="en-US" w:eastAsia="zh-CN"/>
        </w:rPr>
        <w:t>一、项目概况（包含但不限于以下内容）</w:t>
      </w:r>
    </w:p>
    <w:tbl>
      <w:tblPr>
        <w:tblStyle w:val="10"/>
        <w:tblW w:w="138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2"/>
        <w:gridCol w:w="588"/>
        <w:gridCol w:w="2340"/>
        <w:gridCol w:w="1870"/>
        <w:gridCol w:w="1091"/>
        <w:gridCol w:w="1759"/>
        <w:gridCol w:w="2375"/>
        <w:gridCol w:w="2071"/>
      </w:tblGrid>
      <w:tr w14:paraId="305F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tcBorders>
              <w:top w:val="single" w:color="000000" w:sz="4" w:space="0"/>
              <w:left w:val="single" w:color="000000" w:sz="4" w:space="0"/>
              <w:bottom w:val="single" w:color="000000" w:sz="4" w:space="0"/>
              <w:right w:val="nil"/>
            </w:tcBorders>
            <w:noWrap w:val="0"/>
            <w:vAlign w:val="center"/>
          </w:tcPr>
          <w:p w14:paraId="381D68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项目名称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545C1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E1493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设施名称</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C3560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rFonts w:hint="eastAsia"/>
                <w:sz w:val="24"/>
                <w:szCs w:val="24"/>
                <w:highlight w:val="none"/>
                <w:lang w:val="en-US" w:eastAsia="zh-CN" w:bidi="ar"/>
              </w:rPr>
              <w:t>航道</w:t>
            </w:r>
            <w:r>
              <w:rPr>
                <w:rStyle w:val="17"/>
                <w:sz w:val="24"/>
                <w:szCs w:val="24"/>
                <w:highlight w:val="none"/>
                <w:lang w:val="en-US" w:eastAsia="zh-CN" w:bidi="ar"/>
              </w:rPr>
              <w:t>名称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EC818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rFonts w:hint="eastAsia"/>
                <w:sz w:val="24"/>
                <w:szCs w:val="24"/>
                <w:highlight w:val="none"/>
                <w:lang w:val="en-US" w:eastAsia="zh-CN" w:bidi="ar"/>
              </w:rPr>
              <w:t>航</w:t>
            </w:r>
            <w:r>
              <w:rPr>
                <w:rStyle w:val="17"/>
                <w:sz w:val="24"/>
                <w:szCs w:val="24"/>
                <w:highlight w:val="none"/>
                <w:lang w:val="en-US" w:eastAsia="zh-CN" w:bidi="ar"/>
              </w:rPr>
              <w:t>道等级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6B744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设置方式</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532EC2DB">
            <w:pPr>
              <w:keepNext w:val="0"/>
              <w:keepLines w:val="0"/>
              <w:widowControl/>
              <w:suppressLineNumbers w:val="0"/>
              <w:jc w:val="center"/>
              <w:textAlignment w:val="center"/>
              <w:rPr>
                <w:rStyle w:val="17"/>
                <w:sz w:val="24"/>
                <w:szCs w:val="24"/>
                <w:highlight w:val="none"/>
                <w:lang w:val="en-US" w:eastAsia="zh-CN" w:bidi="ar"/>
              </w:rPr>
            </w:pPr>
            <w:r>
              <w:rPr>
                <w:rStyle w:val="18"/>
                <w:sz w:val="24"/>
                <w:szCs w:val="24"/>
                <w:highlight w:val="none"/>
                <w:lang w:val="en-US" w:eastAsia="zh-CN" w:bidi="ar"/>
              </w:rPr>
              <w:t>数量</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741F695">
            <w:pPr>
              <w:keepNext w:val="0"/>
              <w:keepLines w:val="0"/>
              <w:widowControl/>
              <w:suppressLineNumbers w:val="0"/>
              <w:jc w:val="center"/>
              <w:textAlignment w:val="center"/>
              <w:rPr>
                <w:rStyle w:val="17"/>
                <w:sz w:val="24"/>
                <w:szCs w:val="24"/>
                <w:highlight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5E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restart"/>
            <w:tcBorders>
              <w:top w:val="single" w:color="000000" w:sz="4" w:space="0"/>
              <w:left w:val="single" w:color="000000" w:sz="4" w:space="0"/>
              <w:right w:val="nil"/>
            </w:tcBorders>
            <w:noWrap w:val="0"/>
            <w:vAlign w:val="center"/>
          </w:tcPr>
          <w:p w14:paraId="6983B7E0">
            <w:pPr>
              <w:jc w:val="center"/>
              <w:rPr>
                <w:rFonts w:hint="eastAsia" w:ascii="宋体" w:hAnsi="宋体" w:eastAsia="宋体" w:cs="宋体"/>
                <w:b/>
                <w:bCs/>
                <w:i w:val="0"/>
                <w:iCs w:val="0"/>
                <w:color w:val="000000"/>
                <w:sz w:val="24"/>
                <w:szCs w:val="24"/>
                <w:highlight w:val="none"/>
                <w:u w:val="none"/>
              </w:rPr>
            </w:pPr>
            <w:r>
              <w:rPr>
                <w:rFonts w:hint="eastAsia" w:ascii="宋体" w:hAnsi="宋体"/>
                <w:color w:val="auto"/>
                <w:sz w:val="24"/>
                <w:szCs w:val="24"/>
                <w:highlight w:val="none"/>
                <w:lang w:eastAsia="zh-CN"/>
              </w:rPr>
              <w:t>太湖内源污染治理（太湖西岸宜兴近岸区域）一期工程</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42227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06FFD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太湖水域内的排泥管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0D842E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芜申线湖区段</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D8BF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cs="Times New Roman"/>
                <w:b w:val="0"/>
                <w:bCs w:val="0"/>
                <w:i w:val="0"/>
                <w:iCs w:val="0"/>
                <w:color w:val="000000"/>
                <w:kern w:val="0"/>
                <w:sz w:val="24"/>
                <w:szCs w:val="24"/>
                <w:highlight w:val="none"/>
                <w:u w:val="none"/>
                <w:lang w:val="en-US" w:eastAsia="zh-CN" w:bidi="ar"/>
              </w:rPr>
              <w:t>五级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D6CFF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穿越</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5FF26B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BF14826">
            <w:pPr>
              <w:jc w:val="center"/>
              <w:rPr>
                <w:rStyle w:val="19"/>
                <w:sz w:val="24"/>
                <w:szCs w:val="24"/>
                <w:highlight w:val="none"/>
                <w:lang w:val="en-US" w:eastAsia="zh-CN" w:bidi="ar"/>
              </w:rPr>
            </w:pPr>
          </w:p>
        </w:tc>
      </w:tr>
      <w:tr w14:paraId="0DD5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1A8FBB06">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AAABE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1996D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施荡河水域内的排泥管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51357B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施荡河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5811C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等外级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59881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rFonts w:hint="eastAsia"/>
                <w:sz w:val="24"/>
                <w:szCs w:val="24"/>
                <w:highlight w:val="none"/>
                <w:lang w:val="en-US" w:eastAsia="zh-CN" w:bidi="ar"/>
              </w:rPr>
              <w:t>长距离</w:t>
            </w:r>
            <w:r>
              <w:rPr>
                <w:rStyle w:val="20"/>
                <w:sz w:val="24"/>
                <w:szCs w:val="24"/>
                <w:highlight w:val="none"/>
                <w:lang w:val="en-US" w:eastAsia="zh-CN" w:bidi="ar"/>
              </w:rPr>
              <w:t>埋河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225BAA9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560DFBB">
            <w:pPr>
              <w:jc w:val="center"/>
              <w:rPr>
                <w:rStyle w:val="19"/>
                <w:sz w:val="24"/>
                <w:szCs w:val="24"/>
                <w:highlight w:val="none"/>
                <w:lang w:val="en-US" w:eastAsia="zh-CN" w:bidi="ar"/>
              </w:rPr>
            </w:pPr>
          </w:p>
        </w:tc>
      </w:tr>
      <w:tr w14:paraId="7686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7DDB856E">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C635D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D9FE7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穿越湖洋渚河</w:t>
            </w:r>
            <w:r>
              <w:rPr>
                <w:rFonts w:hint="eastAsia" w:ascii="宋体" w:hAnsi="宋体" w:eastAsia="宋体" w:cs="宋体"/>
                <w:i w:val="0"/>
                <w:iCs w:val="0"/>
                <w:color w:val="000000"/>
                <w:kern w:val="0"/>
                <w:sz w:val="24"/>
                <w:szCs w:val="24"/>
                <w:highlight w:val="none"/>
                <w:u w:val="none"/>
                <w:lang w:val="en-US" w:eastAsia="zh-CN" w:bidi="ar"/>
              </w:rPr>
              <w:t>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1FA4EB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湖洋渚河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77877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等外级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4C23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穿越</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1AC084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23128CB">
            <w:pPr>
              <w:keepNext w:val="0"/>
              <w:keepLines w:val="0"/>
              <w:widowControl/>
              <w:suppressLineNumbers w:val="0"/>
              <w:jc w:val="center"/>
              <w:textAlignment w:val="center"/>
              <w:rPr>
                <w:rStyle w:val="19"/>
                <w:sz w:val="24"/>
                <w:szCs w:val="24"/>
                <w:highlight w:val="none"/>
                <w:lang w:val="en-US" w:eastAsia="zh-CN" w:bidi="ar"/>
              </w:rPr>
            </w:pPr>
          </w:p>
        </w:tc>
      </w:tr>
      <w:tr w14:paraId="09B7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47AE6E93">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66A6E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97D06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水上转运平台1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5612A33">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cs="宋体"/>
                <w:b w:val="0"/>
                <w:bCs w:val="0"/>
                <w:i w:val="0"/>
                <w:iCs w:val="0"/>
                <w:color w:val="000000"/>
                <w:sz w:val="24"/>
                <w:szCs w:val="24"/>
                <w:highlight w:val="none"/>
                <w:u w:val="none"/>
                <w:lang w:val="en-US" w:eastAsia="zh-CN"/>
              </w:rPr>
              <w:t>锡滏线</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5454B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20"/>
                <w:rFonts w:hint="eastAsia"/>
                <w:sz w:val="24"/>
                <w:szCs w:val="24"/>
                <w:highlight w:val="none"/>
                <w:lang w:val="en-US" w:eastAsia="zh-CN" w:bidi="ar"/>
              </w:rPr>
              <w:t>六</w:t>
            </w:r>
            <w:r>
              <w:rPr>
                <w:rStyle w:val="20"/>
                <w:sz w:val="24"/>
                <w:szCs w:val="24"/>
                <w:highlight w:val="none"/>
                <w:lang w:val="en-US" w:eastAsia="zh-CN" w:bidi="ar"/>
              </w:rPr>
              <w:t>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321C8C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20"/>
                <w:sz w:val="24"/>
                <w:szCs w:val="24"/>
                <w:highlight w:val="none"/>
                <w:lang w:val="en-US" w:eastAsia="zh-CN" w:bidi="ar"/>
              </w:rPr>
              <w:t>临河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2E9080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2303D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0EB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4A34E5BE">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55EFC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7DF5E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水上转运平台2</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9D6D6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1FDF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等外级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34B09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临河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77AEE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86D58C0">
            <w:pPr>
              <w:keepNext w:val="0"/>
              <w:keepLines w:val="0"/>
              <w:widowControl/>
              <w:suppressLineNumbers w:val="0"/>
              <w:jc w:val="center"/>
              <w:textAlignment w:val="center"/>
              <w:rPr>
                <w:rStyle w:val="19"/>
                <w:sz w:val="24"/>
                <w:szCs w:val="24"/>
                <w:highlight w:val="none"/>
                <w:lang w:val="en-US" w:eastAsia="zh-CN" w:bidi="ar"/>
              </w:rPr>
            </w:pPr>
          </w:p>
        </w:tc>
      </w:tr>
    </w:tbl>
    <w:p w14:paraId="49F6F5D4">
      <w:pPr>
        <w:pStyle w:val="16"/>
        <w:spacing w:after="200" w:line="360" w:lineRule="auto"/>
        <w:ind w:firstLine="480" w:firstLineChars="200"/>
        <w:rPr>
          <w:rFonts w:hint="eastAsia" w:ascii="宋体" w:hAnsi="宋体" w:eastAsia="宋体" w:cs="Times New Roman"/>
          <w:color w:val="auto"/>
          <w:sz w:val="24"/>
          <w:szCs w:val="24"/>
          <w:highlight w:val="none"/>
          <w:lang w:eastAsia="zh-CN"/>
        </w:rPr>
        <w:sectPr>
          <w:pgSz w:w="16838" w:h="11906" w:orient="landscape"/>
          <w:pgMar w:top="1701" w:right="1417" w:bottom="1701" w:left="1417" w:header="851" w:footer="992" w:gutter="0"/>
          <w:cols w:space="720" w:num="1"/>
          <w:docGrid w:type="lines" w:linePitch="312" w:charSpace="0"/>
        </w:sectPr>
      </w:pPr>
    </w:p>
    <w:p w14:paraId="5BC8541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209990D7">
      <w:pPr>
        <w:spacing w:line="42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1、项目地址：宜兴市。</w:t>
      </w:r>
    </w:p>
    <w:p w14:paraId="420FC262">
      <w:pPr>
        <w:spacing w:line="42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r>
        <w:rPr>
          <w:rFonts w:hint="eastAsia" w:ascii="宋体" w:hAnsi="宋体"/>
          <w:sz w:val="24"/>
          <w:szCs w:val="24"/>
          <w:highlight w:val="none"/>
        </w:rPr>
        <w:t>、招标范围及内容：</w:t>
      </w:r>
      <w:r>
        <w:rPr>
          <w:rFonts w:hint="eastAsia" w:ascii="宋体" w:hAnsi="宋体"/>
          <w:bCs/>
          <w:sz w:val="24"/>
          <w:szCs w:val="24"/>
          <w:highlight w:val="none"/>
          <w:lang w:eastAsia="zh-CN"/>
        </w:rPr>
        <w:t>太湖内源污染治理（太湖西岸宜兴近岸区域）一期工程</w:t>
      </w:r>
      <w:r>
        <w:rPr>
          <w:rFonts w:hint="eastAsia" w:ascii="宋体" w:hAnsi="宋体"/>
          <w:sz w:val="24"/>
          <w:szCs w:val="24"/>
          <w:highlight w:val="none"/>
        </w:rPr>
        <w:t>涉航技术评价报告编制工作，主要工作内容为：编制《</w:t>
      </w:r>
      <w:r>
        <w:rPr>
          <w:rFonts w:hint="eastAsia" w:ascii="宋体" w:hAnsi="宋体"/>
          <w:bCs/>
          <w:sz w:val="24"/>
          <w:szCs w:val="24"/>
          <w:highlight w:val="none"/>
          <w:lang w:eastAsia="zh-CN"/>
        </w:rPr>
        <w:t>太湖内源污染治理（太湖西岸宜兴近岸区域）一期工程</w:t>
      </w:r>
      <w:r>
        <w:rPr>
          <w:rFonts w:hint="eastAsia" w:ascii="宋体" w:hAnsi="宋体"/>
          <w:sz w:val="24"/>
          <w:szCs w:val="24"/>
          <w:highlight w:val="none"/>
        </w:rPr>
        <w:t>涉航技术评价报告》，经评审后获得相关部门的</w:t>
      </w:r>
      <w:r>
        <w:rPr>
          <w:rFonts w:hint="eastAsia"/>
          <w:sz w:val="24"/>
          <w:highlight w:val="none"/>
        </w:rPr>
        <w:t>准予交通运输行政确认决定书</w:t>
      </w:r>
      <w:r>
        <w:rPr>
          <w:rFonts w:hint="eastAsia" w:ascii="宋体" w:hAnsi="宋体"/>
          <w:sz w:val="24"/>
          <w:szCs w:val="24"/>
          <w:highlight w:val="none"/>
        </w:rPr>
        <w:t>（注：具体评估内容以审批部门要求为准）</w:t>
      </w:r>
      <w:r>
        <w:rPr>
          <w:rFonts w:hint="eastAsia"/>
          <w:sz w:val="24"/>
          <w:highlight w:val="none"/>
        </w:rPr>
        <w:t>。</w:t>
      </w:r>
    </w:p>
    <w:p w14:paraId="1660BD3D">
      <w:pPr>
        <w:spacing w:line="420" w:lineRule="exact"/>
        <w:ind w:firstLine="480" w:firstLineChars="200"/>
        <w:jc w:val="left"/>
        <w:rPr>
          <w:color w:val="auto"/>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、项目的基本要求： 符合国家、江苏省、宜兴市相关主管部门及本行业相关规范和技术标准。</w:t>
      </w:r>
    </w:p>
    <w:p w14:paraId="124C67E6">
      <w:pPr>
        <w:pStyle w:val="25"/>
        <w:widowControl/>
        <w:spacing w:line="420" w:lineRule="exact"/>
        <w:rPr>
          <w:rFonts w:hint="eastAsia" w:ascii="宋体" w:hAnsi="宋体"/>
          <w:b/>
          <w:bCs/>
          <w:sz w:val="24"/>
          <w:highlight w:val="none"/>
        </w:rPr>
      </w:pPr>
      <w:r>
        <w:rPr>
          <w:rFonts w:hint="eastAsia" w:ascii="宋体" w:hAnsi="宋体"/>
          <w:b/>
          <w:bCs/>
          <w:sz w:val="24"/>
          <w:highlight w:val="none"/>
        </w:rPr>
        <w:t>三、项目内容要求</w:t>
      </w:r>
    </w:p>
    <w:p w14:paraId="32FE469B">
      <w:pPr>
        <w:pStyle w:val="25"/>
        <w:widowControl/>
        <w:spacing w:line="420" w:lineRule="exact"/>
        <w:ind w:firstLine="490"/>
        <w:rPr>
          <w:rFonts w:hint="eastAsia" w:ascii="宋体" w:hAnsi="宋体"/>
          <w:sz w:val="24"/>
          <w:highlight w:val="none"/>
        </w:rPr>
      </w:pPr>
      <w:r>
        <w:rPr>
          <w:rFonts w:hint="eastAsia" w:ascii="宋体" w:hAnsi="宋体"/>
          <w:sz w:val="24"/>
          <w:highlight w:val="none"/>
        </w:rPr>
        <w:t>咨询要求：满足相关规范、规程的要求。</w:t>
      </w:r>
    </w:p>
    <w:p w14:paraId="18964CC4">
      <w:pPr>
        <w:pStyle w:val="25"/>
        <w:widowControl/>
        <w:spacing w:line="420" w:lineRule="exact"/>
        <w:ind w:firstLine="490"/>
        <w:rPr>
          <w:rFonts w:hint="default" w:ascii="宋体" w:hAnsi="宋体"/>
          <w:sz w:val="24"/>
          <w:highlight w:val="none"/>
          <w:lang w:val="en-US"/>
        </w:rPr>
      </w:pPr>
      <w:r>
        <w:rPr>
          <w:rFonts w:hint="eastAsia" w:ascii="宋体" w:hAnsi="宋体" w:eastAsia="宋体" w:cs="Times New Roman"/>
          <w:sz w:val="24"/>
          <w:highlight w:val="none"/>
          <w:lang w:val="en-US" w:eastAsia="zh-CN"/>
        </w:rPr>
        <w:t>管线标制作安装要求：满足《内河助航标志》（GB5863-2022）、《内河交通安全标志》（GB13851-2022）等相关规范的要求。</w:t>
      </w:r>
    </w:p>
    <w:p w14:paraId="13F93FCF">
      <w:pPr>
        <w:pStyle w:val="25"/>
        <w:widowControl/>
        <w:spacing w:line="420" w:lineRule="exact"/>
        <w:rPr>
          <w:rFonts w:hint="eastAsia" w:ascii="宋体" w:hAnsi="宋体"/>
          <w:b/>
          <w:bCs/>
          <w:sz w:val="24"/>
          <w:highlight w:val="none"/>
        </w:rPr>
      </w:pPr>
      <w:r>
        <w:rPr>
          <w:rFonts w:hint="eastAsia" w:ascii="宋体" w:hAnsi="宋体"/>
          <w:b/>
          <w:bCs/>
          <w:sz w:val="24"/>
          <w:highlight w:val="none"/>
        </w:rPr>
        <w:t>四</w:t>
      </w:r>
      <w:r>
        <w:rPr>
          <w:rFonts w:hint="eastAsia" w:ascii="宋体" w:hAnsi="宋体"/>
          <w:b/>
          <w:bCs/>
          <w:sz w:val="24"/>
          <w:highlight w:val="none"/>
          <w:lang w:eastAsia="zh-CN"/>
        </w:rPr>
        <w:t>、</w:t>
      </w:r>
      <w:r>
        <w:rPr>
          <w:rFonts w:hint="eastAsia" w:ascii="宋体" w:hAnsi="宋体"/>
          <w:b/>
          <w:bCs/>
          <w:sz w:val="24"/>
          <w:highlight w:val="none"/>
          <w:lang w:val="en-US" w:eastAsia="zh-CN"/>
        </w:rPr>
        <w:t>服务期限、</w:t>
      </w:r>
      <w:r>
        <w:rPr>
          <w:rFonts w:hint="eastAsia" w:ascii="宋体" w:hAnsi="宋体"/>
          <w:b/>
          <w:bCs/>
          <w:sz w:val="24"/>
          <w:highlight w:val="none"/>
        </w:rPr>
        <w:t>递交地点</w:t>
      </w:r>
    </w:p>
    <w:p w14:paraId="2D2980B2">
      <w:pPr>
        <w:pStyle w:val="25"/>
        <w:widowControl/>
        <w:spacing w:line="420" w:lineRule="exact"/>
        <w:ind w:firstLine="49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服务期限</w:t>
      </w:r>
      <w:r>
        <w:rPr>
          <w:rFonts w:hint="eastAsia" w:ascii="宋体" w:hAnsi="宋体"/>
          <w:sz w:val="24"/>
          <w:highlight w:val="none"/>
        </w:rPr>
        <w:t>：</w:t>
      </w:r>
      <w:r>
        <w:rPr>
          <w:rFonts w:hint="eastAsia"/>
          <w:sz w:val="24"/>
          <w:highlight w:val="none"/>
          <w:lang w:val="en-US" w:eastAsia="zh-CN"/>
        </w:rPr>
        <w:t>中标后，中标供应商在接到采购人通知后须于30日内完成</w:t>
      </w:r>
      <w:r>
        <w:rPr>
          <w:rFonts w:hint="eastAsia"/>
          <w:sz w:val="24"/>
          <w:highlight w:val="none"/>
          <w:lang w:eastAsia="zh-CN"/>
        </w:rPr>
        <w:t>：</w:t>
      </w:r>
      <w:r>
        <w:rPr>
          <w:rFonts w:hint="eastAsia"/>
          <w:sz w:val="24"/>
          <w:highlight w:val="none"/>
        </w:rPr>
        <w:t>相关报告的编制</w:t>
      </w:r>
      <w:r>
        <w:rPr>
          <w:rFonts w:hint="eastAsia"/>
          <w:sz w:val="24"/>
          <w:highlight w:val="none"/>
          <w:lang w:eastAsia="zh-CN"/>
        </w:rPr>
        <w:t>及</w:t>
      </w:r>
      <w:r>
        <w:rPr>
          <w:rFonts w:hint="eastAsia"/>
          <w:sz w:val="24"/>
          <w:highlight w:val="none"/>
        </w:rPr>
        <w:t>取得相关部门的准予交通运输行政确认决定书（注：具体评估内容以审批部门要求为准）</w:t>
      </w:r>
      <w:r>
        <w:rPr>
          <w:rFonts w:hint="eastAsia"/>
          <w:sz w:val="24"/>
          <w:highlight w:val="none"/>
          <w:lang w:eastAsia="zh-CN"/>
        </w:rPr>
        <w:t>。</w:t>
      </w:r>
    </w:p>
    <w:p w14:paraId="7F60352C">
      <w:pPr>
        <w:pStyle w:val="25"/>
        <w:widowControl/>
        <w:spacing w:line="420" w:lineRule="exact"/>
        <w:ind w:firstLine="490"/>
        <w:rPr>
          <w:rFonts w:hint="eastAsia" w:ascii="宋体" w:hAnsi="宋体"/>
          <w:sz w:val="24"/>
          <w:highlight w:val="none"/>
        </w:rPr>
      </w:pPr>
      <w:r>
        <w:rPr>
          <w:rFonts w:hint="eastAsia" w:ascii="宋体" w:hAnsi="宋体"/>
          <w:sz w:val="24"/>
          <w:highlight w:val="none"/>
        </w:rPr>
        <w:t>2、递交地点：采购单位指定地点。</w:t>
      </w:r>
    </w:p>
    <w:p w14:paraId="4C8762A7">
      <w:pPr>
        <w:pStyle w:val="25"/>
        <w:widowControl/>
        <w:spacing w:line="420" w:lineRule="exact"/>
        <w:ind w:firstLine="490"/>
        <w:rPr>
          <w:rFonts w:hint="eastAsia" w:ascii="宋体" w:hAnsi="宋体"/>
          <w:sz w:val="24"/>
          <w:highlight w:val="none"/>
        </w:rPr>
      </w:pPr>
      <w:r>
        <w:rPr>
          <w:rFonts w:hint="eastAsia" w:ascii="宋体" w:hAnsi="宋体"/>
          <w:sz w:val="24"/>
          <w:highlight w:val="none"/>
        </w:rPr>
        <w:t>3、付款方式：</w:t>
      </w:r>
      <w:r>
        <w:rPr>
          <w:rFonts w:hint="eastAsia" w:ascii="宋体" w:hAnsi="宋体"/>
          <w:sz w:val="24"/>
          <w:highlight w:val="none"/>
          <w:lang w:val="en-US" w:eastAsia="zh-CN"/>
        </w:rPr>
        <w:t>中标供应商</w:t>
      </w:r>
      <w:r>
        <w:rPr>
          <w:rFonts w:hint="eastAsia" w:ascii="宋体" w:hAnsi="宋体"/>
          <w:sz w:val="24"/>
          <w:highlight w:val="none"/>
        </w:rPr>
        <w:t>凭主管部门的涉航技术评价报告批复且所有资料移交</w:t>
      </w:r>
      <w:r>
        <w:rPr>
          <w:rFonts w:hint="eastAsia" w:ascii="宋体" w:hAnsi="宋体"/>
          <w:sz w:val="24"/>
          <w:highlight w:val="none"/>
          <w:lang w:val="en-US" w:eastAsia="zh-CN"/>
        </w:rPr>
        <w:t>采购人</w:t>
      </w:r>
      <w:r>
        <w:rPr>
          <w:rFonts w:hint="eastAsia" w:ascii="宋体" w:hAnsi="宋体"/>
          <w:sz w:val="24"/>
          <w:highlight w:val="none"/>
        </w:rPr>
        <w:t>后，</w:t>
      </w:r>
      <w:r>
        <w:rPr>
          <w:rFonts w:hint="eastAsia" w:ascii="宋体" w:hAnsi="宋体"/>
          <w:sz w:val="24"/>
          <w:highlight w:val="none"/>
          <w:lang w:val="en-US" w:eastAsia="zh-CN"/>
        </w:rPr>
        <w:t>中标供应商</w:t>
      </w:r>
      <w:r>
        <w:rPr>
          <w:rFonts w:hint="eastAsia" w:ascii="宋体" w:hAnsi="宋体"/>
          <w:sz w:val="24"/>
          <w:highlight w:val="none"/>
        </w:rPr>
        <w:t>提供正式合法有效的增值税专用发票给</w:t>
      </w:r>
      <w:r>
        <w:rPr>
          <w:rFonts w:hint="eastAsia" w:ascii="宋体" w:hAnsi="宋体"/>
          <w:sz w:val="24"/>
          <w:highlight w:val="none"/>
          <w:lang w:val="en-US" w:eastAsia="zh-CN"/>
        </w:rPr>
        <w:t>采购人</w:t>
      </w:r>
      <w:r>
        <w:rPr>
          <w:rFonts w:hint="eastAsia" w:ascii="宋体" w:hAnsi="宋体"/>
          <w:sz w:val="24"/>
          <w:highlight w:val="none"/>
        </w:rPr>
        <w:t>，收到发票后30日内</w:t>
      </w:r>
      <w:r>
        <w:rPr>
          <w:rFonts w:hint="eastAsia" w:ascii="宋体" w:hAnsi="宋体"/>
          <w:sz w:val="24"/>
          <w:highlight w:val="none"/>
          <w:lang w:val="en-US" w:eastAsia="zh-CN"/>
        </w:rPr>
        <w:t>采购人</w:t>
      </w:r>
      <w:r>
        <w:rPr>
          <w:rFonts w:hint="eastAsia" w:ascii="宋体" w:hAnsi="宋体"/>
          <w:sz w:val="24"/>
          <w:highlight w:val="none"/>
        </w:rPr>
        <w:t>应向</w:t>
      </w:r>
      <w:r>
        <w:rPr>
          <w:rFonts w:hint="eastAsia" w:ascii="宋体" w:hAnsi="宋体"/>
          <w:sz w:val="24"/>
          <w:highlight w:val="none"/>
          <w:lang w:val="en-US" w:eastAsia="zh-CN"/>
        </w:rPr>
        <w:t>中标供应商</w:t>
      </w:r>
      <w:r>
        <w:rPr>
          <w:rFonts w:hint="eastAsia" w:ascii="宋体" w:hAnsi="宋体"/>
          <w:sz w:val="24"/>
          <w:highlight w:val="none"/>
        </w:rPr>
        <w:t>一次性支付全部费用。</w:t>
      </w:r>
    </w:p>
    <w:p w14:paraId="2E75E4B4">
      <w:pPr>
        <w:snapToGrid w:val="0"/>
        <w:spacing w:line="360" w:lineRule="auto"/>
        <w:ind w:firstLine="482" w:firstLineChars="200"/>
        <w:rPr>
          <w:rFonts w:hint="eastAsia" w:eastAsia="宋体"/>
          <w:b/>
          <w:color w:val="auto"/>
          <w:sz w:val="24"/>
          <w:szCs w:val="24"/>
          <w:highlight w:val="none"/>
          <w:lang w:val="en-US" w:eastAsia="zh-CN"/>
        </w:rPr>
      </w:pPr>
      <w:r>
        <w:rPr>
          <w:rFonts w:hint="eastAsia"/>
          <w:b/>
          <w:color w:val="auto"/>
          <w:sz w:val="24"/>
          <w:szCs w:val="24"/>
          <w:highlight w:val="none"/>
          <w:lang w:val="en-US" w:eastAsia="zh-CN"/>
        </w:rPr>
        <w:t>4、</w:t>
      </w:r>
      <w:r>
        <w:rPr>
          <w:rFonts w:hint="eastAsia" w:ascii="宋体" w:hAnsi="宋体"/>
          <w:color w:val="auto"/>
          <w:sz w:val="24"/>
          <w:szCs w:val="24"/>
          <w:highlight w:val="none"/>
          <w:lang w:val="en-US" w:eastAsia="zh-CN"/>
        </w:rPr>
        <w:t>结算方式：本章节项目概况表格中的数量为预估数量，最终按实结算。</w:t>
      </w:r>
    </w:p>
    <w:p w14:paraId="12E40ED7">
      <w:pPr>
        <w:pStyle w:val="16"/>
        <w:spacing w:after="200" w:line="360" w:lineRule="auto"/>
        <w:ind w:firstLine="480" w:firstLineChars="200"/>
        <w:jc w:val="left"/>
        <w:rPr>
          <w:rFonts w:hint="eastAsia" w:ascii="宋体" w:hAnsi="宋体"/>
          <w:color w:val="auto"/>
          <w:sz w:val="24"/>
          <w:szCs w:val="24"/>
          <w:highlight w:val="none"/>
          <w:lang w:val="en-US" w:eastAsia="zh-CN"/>
        </w:rPr>
      </w:pPr>
    </w:p>
    <w:p w14:paraId="354CB70C">
      <w:pPr>
        <w:pStyle w:val="16"/>
        <w:spacing w:after="200" w:line="360" w:lineRule="auto"/>
        <w:ind w:firstLine="480" w:firstLineChars="200"/>
        <w:jc w:val="left"/>
        <w:rPr>
          <w:rFonts w:hint="eastAsia" w:ascii="宋体" w:hAnsi="宋体"/>
          <w:color w:val="auto"/>
          <w:sz w:val="24"/>
          <w:szCs w:val="24"/>
          <w:highlight w:val="none"/>
          <w:lang w:val="en-US" w:eastAsia="zh-CN"/>
        </w:rPr>
      </w:pPr>
    </w:p>
    <w:p w14:paraId="532F506D">
      <w:pPr>
        <w:outlineLvl w:val="0"/>
        <w:rPr>
          <w:rFonts w:hint="eastAsia" w:ascii="黑体" w:hAnsi="黑体" w:eastAsia="黑体"/>
          <w:color w:val="auto"/>
          <w:sz w:val="28"/>
          <w:highlight w:val="none"/>
        </w:rPr>
        <w:sectPr>
          <w:pgSz w:w="11906" w:h="16838"/>
          <w:pgMar w:top="1417" w:right="1701" w:bottom="1417" w:left="1701" w:header="851" w:footer="992" w:gutter="0"/>
          <w:cols w:space="720" w:num="1"/>
          <w:docGrid w:type="lines" w:linePitch="312" w:charSpace="0"/>
        </w:sectPr>
      </w:pPr>
    </w:p>
    <w:p w14:paraId="5F0ABC20">
      <w:pPr>
        <w:jc w:val="both"/>
        <w:outlineLvl w:val="0"/>
        <w:rPr>
          <w:rFonts w:hint="eastAsia" w:ascii="黑体" w:hAnsi="黑体" w:eastAsia="黑体"/>
          <w:color w:val="auto"/>
          <w:sz w:val="28"/>
          <w:highlight w:val="none"/>
        </w:rPr>
      </w:pP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sz w:val="24"/>
                <w:szCs w:val="24"/>
                <w:highlight w:val="none"/>
                <w:lang w:val="en-US" w:eastAsia="zh-CN"/>
              </w:rPr>
              <w:t>48</w:t>
            </w:r>
            <w:r>
              <w:rPr>
                <w:rFonts w:hint="eastAsia" w:ascii="宋体" w:hAnsi="宋体"/>
                <w:sz w:val="24"/>
                <w:szCs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sz w:val="24"/>
                <w:szCs w:val="24"/>
                <w:highlight w:val="none"/>
                <w:lang w:val="en-US" w:eastAsia="zh-CN"/>
              </w:rPr>
              <w:t>52</w:t>
            </w:r>
            <w:r>
              <w:rPr>
                <w:rFonts w:hint="eastAsia" w:ascii="宋体" w:hAnsi="宋体"/>
                <w:sz w:val="24"/>
                <w:szCs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0"/>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665"/>
        <w:gridCol w:w="2078"/>
        <w:gridCol w:w="895"/>
        <w:gridCol w:w="4295"/>
      </w:tblGrid>
      <w:tr w14:paraId="0416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center"/>
          </w:tcPr>
          <w:p w14:paraId="44516D92">
            <w:pPr>
              <w:jc w:val="center"/>
              <w:rPr>
                <w:rFonts w:ascii="宋体" w:hAnsi="宋体"/>
                <w:b/>
                <w:sz w:val="22"/>
                <w:szCs w:val="24"/>
                <w:highlight w:val="none"/>
              </w:rPr>
            </w:pPr>
            <w:r>
              <w:rPr>
                <w:rFonts w:hint="eastAsia" w:ascii="宋体" w:hAnsi="宋体"/>
                <w:b/>
                <w:sz w:val="22"/>
                <w:szCs w:val="24"/>
                <w:highlight w:val="none"/>
              </w:rPr>
              <w:t>评审</w:t>
            </w:r>
          </w:p>
          <w:p w14:paraId="4F0CBD31">
            <w:pPr>
              <w:jc w:val="center"/>
              <w:rPr>
                <w:rFonts w:ascii="宋体" w:hAnsi="宋体"/>
                <w:b/>
                <w:sz w:val="22"/>
                <w:szCs w:val="24"/>
                <w:highlight w:val="none"/>
              </w:rPr>
            </w:pPr>
            <w:r>
              <w:rPr>
                <w:rFonts w:hint="eastAsia" w:ascii="宋体" w:hAnsi="宋体"/>
                <w:b/>
                <w:sz w:val="22"/>
                <w:szCs w:val="24"/>
                <w:highlight w:val="none"/>
              </w:rPr>
              <w:t>内容</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6CF831D6">
            <w:pPr>
              <w:jc w:val="center"/>
              <w:rPr>
                <w:b/>
                <w:sz w:val="22"/>
                <w:highlight w:val="none"/>
              </w:rPr>
            </w:pPr>
            <w:r>
              <w:rPr>
                <w:rFonts w:hint="eastAsia" w:ascii="宋体" w:hAnsi="宋体"/>
                <w:b/>
                <w:sz w:val="22"/>
                <w:szCs w:val="24"/>
                <w:highlight w:val="none"/>
              </w:rPr>
              <w:t>序号</w:t>
            </w:r>
          </w:p>
        </w:tc>
        <w:tc>
          <w:tcPr>
            <w:tcW w:w="1175" w:type="pct"/>
            <w:tcBorders>
              <w:top w:val="single" w:color="auto" w:sz="4" w:space="0"/>
              <w:left w:val="single" w:color="auto" w:sz="4" w:space="0"/>
              <w:right w:val="single" w:color="auto" w:sz="4" w:space="0"/>
            </w:tcBorders>
            <w:noWrap w:val="0"/>
            <w:vAlign w:val="center"/>
          </w:tcPr>
          <w:p w14:paraId="1EF96072">
            <w:pPr>
              <w:jc w:val="center"/>
              <w:rPr>
                <w:rFonts w:ascii="宋体" w:hAnsi="宋体"/>
                <w:b/>
                <w:sz w:val="22"/>
                <w:szCs w:val="24"/>
                <w:highlight w:val="none"/>
              </w:rPr>
            </w:pPr>
            <w:r>
              <w:rPr>
                <w:rFonts w:hint="eastAsia" w:ascii="宋体" w:hAnsi="宋体"/>
                <w:b/>
                <w:sz w:val="22"/>
                <w:szCs w:val="24"/>
                <w:highlight w:val="none"/>
              </w:rPr>
              <w:t>评审项目</w:t>
            </w:r>
          </w:p>
        </w:tc>
        <w:tc>
          <w:tcPr>
            <w:tcW w:w="506" w:type="pct"/>
            <w:tcBorders>
              <w:top w:val="single" w:color="auto" w:sz="4" w:space="0"/>
              <w:left w:val="single" w:color="auto" w:sz="4" w:space="0"/>
              <w:right w:val="single" w:color="auto" w:sz="4" w:space="0"/>
            </w:tcBorders>
            <w:noWrap w:val="0"/>
            <w:vAlign w:val="center"/>
          </w:tcPr>
          <w:p w14:paraId="6AC35CFF">
            <w:pPr>
              <w:jc w:val="center"/>
              <w:rPr>
                <w:rFonts w:ascii="宋体" w:hAnsi="宋体"/>
                <w:b/>
                <w:sz w:val="22"/>
                <w:szCs w:val="24"/>
                <w:highlight w:val="none"/>
              </w:rPr>
            </w:pPr>
            <w:r>
              <w:rPr>
                <w:rFonts w:hint="eastAsia" w:ascii="宋体" w:hAnsi="宋体"/>
                <w:b/>
                <w:sz w:val="22"/>
                <w:szCs w:val="24"/>
                <w:highlight w:val="none"/>
              </w:rPr>
              <w:t>分值</w:t>
            </w:r>
          </w:p>
        </w:tc>
        <w:tc>
          <w:tcPr>
            <w:tcW w:w="2429" w:type="pct"/>
            <w:tcBorders>
              <w:top w:val="single" w:color="auto" w:sz="4" w:space="0"/>
              <w:left w:val="single" w:color="auto" w:sz="4" w:space="0"/>
              <w:bottom w:val="single" w:color="auto" w:sz="4" w:space="0"/>
              <w:right w:val="single" w:color="auto" w:sz="4" w:space="0"/>
            </w:tcBorders>
            <w:noWrap w:val="0"/>
            <w:vAlign w:val="center"/>
          </w:tcPr>
          <w:p w14:paraId="0D80425A">
            <w:pPr>
              <w:jc w:val="center"/>
              <w:rPr>
                <w:rFonts w:ascii="宋体" w:hAnsi="宋体"/>
                <w:b/>
                <w:szCs w:val="21"/>
                <w:highlight w:val="none"/>
              </w:rPr>
            </w:pPr>
            <w:r>
              <w:rPr>
                <w:rFonts w:hint="eastAsia" w:ascii="宋体" w:hAnsi="宋体"/>
                <w:b/>
                <w:szCs w:val="21"/>
                <w:highlight w:val="none"/>
              </w:rPr>
              <w:t>评审细则</w:t>
            </w:r>
          </w:p>
        </w:tc>
      </w:tr>
      <w:tr w14:paraId="3798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511" w:type="pct"/>
            <w:vMerge w:val="restart"/>
            <w:tcBorders>
              <w:top w:val="single" w:color="auto" w:sz="4" w:space="0"/>
              <w:left w:val="single" w:color="auto" w:sz="4" w:space="0"/>
              <w:right w:val="single" w:color="auto" w:sz="4" w:space="0"/>
            </w:tcBorders>
            <w:noWrap w:val="0"/>
            <w:vAlign w:val="center"/>
          </w:tcPr>
          <w:p w14:paraId="76C9810E">
            <w:pPr>
              <w:jc w:val="center"/>
              <w:rPr>
                <w:rFonts w:ascii="宋体" w:hAnsi="宋体"/>
                <w:sz w:val="24"/>
                <w:szCs w:val="21"/>
                <w:highlight w:val="none"/>
              </w:rPr>
            </w:pPr>
            <w:r>
              <w:rPr>
                <w:rFonts w:hint="eastAsia" w:ascii="宋体" w:hAnsi="宋体"/>
                <w:sz w:val="24"/>
                <w:szCs w:val="21"/>
                <w:highlight w:val="none"/>
              </w:rPr>
              <w:t>主观评审因素</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5C9E12C5">
            <w:pPr>
              <w:jc w:val="center"/>
              <w:rPr>
                <w:sz w:val="24"/>
                <w:szCs w:val="21"/>
                <w:highlight w:val="none"/>
              </w:rPr>
            </w:pPr>
            <w:r>
              <w:rPr>
                <w:rFonts w:hint="eastAsia" w:ascii="宋体" w:hAnsi="宋体"/>
                <w:sz w:val="24"/>
                <w:szCs w:val="21"/>
                <w:highlight w:val="none"/>
              </w:rPr>
              <w:t>1</w:t>
            </w:r>
          </w:p>
        </w:tc>
        <w:tc>
          <w:tcPr>
            <w:tcW w:w="1175" w:type="pct"/>
            <w:tcBorders>
              <w:top w:val="single" w:color="auto" w:sz="4" w:space="0"/>
              <w:left w:val="single" w:color="auto" w:sz="4" w:space="0"/>
              <w:bottom w:val="single" w:color="auto" w:sz="4" w:space="0"/>
              <w:right w:val="single" w:color="auto" w:sz="4" w:space="0"/>
            </w:tcBorders>
            <w:noWrap w:val="0"/>
            <w:vAlign w:val="center"/>
          </w:tcPr>
          <w:p w14:paraId="6375D280">
            <w:pPr>
              <w:jc w:val="center"/>
              <w:rPr>
                <w:rFonts w:hint="eastAsia" w:ascii="宋体" w:hAnsi="宋体"/>
                <w:sz w:val="24"/>
                <w:szCs w:val="21"/>
                <w:highlight w:val="none"/>
              </w:rPr>
            </w:pPr>
            <w:r>
              <w:rPr>
                <w:rFonts w:hint="eastAsia" w:ascii="宋体" w:hAnsi="宋体"/>
                <w:sz w:val="24"/>
                <w:szCs w:val="21"/>
                <w:highlight w:val="none"/>
              </w:rPr>
              <w:t>对招标项目的理解、指导思想和思路</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02F0C4A">
            <w:pPr>
              <w:pStyle w:val="3"/>
              <w:jc w:val="center"/>
              <w:rPr>
                <w:rFonts w:ascii="宋体" w:hAnsi="宋体" w:cs="宋体"/>
                <w:sz w:val="24"/>
                <w:szCs w:val="21"/>
                <w:highlight w:val="none"/>
              </w:rPr>
            </w:pPr>
            <w:r>
              <w:rPr>
                <w:rFonts w:hint="eastAsia" w:ascii="宋体" w:hAnsi="宋体" w:cs="宋体"/>
                <w:sz w:val="24"/>
                <w:szCs w:val="21"/>
                <w:highlight w:val="none"/>
              </w:rPr>
              <w:t>10</w:t>
            </w:r>
          </w:p>
        </w:tc>
        <w:tc>
          <w:tcPr>
            <w:tcW w:w="2429" w:type="pct"/>
            <w:tcBorders>
              <w:top w:val="single" w:color="auto" w:sz="4" w:space="0"/>
              <w:left w:val="single" w:color="auto" w:sz="4" w:space="0"/>
              <w:bottom w:val="single" w:color="auto" w:sz="4" w:space="0"/>
              <w:right w:val="single" w:color="auto" w:sz="4" w:space="0"/>
            </w:tcBorders>
            <w:noWrap w:val="0"/>
            <w:vAlign w:val="top"/>
          </w:tcPr>
          <w:p w14:paraId="2423E197">
            <w:pPr>
              <w:rPr>
                <w:rFonts w:hint="default" w:ascii="宋体" w:hAnsi="宋体" w:eastAsia="宋体"/>
                <w:sz w:val="24"/>
                <w:szCs w:val="21"/>
                <w:highlight w:val="none"/>
                <w:lang w:val="en-US" w:eastAsia="zh-CN"/>
              </w:rPr>
            </w:pPr>
            <w:r>
              <w:rPr>
                <w:rFonts w:hint="eastAsia" w:ascii="宋体" w:hAnsi="宋体"/>
                <w:sz w:val="24"/>
                <w:szCs w:val="21"/>
                <w:highlight w:val="none"/>
              </w:rPr>
              <w:t>对项目的理解、指导思想和思路。评标委员会根据投标人提供的材料进行打分。</w:t>
            </w:r>
            <w:r>
              <w:rPr>
                <w:rFonts w:hint="eastAsia" w:ascii="宋体" w:hAnsi="宋体"/>
                <w:sz w:val="24"/>
                <w:szCs w:val="21"/>
                <w:highlight w:val="none"/>
                <w:lang w:val="en-US" w:eastAsia="zh-CN"/>
              </w:rPr>
              <w:t>方案</w:t>
            </w:r>
            <w:r>
              <w:rPr>
                <w:rFonts w:hint="eastAsia" w:ascii="宋体" w:hAnsi="宋体"/>
                <w:sz w:val="24"/>
                <w:szCs w:val="21"/>
                <w:highlight w:val="none"/>
              </w:rPr>
              <w:t>优</w:t>
            </w:r>
            <w:r>
              <w:rPr>
                <w:rFonts w:hint="eastAsia" w:ascii="宋体" w:hAnsi="宋体"/>
                <w:sz w:val="24"/>
                <w:szCs w:val="21"/>
                <w:highlight w:val="none"/>
                <w:lang w:val="en-US" w:eastAsia="zh-CN"/>
              </w:rPr>
              <w:t>秀的得</w:t>
            </w:r>
            <w:r>
              <w:rPr>
                <w:rFonts w:hint="eastAsia" w:ascii="宋体" w:hAnsi="宋体"/>
                <w:sz w:val="24"/>
                <w:szCs w:val="21"/>
                <w:highlight w:val="none"/>
              </w:rPr>
              <w:t>10分，</w:t>
            </w:r>
            <w:r>
              <w:rPr>
                <w:rFonts w:hint="eastAsia" w:ascii="宋体" w:hAnsi="宋体"/>
                <w:sz w:val="24"/>
                <w:szCs w:val="21"/>
                <w:highlight w:val="none"/>
                <w:lang w:val="en-US" w:eastAsia="zh-CN"/>
              </w:rPr>
              <w:t>方案</w:t>
            </w:r>
            <w:r>
              <w:rPr>
                <w:rFonts w:hint="eastAsia" w:ascii="宋体" w:hAnsi="宋体"/>
                <w:sz w:val="24"/>
                <w:szCs w:val="21"/>
                <w:highlight w:val="none"/>
              </w:rPr>
              <w:t>良</w:t>
            </w:r>
            <w:r>
              <w:rPr>
                <w:rFonts w:hint="eastAsia" w:ascii="宋体" w:hAnsi="宋体"/>
                <w:sz w:val="24"/>
                <w:szCs w:val="21"/>
                <w:highlight w:val="none"/>
                <w:lang w:val="en-US" w:eastAsia="zh-CN"/>
              </w:rPr>
              <w:t>好的得7</w:t>
            </w:r>
            <w:r>
              <w:rPr>
                <w:rFonts w:hint="eastAsia" w:ascii="宋体" w:hAnsi="宋体"/>
                <w:sz w:val="24"/>
                <w:szCs w:val="21"/>
                <w:highlight w:val="none"/>
              </w:rPr>
              <w:t>分，</w:t>
            </w:r>
            <w:r>
              <w:rPr>
                <w:rFonts w:hint="eastAsia" w:ascii="宋体" w:hAnsi="宋体"/>
                <w:sz w:val="24"/>
                <w:szCs w:val="21"/>
                <w:highlight w:val="none"/>
                <w:lang w:val="en-US" w:eastAsia="zh-CN"/>
              </w:rPr>
              <w:t>方案一般的得4分，方案差的得1分，无相关内容则不得分。</w:t>
            </w:r>
          </w:p>
        </w:tc>
      </w:tr>
      <w:tr w14:paraId="2F40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511" w:type="pct"/>
            <w:vMerge w:val="continue"/>
            <w:tcBorders>
              <w:left w:val="single" w:color="auto" w:sz="4" w:space="0"/>
              <w:right w:val="single" w:color="auto" w:sz="4" w:space="0"/>
            </w:tcBorders>
            <w:noWrap w:val="0"/>
            <w:vAlign w:val="center"/>
          </w:tcPr>
          <w:p w14:paraId="26E2ED78">
            <w:pPr>
              <w:jc w:val="center"/>
              <w:rPr>
                <w:rFonts w:ascii="宋体" w:hAnsi="宋体"/>
                <w:sz w:val="24"/>
                <w:szCs w:val="21"/>
                <w:highlight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333F0073">
            <w:pPr>
              <w:jc w:val="center"/>
              <w:rPr>
                <w:rFonts w:ascii="宋体" w:hAnsi="宋体"/>
                <w:sz w:val="24"/>
                <w:szCs w:val="21"/>
                <w:highlight w:val="none"/>
              </w:rPr>
            </w:pPr>
            <w:r>
              <w:rPr>
                <w:rFonts w:hint="eastAsia" w:ascii="宋体" w:hAnsi="宋体"/>
                <w:sz w:val="24"/>
                <w:szCs w:val="21"/>
                <w:highlight w:val="none"/>
              </w:rPr>
              <w:t>2</w:t>
            </w:r>
          </w:p>
        </w:tc>
        <w:tc>
          <w:tcPr>
            <w:tcW w:w="1175" w:type="pct"/>
            <w:tcBorders>
              <w:top w:val="single" w:color="auto" w:sz="4" w:space="0"/>
              <w:left w:val="single" w:color="auto" w:sz="4" w:space="0"/>
              <w:bottom w:val="single" w:color="auto" w:sz="4" w:space="0"/>
              <w:right w:val="single" w:color="auto" w:sz="4" w:space="0"/>
            </w:tcBorders>
            <w:noWrap w:val="0"/>
            <w:vAlign w:val="center"/>
          </w:tcPr>
          <w:p w14:paraId="250980A7">
            <w:pPr>
              <w:jc w:val="center"/>
              <w:rPr>
                <w:rFonts w:hint="eastAsia" w:ascii="宋体" w:hAnsi="宋体"/>
                <w:sz w:val="24"/>
                <w:szCs w:val="21"/>
                <w:highlight w:val="none"/>
              </w:rPr>
            </w:pPr>
            <w:r>
              <w:rPr>
                <w:rFonts w:hint="eastAsia" w:ascii="宋体" w:hAnsi="宋体"/>
                <w:sz w:val="24"/>
                <w:szCs w:val="21"/>
                <w:highlight w:val="none"/>
              </w:rPr>
              <w:t>招标项目的特点、关键技术问题的认识及其对策措施</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6B3E7914">
            <w:pPr>
              <w:pStyle w:val="3"/>
              <w:jc w:val="center"/>
              <w:rPr>
                <w:rFonts w:hint="eastAsia" w:ascii="宋体" w:hAnsi="宋体" w:eastAsia="宋体" w:cs="宋体"/>
                <w:sz w:val="24"/>
                <w:szCs w:val="21"/>
                <w:highlight w:val="none"/>
                <w:lang w:eastAsia="zh-CN"/>
              </w:rPr>
            </w:pPr>
            <w:r>
              <w:rPr>
                <w:rFonts w:hint="eastAsia" w:ascii="宋体" w:hAnsi="宋体" w:cs="宋体"/>
                <w:sz w:val="24"/>
                <w:szCs w:val="21"/>
                <w:highlight w:val="none"/>
              </w:rPr>
              <w:t>1</w:t>
            </w:r>
            <w:r>
              <w:rPr>
                <w:rFonts w:hint="eastAsia" w:ascii="宋体" w:hAnsi="宋体" w:cs="宋体"/>
                <w:sz w:val="24"/>
                <w:szCs w:val="21"/>
                <w:highlight w:val="none"/>
                <w:lang w:val="en-US" w:eastAsia="zh-CN"/>
              </w:rPr>
              <w:t>6</w:t>
            </w:r>
          </w:p>
        </w:tc>
        <w:tc>
          <w:tcPr>
            <w:tcW w:w="2429" w:type="pct"/>
            <w:tcBorders>
              <w:top w:val="single" w:color="auto" w:sz="4" w:space="0"/>
              <w:left w:val="single" w:color="auto" w:sz="4" w:space="0"/>
              <w:bottom w:val="single" w:color="auto" w:sz="4" w:space="0"/>
              <w:right w:val="single" w:color="auto" w:sz="4" w:space="0"/>
            </w:tcBorders>
            <w:noWrap w:val="0"/>
            <w:vAlign w:val="top"/>
          </w:tcPr>
          <w:p w14:paraId="7834985C">
            <w:pPr>
              <w:rPr>
                <w:rFonts w:hint="eastAsia" w:ascii="宋体" w:hAnsi="宋体"/>
                <w:sz w:val="24"/>
                <w:szCs w:val="21"/>
                <w:highlight w:val="none"/>
              </w:rPr>
            </w:pPr>
            <w:r>
              <w:rPr>
                <w:rFonts w:hint="eastAsia" w:ascii="宋体" w:hAnsi="宋体"/>
                <w:sz w:val="24"/>
                <w:szCs w:val="21"/>
                <w:highlight w:val="none"/>
              </w:rPr>
              <w:t>根据投标人技术建议书对本项目的重点难点分析部分进行评分。</w:t>
            </w:r>
            <w:r>
              <w:rPr>
                <w:rFonts w:hint="eastAsia" w:ascii="宋体" w:hAnsi="宋体"/>
                <w:sz w:val="24"/>
                <w:szCs w:val="21"/>
                <w:highlight w:val="none"/>
                <w:lang w:val="en-US" w:eastAsia="zh-CN"/>
              </w:rPr>
              <w:t>方案</w:t>
            </w:r>
            <w:r>
              <w:rPr>
                <w:rFonts w:hint="eastAsia" w:ascii="宋体" w:hAnsi="宋体"/>
                <w:sz w:val="24"/>
                <w:szCs w:val="21"/>
                <w:highlight w:val="none"/>
              </w:rPr>
              <w:t>优</w:t>
            </w:r>
            <w:r>
              <w:rPr>
                <w:rFonts w:hint="eastAsia" w:ascii="宋体" w:hAnsi="宋体"/>
                <w:sz w:val="24"/>
                <w:szCs w:val="21"/>
                <w:highlight w:val="none"/>
                <w:lang w:val="en-US" w:eastAsia="zh-CN"/>
              </w:rPr>
              <w:t>秀的得</w:t>
            </w:r>
            <w:r>
              <w:rPr>
                <w:rFonts w:hint="eastAsia" w:ascii="宋体" w:hAnsi="宋体"/>
                <w:sz w:val="24"/>
                <w:szCs w:val="21"/>
                <w:highlight w:val="none"/>
              </w:rPr>
              <w:t>1</w:t>
            </w:r>
            <w:r>
              <w:rPr>
                <w:rFonts w:hint="eastAsia" w:ascii="宋体" w:hAnsi="宋体"/>
                <w:sz w:val="24"/>
                <w:szCs w:val="21"/>
                <w:highlight w:val="none"/>
                <w:lang w:val="en-US" w:eastAsia="zh-CN"/>
              </w:rPr>
              <w:t>6</w:t>
            </w:r>
            <w:r>
              <w:rPr>
                <w:rFonts w:hint="eastAsia" w:ascii="宋体" w:hAnsi="宋体"/>
                <w:sz w:val="24"/>
                <w:szCs w:val="21"/>
                <w:highlight w:val="none"/>
              </w:rPr>
              <w:t>分，</w:t>
            </w:r>
            <w:r>
              <w:rPr>
                <w:rFonts w:hint="eastAsia" w:ascii="宋体" w:hAnsi="宋体"/>
                <w:sz w:val="24"/>
                <w:szCs w:val="21"/>
                <w:highlight w:val="none"/>
                <w:lang w:val="en-US" w:eastAsia="zh-CN"/>
              </w:rPr>
              <w:t>方案</w:t>
            </w:r>
            <w:r>
              <w:rPr>
                <w:rFonts w:hint="eastAsia" w:ascii="宋体" w:hAnsi="宋体"/>
                <w:sz w:val="24"/>
                <w:szCs w:val="21"/>
                <w:highlight w:val="none"/>
              </w:rPr>
              <w:t>良</w:t>
            </w:r>
            <w:r>
              <w:rPr>
                <w:rFonts w:hint="eastAsia" w:ascii="宋体" w:hAnsi="宋体"/>
                <w:sz w:val="24"/>
                <w:szCs w:val="21"/>
                <w:highlight w:val="none"/>
                <w:lang w:val="en-US" w:eastAsia="zh-CN"/>
              </w:rPr>
              <w:t>好的得11</w:t>
            </w:r>
            <w:r>
              <w:rPr>
                <w:rFonts w:hint="eastAsia" w:ascii="宋体" w:hAnsi="宋体"/>
                <w:sz w:val="24"/>
                <w:szCs w:val="21"/>
                <w:highlight w:val="none"/>
              </w:rPr>
              <w:t>分，</w:t>
            </w:r>
            <w:r>
              <w:rPr>
                <w:rFonts w:hint="eastAsia" w:ascii="宋体" w:hAnsi="宋体"/>
                <w:sz w:val="24"/>
                <w:szCs w:val="21"/>
                <w:highlight w:val="none"/>
                <w:lang w:val="en-US" w:eastAsia="zh-CN"/>
              </w:rPr>
              <w:t>方案一般的得6分，方案差的得1分，无相关内容则不得分。</w:t>
            </w:r>
          </w:p>
        </w:tc>
      </w:tr>
      <w:tr w14:paraId="4DA9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511" w:type="pct"/>
            <w:vMerge w:val="continue"/>
            <w:tcBorders>
              <w:left w:val="single" w:color="auto" w:sz="4" w:space="0"/>
              <w:right w:val="single" w:color="auto" w:sz="4" w:space="0"/>
            </w:tcBorders>
            <w:noWrap w:val="0"/>
            <w:vAlign w:val="center"/>
          </w:tcPr>
          <w:p w14:paraId="6178BF4C">
            <w:pPr>
              <w:jc w:val="center"/>
              <w:rPr>
                <w:rFonts w:ascii="宋体" w:hAnsi="宋体"/>
                <w:sz w:val="24"/>
                <w:szCs w:val="21"/>
                <w:highlight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6AC474E8">
            <w:pPr>
              <w:jc w:val="center"/>
              <w:rPr>
                <w:rFonts w:ascii="宋体" w:hAnsi="宋体"/>
                <w:sz w:val="24"/>
                <w:szCs w:val="21"/>
                <w:highlight w:val="none"/>
              </w:rPr>
            </w:pPr>
            <w:r>
              <w:rPr>
                <w:rFonts w:hint="eastAsia" w:ascii="宋体" w:hAnsi="宋体"/>
                <w:sz w:val="24"/>
                <w:szCs w:val="21"/>
                <w:highlight w:val="none"/>
              </w:rPr>
              <w:t>3</w:t>
            </w:r>
          </w:p>
        </w:tc>
        <w:tc>
          <w:tcPr>
            <w:tcW w:w="1175" w:type="pct"/>
            <w:tcBorders>
              <w:top w:val="single" w:color="auto" w:sz="4" w:space="0"/>
              <w:left w:val="single" w:color="auto" w:sz="4" w:space="0"/>
              <w:bottom w:val="single" w:color="auto" w:sz="4" w:space="0"/>
              <w:right w:val="single" w:color="auto" w:sz="4" w:space="0"/>
            </w:tcBorders>
            <w:noWrap w:val="0"/>
            <w:vAlign w:val="center"/>
          </w:tcPr>
          <w:p w14:paraId="6973B324">
            <w:pPr>
              <w:jc w:val="center"/>
              <w:rPr>
                <w:rFonts w:hint="eastAsia" w:ascii="宋体" w:hAnsi="宋体"/>
                <w:sz w:val="24"/>
                <w:szCs w:val="21"/>
                <w:highlight w:val="none"/>
              </w:rPr>
            </w:pPr>
            <w:r>
              <w:rPr>
                <w:rFonts w:hint="eastAsia" w:ascii="宋体" w:hAnsi="宋体"/>
                <w:sz w:val="24"/>
                <w:szCs w:val="21"/>
                <w:highlight w:val="none"/>
              </w:rPr>
              <w:t>工作进度计划安排</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0A70B52D">
            <w:pPr>
              <w:pStyle w:val="3"/>
              <w:jc w:val="center"/>
              <w:rPr>
                <w:rFonts w:hint="eastAsia" w:ascii="宋体" w:hAnsi="宋体" w:eastAsia="宋体" w:cs="宋体"/>
                <w:sz w:val="24"/>
                <w:szCs w:val="21"/>
                <w:highlight w:val="none"/>
                <w:lang w:eastAsia="zh-CN"/>
              </w:rPr>
            </w:pPr>
            <w:r>
              <w:rPr>
                <w:rFonts w:hint="eastAsia" w:ascii="宋体" w:hAnsi="宋体" w:cs="宋体"/>
                <w:sz w:val="24"/>
                <w:szCs w:val="21"/>
                <w:highlight w:val="none"/>
                <w:lang w:val="en-US" w:eastAsia="zh-CN"/>
              </w:rPr>
              <w:t>6</w:t>
            </w:r>
          </w:p>
        </w:tc>
        <w:tc>
          <w:tcPr>
            <w:tcW w:w="2429" w:type="pct"/>
            <w:tcBorders>
              <w:top w:val="single" w:color="auto" w:sz="4" w:space="0"/>
              <w:left w:val="single" w:color="auto" w:sz="4" w:space="0"/>
              <w:bottom w:val="single" w:color="auto" w:sz="4" w:space="0"/>
              <w:right w:val="single" w:color="auto" w:sz="4" w:space="0"/>
            </w:tcBorders>
            <w:noWrap w:val="0"/>
            <w:vAlign w:val="top"/>
          </w:tcPr>
          <w:p w14:paraId="78F9B883">
            <w:pPr>
              <w:rPr>
                <w:rFonts w:hint="eastAsia" w:ascii="宋体" w:hAnsi="宋体"/>
                <w:sz w:val="24"/>
                <w:szCs w:val="21"/>
                <w:highlight w:val="none"/>
              </w:rPr>
            </w:pPr>
            <w:r>
              <w:rPr>
                <w:rFonts w:hint="eastAsia" w:ascii="宋体" w:hAnsi="宋体"/>
                <w:sz w:val="24"/>
                <w:szCs w:val="21"/>
                <w:highlight w:val="none"/>
              </w:rPr>
              <w:t>从工作计划、质量保证措施、进度保证措施等方面酌情评分。</w:t>
            </w:r>
            <w:r>
              <w:rPr>
                <w:rFonts w:hint="eastAsia" w:ascii="宋体" w:hAnsi="宋体"/>
                <w:sz w:val="24"/>
                <w:szCs w:val="21"/>
                <w:highlight w:val="none"/>
                <w:lang w:val="en-US" w:eastAsia="zh-CN"/>
              </w:rPr>
              <w:t>方案</w:t>
            </w:r>
            <w:r>
              <w:rPr>
                <w:rFonts w:hint="eastAsia" w:ascii="宋体" w:hAnsi="宋体"/>
                <w:sz w:val="24"/>
                <w:szCs w:val="21"/>
                <w:highlight w:val="none"/>
              </w:rPr>
              <w:t>优</w:t>
            </w:r>
            <w:r>
              <w:rPr>
                <w:rFonts w:hint="eastAsia" w:ascii="宋体" w:hAnsi="宋体"/>
                <w:sz w:val="24"/>
                <w:szCs w:val="21"/>
                <w:highlight w:val="none"/>
                <w:lang w:val="en-US" w:eastAsia="zh-CN"/>
              </w:rPr>
              <w:t>秀的得6</w:t>
            </w:r>
            <w:r>
              <w:rPr>
                <w:rFonts w:hint="eastAsia" w:ascii="宋体" w:hAnsi="宋体"/>
                <w:sz w:val="24"/>
                <w:szCs w:val="21"/>
                <w:highlight w:val="none"/>
              </w:rPr>
              <w:t>分，</w:t>
            </w:r>
            <w:r>
              <w:rPr>
                <w:rFonts w:hint="eastAsia" w:ascii="宋体" w:hAnsi="宋体"/>
                <w:sz w:val="24"/>
                <w:szCs w:val="21"/>
                <w:highlight w:val="none"/>
                <w:lang w:val="en-US" w:eastAsia="zh-CN"/>
              </w:rPr>
              <w:t>方案一般的得3分，方案差的得1分，无相关内容则不得分。</w:t>
            </w:r>
          </w:p>
        </w:tc>
      </w:tr>
      <w:tr w14:paraId="7319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511" w:type="pct"/>
            <w:vMerge w:val="continue"/>
            <w:tcBorders>
              <w:left w:val="single" w:color="auto" w:sz="4" w:space="0"/>
              <w:right w:val="single" w:color="auto" w:sz="4" w:space="0"/>
            </w:tcBorders>
            <w:noWrap w:val="0"/>
            <w:vAlign w:val="center"/>
          </w:tcPr>
          <w:p w14:paraId="24AB59B9">
            <w:pPr>
              <w:jc w:val="center"/>
              <w:rPr>
                <w:rFonts w:ascii="宋体" w:hAnsi="宋体"/>
                <w:sz w:val="24"/>
                <w:szCs w:val="21"/>
                <w:highlight w:val="none"/>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005C63EF">
            <w:pPr>
              <w:jc w:val="center"/>
              <w:rPr>
                <w:rFonts w:ascii="宋体" w:hAnsi="宋体"/>
                <w:sz w:val="24"/>
                <w:szCs w:val="21"/>
                <w:highlight w:val="none"/>
              </w:rPr>
            </w:pPr>
            <w:r>
              <w:rPr>
                <w:rFonts w:hint="eastAsia" w:ascii="宋体" w:hAnsi="宋体"/>
                <w:sz w:val="24"/>
                <w:szCs w:val="21"/>
                <w:highlight w:val="none"/>
              </w:rPr>
              <w:t>4</w:t>
            </w:r>
          </w:p>
        </w:tc>
        <w:tc>
          <w:tcPr>
            <w:tcW w:w="1175" w:type="pct"/>
            <w:tcBorders>
              <w:top w:val="single" w:color="auto" w:sz="4" w:space="0"/>
              <w:left w:val="single" w:color="auto" w:sz="4" w:space="0"/>
              <w:bottom w:val="single" w:color="auto" w:sz="4" w:space="0"/>
              <w:right w:val="single" w:color="auto" w:sz="4" w:space="0"/>
            </w:tcBorders>
            <w:noWrap w:val="0"/>
            <w:vAlign w:val="center"/>
          </w:tcPr>
          <w:p w14:paraId="6BE2D2A7">
            <w:pPr>
              <w:jc w:val="center"/>
              <w:rPr>
                <w:rFonts w:hint="eastAsia" w:ascii="宋体" w:hAnsi="宋体"/>
                <w:sz w:val="24"/>
                <w:szCs w:val="21"/>
                <w:highlight w:val="none"/>
              </w:rPr>
            </w:pPr>
            <w:r>
              <w:rPr>
                <w:rFonts w:hint="eastAsia" w:ascii="宋体" w:hAnsi="宋体"/>
                <w:sz w:val="24"/>
                <w:szCs w:val="21"/>
                <w:highlight w:val="none"/>
              </w:rPr>
              <w:t>后续服务</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1D76D55D">
            <w:pPr>
              <w:pStyle w:val="3"/>
              <w:jc w:val="center"/>
              <w:rPr>
                <w:rFonts w:hint="eastAsia" w:ascii="宋体" w:hAnsi="宋体" w:eastAsia="宋体" w:cs="宋体"/>
                <w:sz w:val="24"/>
                <w:szCs w:val="21"/>
                <w:highlight w:val="none"/>
                <w:lang w:eastAsia="zh-CN"/>
              </w:rPr>
            </w:pPr>
            <w:r>
              <w:rPr>
                <w:rFonts w:hint="eastAsia" w:ascii="宋体" w:hAnsi="宋体" w:cs="宋体"/>
                <w:sz w:val="24"/>
                <w:szCs w:val="21"/>
                <w:highlight w:val="none"/>
                <w:lang w:val="en-US" w:eastAsia="zh-CN"/>
              </w:rPr>
              <w:t>6</w:t>
            </w:r>
          </w:p>
        </w:tc>
        <w:tc>
          <w:tcPr>
            <w:tcW w:w="2429" w:type="pct"/>
            <w:tcBorders>
              <w:top w:val="single" w:color="auto" w:sz="4" w:space="0"/>
              <w:left w:val="single" w:color="auto" w:sz="4" w:space="0"/>
              <w:bottom w:val="single" w:color="auto" w:sz="4" w:space="0"/>
              <w:right w:val="single" w:color="auto" w:sz="4" w:space="0"/>
            </w:tcBorders>
            <w:noWrap w:val="0"/>
            <w:vAlign w:val="top"/>
          </w:tcPr>
          <w:p w14:paraId="5FED965B">
            <w:pPr>
              <w:rPr>
                <w:rFonts w:hint="eastAsia" w:ascii="宋体" w:hAnsi="宋体"/>
                <w:sz w:val="24"/>
                <w:szCs w:val="21"/>
                <w:highlight w:val="none"/>
              </w:rPr>
            </w:pPr>
            <w:r>
              <w:rPr>
                <w:rFonts w:hint="eastAsia" w:ascii="宋体" w:hAnsi="宋体"/>
                <w:sz w:val="24"/>
                <w:szCs w:val="21"/>
                <w:highlight w:val="none"/>
              </w:rPr>
              <w:t>从各投标人投入的后续服务人员、后续服务的内容以及后续服务承诺等方面酌情评分。</w:t>
            </w:r>
            <w:r>
              <w:rPr>
                <w:rFonts w:hint="eastAsia" w:ascii="宋体" w:hAnsi="宋体"/>
                <w:sz w:val="24"/>
                <w:szCs w:val="21"/>
                <w:highlight w:val="none"/>
                <w:lang w:val="en-US" w:eastAsia="zh-CN"/>
              </w:rPr>
              <w:t>方案</w:t>
            </w:r>
            <w:r>
              <w:rPr>
                <w:rFonts w:hint="eastAsia" w:ascii="宋体" w:hAnsi="宋体"/>
                <w:sz w:val="24"/>
                <w:szCs w:val="21"/>
                <w:highlight w:val="none"/>
              </w:rPr>
              <w:t>优</w:t>
            </w:r>
            <w:r>
              <w:rPr>
                <w:rFonts w:hint="eastAsia" w:ascii="宋体" w:hAnsi="宋体"/>
                <w:sz w:val="24"/>
                <w:szCs w:val="21"/>
                <w:highlight w:val="none"/>
                <w:lang w:val="en-US" w:eastAsia="zh-CN"/>
              </w:rPr>
              <w:t>秀的得6</w:t>
            </w:r>
            <w:r>
              <w:rPr>
                <w:rFonts w:hint="eastAsia" w:ascii="宋体" w:hAnsi="宋体"/>
                <w:sz w:val="24"/>
                <w:szCs w:val="21"/>
                <w:highlight w:val="none"/>
              </w:rPr>
              <w:t>分，</w:t>
            </w:r>
            <w:r>
              <w:rPr>
                <w:rFonts w:hint="eastAsia" w:ascii="宋体" w:hAnsi="宋体"/>
                <w:sz w:val="24"/>
                <w:szCs w:val="21"/>
                <w:highlight w:val="none"/>
                <w:lang w:val="en-US" w:eastAsia="zh-CN"/>
              </w:rPr>
              <w:t>方案一般的得3分，方案差的得1分，无相关内容则不得分。</w:t>
            </w:r>
          </w:p>
        </w:tc>
      </w:tr>
      <w:tr w14:paraId="6900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atLeast"/>
          <w:jc w:val="center"/>
        </w:trPr>
        <w:tc>
          <w:tcPr>
            <w:tcW w:w="511" w:type="pct"/>
            <w:vMerge w:val="restart"/>
            <w:tcBorders>
              <w:top w:val="single" w:color="auto" w:sz="4" w:space="0"/>
              <w:left w:val="single" w:color="auto" w:sz="4" w:space="0"/>
              <w:right w:val="single" w:color="auto" w:sz="4" w:space="0"/>
            </w:tcBorders>
            <w:noWrap w:val="0"/>
            <w:vAlign w:val="center"/>
          </w:tcPr>
          <w:p w14:paraId="185F60D9">
            <w:pPr>
              <w:jc w:val="center"/>
              <w:rPr>
                <w:rFonts w:ascii="宋体" w:hAnsi="宋体"/>
                <w:sz w:val="24"/>
                <w:szCs w:val="21"/>
                <w:highlight w:val="none"/>
              </w:rPr>
            </w:pPr>
            <w:r>
              <w:rPr>
                <w:rFonts w:hint="eastAsia" w:ascii="宋体" w:hAnsi="宋体"/>
                <w:sz w:val="24"/>
                <w:szCs w:val="21"/>
                <w:highlight w:val="none"/>
              </w:rPr>
              <w:t>客观评审因素</w:t>
            </w:r>
          </w:p>
        </w:tc>
        <w:tc>
          <w:tcPr>
            <w:tcW w:w="376" w:type="pct"/>
            <w:tcBorders>
              <w:top w:val="single" w:color="auto" w:sz="4" w:space="0"/>
              <w:left w:val="single" w:color="auto" w:sz="4" w:space="0"/>
              <w:right w:val="single" w:color="auto" w:sz="4" w:space="0"/>
            </w:tcBorders>
            <w:noWrap w:val="0"/>
            <w:vAlign w:val="center"/>
          </w:tcPr>
          <w:p w14:paraId="5FC671CC">
            <w:pPr>
              <w:jc w:val="center"/>
              <w:rPr>
                <w:rFonts w:hint="eastAsia" w:ascii="宋体" w:hAnsi="宋体"/>
                <w:sz w:val="24"/>
                <w:szCs w:val="21"/>
                <w:highlight w:val="none"/>
              </w:rPr>
            </w:pPr>
            <w:r>
              <w:rPr>
                <w:rFonts w:hint="eastAsia" w:ascii="宋体" w:hAnsi="宋体"/>
                <w:sz w:val="24"/>
                <w:szCs w:val="21"/>
                <w:highlight w:val="none"/>
              </w:rPr>
              <w:t>5</w:t>
            </w:r>
          </w:p>
        </w:tc>
        <w:tc>
          <w:tcPr>
            <w:tcW w:w="1175" w:type="pct"/>
            <w:tcBorders>
              <w:top w:val="single" w:color="auto" w:sz="4" w:space="0"/>
              <w:left w:val="single" w:color="auto" w:sz="4" w:space="0"/>
              <w:right w:val="single" w:color="auto" w:sz="4" w:space="0"/>
            </w:tcBorders>
            <w:noWrap w:val="0"/>
            <w:vAlign w:val="center"/>
          </w:tcPr>
          <w:p w14:paraId="513F9F1D">
            <w:pPr>
              <w:adjustRightInd w:val="0"/>
              <w:snapToGrid w:val="0"/>
              <w:jc w:val="center"/>
              <w:rPr>
                <w:rFonts w:hint="eastAsia" w:ascii="宋体" w:hAnsi="宋体"/>
                <w:sz w:val="24"/>
                <w:szCs w:val="21"/>
                <w:highlight w:val="none"/>
              </w:rPr>
            </w:pPr>
            <w:r>
              <w:rPr>
                <w:rFonts w:hint="eastAsia" w:ascii="宋体" w:hAnsi="宋体"/>
                <w:sz w:val="24"/>
                <w:szCs w:val="21"/>
                <w:highlight w:val="none"/>
              </w:rPr>
              <w:t>项目负责人要求</w:t>
            </w:r>
          </w:p>
        </w:tc>
        <w:tc>
          <w:tcPr>
            <w:tcW w:w="506" w:type="pct"/>
            <w:tcBorders>
              <w:top w:val="single" w:color="auto" w:sz="4" w:space="0"/>
              <w:left w:val="single" w:color="auto" w:sz="4" w:space="0"/>
              <w:right w:val="single" w:color="auto" w:sz="4" w:space="0"/>
            </w:tcBorders>
            <w:noWrap w:val="0"/>
            <w:vAlign w:val="center"/>
          </w:tcPr>
          <w:p w14:paraId="58587739">
            <w:pPr>
              <w:jc w:val="center"/>
              <w:rPr>
                <w:rFonts w:ascii="宋体" w:hAnsi="宋体"/>
                <w:sz w:val="24"/>
                <w:szCs w:val="21"/>
                <w:highlight w:val="none"/>
              </w:rPr>
            </w:pPr>
            <w:r>
              <w:rPr>
                <w:rFonts w:hint="eastAsia" w:ascii="宋体" w:hAnsi="宋体"/>
                <w:sz w:val="24"/>
                <w:szCs w:val="21"/>
                <w:highlight w:val="none"/>
              </w:rPr>
              <w:t>3</w:t>
            </w:r>
          </w:p>
        </w:tc>
        <w:tc>
          <w:tcPr>
            <w:tcW w:w="2429" w:type="pct"/>
            <w:tcBorders>
              <w:top w:val="single" w:color="auto" w:sz="4" w:space="0"/>
              <w:left w:val="single" w:color="auto" w:sz="4" w:space="0"/>
              <w:bottom w:val="single" w:color="auto" w:sz="4" w:space="0"/>
              <w:right w:val="single" w:color="auto" w:sz="4" w:space="0"/>
            </w:tcBorders>
            <w:noWrap w:val="0"/>
            <w:vAlign w:val="center"/>
          </w:tcPr>
          <w:p w14:paraId="3F5534D8">
            <w:pPr>
              <w:adjustRightInd w:val="0"/>
              <w:snapToGrid w:val="0"/>
              <w:jc w:val="left"/>
              <w:rPr>
                <w:rFonts w:hint="default" w:ascii="宋体" w:hAnsi="宋体" w:eastAsia="宋体"/>
                <w:sz w:val="24"/>
                <w:szCs w:val="21"/>
                <w:highlight w:val="none"/>
                <w:lang w:val="en-US" w:eastAsia="zh-CN"/>
              </w:rPr>
            </w:pPr>
            <w:r>
              <w:rPr>
                <w:rFonts w:hint="eastAsia" w:ascii="宋体" w:hAnsi="宋体"/>
                <w:sz w:val="24"/>
                <w:szCs w:val="21"/>
                <w:highlight w:val="none"/>
              </w:rPr>
              <w:t>项目负责人有高级</w:t>
            </w:r>
            <w:r>
              <w:rPr>
                <w:rFonts w:hint="eastAsia" w:ascii="宋体" w:hAnsi="宋体"/>
                <w:sz w:val="24"/>
                <w:szCs w:val="21"/>
                <w:highlight w:val="none"/>
                <w:lang w:val="en-US" w:eastAsia="zh-CN"/>
              </w:rPr>
              <w:t>及以上</w:t>
            </w:r>
            <w:r>
              <w:rPr>
                <w:rFonts w:hint="eastAsia" w:ascii="宋体" w:hAnsi="宋体"/>
                <w:sz w:val="24"/>
                <w:szCs w:val="21"/>
                <w:highlight w:val="none"/>
              </w:rPr>
              <w:t>职称得3分，项目负责人有中级职称得</w:t>
            </w:r>
            <w:r>
              <w:rPr>
                <w:rFonts w:hint="eastAsia" w:ascii="宋体" w:hAnsi="宋体"/>
                <w:sz w:val="24"/>
                <w:szCs w:val="21"/>
                <w:highlight w:val="none"/>
                <w:lang w:val="en-US" w:eastAsia="zh-CN"/>
              </w:rPr>
              <w:t>2</w:t>
            </w:r>
            <w:r>
              <w:rPr>
                <w:rFonts w:hint="eastAsia" w:ascii="宋体" w:hAnsi="宋体"/>
                <w:sz w:val="24"/>
                <w:szCs w:val="21"/>
                <w:highlight w:val="none"/>
              </w:rPr>
              <w:t>分。</w:t>
            </w:r>
            <w:r>
              <w:rPr>
                <w:rFonts w:hint="eastAsia" w:ascii="宋体" w:hAnsi="宋体"/>
                <w:sz w:val="24"/>
                <w:szCs w:val="21"/>
                <w:highlight w:val="none"/>
                <w:lang w:val="en-US" w:eastAsia="zh-CN"/>
              </w:rPr>
              <w:t>本项最高得3分。</w:t>
            </w:r>
          </w:p>
          <w:p w14:paraId="47B3195E">
            <w:pPr>
              <w:adjustRightInd w:val="0"/>
              <w:snapToGrid w:val="0"/>
              <w:jc w:val="left"/>
              <w:rPr>
                <w:rFonts w:hint="eastAsia" w:ascii="宋体" w:hAnsi="宋体"/>
                <w:sz w:val="24"/>
                <w:szCs w:val="21"/>
                <w:highlight w:val="none"/>
              </w:rPr>
            </w:pPr>
            <w:r>
              <w:rPr>
                <w:rFonts w:hint="eastAsia" w:ascii="宋体" w:hAnsi="宋体"/>
                <w:b/>
                <w:bCs/>
                <w:sz w:val="24"/>
                <w:szCs w:val="21"/>
                <w:highlight w:val="none"/>
              </w:rPr>
              <w:t>注：须提供职称证书及投标人为其缴纳的</w:t>
            </w:r>
            <w:r>
              <w:rPr>
                <w:rFonts w:hint="eastAsia" w:ascii="宋体" w:hAnsi="宋体"/>
                <w:b/>
                <w:bCs/>
                <w:sz w:val="24"/>
                <w:szCs w:val="24"/>
                <w:highlight w:val="none"/>
              </w:rPr>
              <w:t>近十二个月中</w:t>
            </w:r>
            <w:r>
              <w:rPr>
                <w:rFonts w:hint="eastAsia" w:ascii="宋体" w:hAnsi="宋体"/>
                <w:b/>
                <w:bCs/>
                <w:sz w:val="24"/>
                <w:szCs w:val="21"/>
                <w:highlight w:val="none"/>
              </w:rPr>
              <w:t>连续六个月的</w:t>
            </w:r>
            <w:r>
              <w:rPr>
                <w:rFonts w:hint="eastAsia" w:ascii="宋体" w:hAnsi="宋体"/>
                <w:b/>
                <w:bCs/>
                <w:sz w:val="24"/>
                <w:szCs w:val="21"/>
                <w:highlight w:val="none"/>
                <w:lang w:val="en-US" w:eastAsia="zh-CN"/>
              </w:rPr>
              <w:t>社保</w:t>
            </w:r>
            <w:r>
              <w:rPr>
                <w:rFonts w:hint="eastAsia" w:ascii="宋体" w:hAnsi="宋体"/>
                <w:b/>
                <w:bCs/>
                <w:sz w:val="24"/>
                <w:szCs w:val="21"/>
                <w:highlight w:val="none"/>
              </w:rPr>
              <w:t>证明复印件。</w:t>
            </w:r>
          </w:p>
        </w:tc>
      </w:tr>
      <w:tr w14:paraId="60B4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6" w:hRule="atLeast"/>
          <w:jc w:val="center"/>
        </w:trPr>
        <w:tc>
          <w:tcPr>
            <w:tcW w:w="511" w:type="pct"/>
            <w:vMerge w:val="continue"/>
            <w:tcBorders>
              <w:left w:val="single" w:color="auto" w:sz="4" w:space="0"/>
              <w:right w:val="single" w:color="auto" w:sz="4" w:space="0"/>
            </w:tcBorders>
            <w:noWrap w:val="0"/>
            <w:vAlign w:val="center"/>
          </w:tcPr>
          <w:p w14:paraId="287A166C">
            <w:pPr>
              <w:jc w:val="center"/>
              <w:rPr>
                <w:rFonts w:ascii="宋体" w:hAnsi="宋体"/>
                <w:sz w:val="24"/>
                <w:szCs w:val="24"/>
                <w:highlight w:val="none"/>
              </w:rPr>
            </w:pPr>
          </w:p>
        </w:tc>
        <w:tc>
          <w:tcPr>
            <w:tcW w:w="376" w:type="pct"/>
            <w:tcBorders>
              <w:left w:val="single" w:color="auto" w:sz="4" w:space="0"/>
              <w:right w:val="single" w:color="auto" w:sz="4" w:space="0"/>
            </w:tcBorders>
            <w:noWrap w:val="0"/>
            <w:vAlign w:val="center"/>
          </w:tcPr>
          <w:p w14:paraId="60DC179A">
            <w:pPr>
              <w:jc w:val="center"/>
              <w:rPr>
                <w:rFonts w:ascii="宋体" w:hAnsi="宋体"/>
                <w:sz w:val="24"/>
                <w:szCs w:val="21"/>
                <w:highlight w:val="none"/>
              </w:rPr>
            </w:pPr>
            <w:r>
              <w:rPr>
                <w:rFonts w:hint="eastAsia" w:ascii="宋体" w:hAnsi="宋体"/>
                <w:sz w:val="24"/>
                <w:szCs w:val="21"/>
                <w:highlight w:val="none"/>
              </w:rPr>
              <w:t>6</w:t>
            </w:r>
          </w:p>
        </w:tc>
        <w:tc>
          <w:tcPr>
            <w:tcW w:w="1175" w:type="pct"/>
            <w:tcBorders>
              <w:left w:val="single" w:color="auto" w:sz="4" w:space="0"/>
              <w:right w:val="single" w:color="auto" w:sz="4" w:space="0"/>
            </w:tcBorders>
            <w:noWrap w:val="0"/>
            <w:vAlign w:val="center"/>
          </w:tcPr>
          <w:p w14:paraId="6D892193">
            <w:pPr>
              <w:adjustRightInd w:val="0"/>
              <w:snapToGrid w:val="0"/>
              <w:jc w:val="center"/>
              <w:rPr>
                <w:rFonts w:hint="eastAsia" w:ascii="宋体" w:hAnsi="宋体"/>
                <w:sz w:val="24"/>
                <w:szCs w:val="21"/>
                <w:highlight w:val="none"/>
              </w:rPr>
            </w:pPr>
            <w:r>
              <w:rPr>
                <w:rFonts w:hint="eastAsia" w:ascii="宋体" w:hAnsi="宋体"/>
                <w:sz w:val="24"/>
                <w:szCs w:val="21"/>
                <w:highlight w:val="none"/>
              </w:rPr>
              <w:t>投标人类似业绩</w:t>
            </w:r>
          </w:p>
        </w:tc>
        <w:tc>
          <w:tcPr>
            <w:tcW w:w="506" w:type="pct"/>
            <w:tcBorders>
              <w:left w:val="single" w:color="auto" w:sz="4" w:space="0"/>
              <w:right w:val="single" w:color="auto" w:sz="4" w:space="0"/>
            </w:tcBorders>
            <w:noWrap w:val="0"/>
            <w:vAlign w:val="center"/>
          </w:tcPr>
          <w:p w14:paraId="7C77A72B">
            <w:pPr>
              <w:jc w:val="center"/>
              <w:rPr>
                <w:rFonts w:hint="eastAsia" w:ascii="宋体" w:hAnsi="宋体" w:eastAsia="宋体"/>
                <w:sz w:val="24"/>
                <w:szCs w:val="21"/>
                <w:highlight w:val="none"/>
                <w:lang w:eastAsia="zh-CN"/>
              </w:rPr>
            </w:pPr>
            <w:r>
              <w:rPr>
                <w:rFonts w:hint="eastAsia" w:ascii="宋体" w:hAnsi="宋体"/>
                <w:sz w:val="24"/>
                <w:szCs w:val="21"/>
                <w:highlight w:val="none"/>
                <w:lang w:val="en-US" w:eastAsia="zh-CN"/>
              </w:rPr>
              <w:t>4</w:t>
            </w:r>
          </w:p>
        </w:tc>
        <w:tc>
          <w:tcPr>
            <w:tcW w:w="2429" w:type="pct"/>
            <w:tcBorders>
              <w:top w:val="single" w:color="auto" w:sz="4" w:space="0"/>
              <w:left w:val="single" w:color="auto" w:sz="4" w:space="0"/>
              <w:bottom w:val="single" w:color="auto" w:sz="4" w:space="0"/>
              <w:right w:val="single" w:color="auto" w:sz="4" w:space="0"/>
            </w:tcBorders>
            <w:noWrap w:val="0"/>
            <w:vAlign w:val="center"/>
          </w:tcPr>
          <w:p w14:paraId="66D80DF0">
            <w:pPr>
              <w:adjustRightInd w:val="0"/>
              <w:snapToGrid w:val="0"/>
              <w:ind w:firstLine="480" w:firstLineChars="200"/>
              <w:jc w:val="left"/>
              <w:rPr>
                <w:rFonts w:hint="eastAsia" w:ascii="宋体" w:hAnsi="宋体"/>
                <w:sz w:val="24"/>
                <w:szCs w:val="21"/>
                <w:highlight w:val="none"/>
              </w:rPr>
            </w:pPr>
            <w:r>
              <w:rPr>
                <w:rFonts w:hint="eastAsia" w:ascii="宋体" w:hAnsi="宋体"/>
                <w:sz w:val="24"/>
                <w:szCs w:val="21"/>
                <w:highlight w:val="none"/>
              </w:rPr>
              <w:t>①20</w:t>
            </w:r>
            <w:r>
              <w:rPr>
                <w:rFonts w:hint="eastAsia" w:ascii="宋体" w:hAnsi="宋体"/>
                <w:sz w:val="24"/>
                <w:szCs w:val="21"/>
                <w:highlight w:val="none"/>
                <w:lang w:val="en-US" w:eastAsia="zh-CN"/>
              </w:rPr>
              <w:t>21</w:t>
            </w:r>
            <w:r>
              <w:rPr>
                <w:rFonts w:hint="eastAsia" w:ascii="宋体" w:hAnsi="宋体"/>
                <w:sz w:val="24"/>
                <w:szCs w:val="21"/>
                <w:highlight w:val="none"/>
              </w:rPr>
              <w:t>年</w:t>
            </w:r>
            <w:r>
              <w:rPr>
                <w:rFonts w:hint="eastAsia" w:ascii="宋体" w:hAnsi="宋体"/>
                <w:sz w:val="24"/>
                <w:szCs w:val="21"/>
                <w:highlight w:val="none"/>
                <w:lang w:val="en-US" w:eastAsia="zh-CN"/>
              </w:rPr>
              <w:t>1月1日</w:t>
            </w:r>
            <w:r>
              <w:rPr>
                <w:rFonts w:hint="eastAsia" w:ascii="宋体" w:hAnsi="宋体"/>
                <w:sz w:val="24"/>
                <w:szCs w:val="21"/>
                <w:highlight w:val="none"/>
              </w:rPr>
              <w:t>以来</w:t>
            </w:r>
            <w:r>
              <w:rPr>
                <w:rFonts w:hint="eastAsia" w:ascii="宋体" w:hAnsi="宋体"/>
                <w:sz w:val="24"/>
                <w:szCs w:val="21"/>
                <w:highlight w:val="none"/>
                <w:lang w:eastAsia="zh-CN"/>
              </w:rPr>
              <w:t>（</w:t>
            </w:r>
            <w:r>
              <w:rPr>
                <w:rFonts w:hint="eastAsia"/>
                <w:highlight w:val="none"/>
                <w:lang w:val="en-US" w:eastAsia="zh-CN"/>
              </w:rPr>
              <w:t>以合同签订时间为准</w:t>
            </w:r>
            <w:r>
              <w:rPr>
                <w:rFonts w:hint="eastAsia" w:ascii="宋体" w:hAnsi="宋体"/>
                <w:sz w:val="24"/>
                <w:szCs w:val="21"/>
                <w:highlight w:val="none"/>
                <w:lang w:eastAsia="zh-CN"/>
              </w:rPr>
              <w:t>）</w:t>
            </w:r>
            <w:r>
              <w:rPr>
                <w:rFonts w:hint="eastAsia" w:ascii="宋体" w:hAnsi="宋体"/>
                <w:sz w:val="24"/>
                <w:szCs w:val="21"/>
                <w:highlight w:val="none"/>
              </w:rPr>
              <w:t>投标人完成过省级</w:t>
            </w:r>
            <w:r>
              <w:rPr>
                <w:rFonts w:hint="eastAsia" w:ascii="宋体" w:hAnsi="宋体"/>
                <w:sz w:val="24"/>
                <w:szCs w:val="21"/>
                <w:highlight w:val="none"/>
                <w:lang w:val="en-US" w:eastAsia="zh-CN"/>
              </w:rPr>
              <w:t>及以上</w:t>
            </w:r>
            <w:r>
              <w:rPr>
                <w:rFonts w:hint="eastAsia" w:ascii="宋体" w:hAnsi="宋体"/>
                <w:sz w:val="24"/>
                <w:szCs w:val="21"/>
                <w:highlight w:val="none"/>
              </w:rPr>
              <w:t>涉航技术评价编制业绩的</w:t>
            </w:r>
            <w:r>
              <w:rPr>
                <w:rFonts w:hint="eastAsia" w:ascii="宋体" w:hAnsi="宋体"/>
                <w:b/>
                <w:bCs/>
                <w:sz w:val="24"/>
                <w:szCs w:val="21"/>
                <w:highlight w:val="none"/>
              </w:rPr>
              <w:t>（投标文件中需提供合同复印件加盖投标人公章，并提供通过评审后的准予交通运输行政确认决定书或审核意见书复印件）</w:t>
            </w:r>
            <w:r>
              <w:rPr>
                <w:rFonts w:hint="eastAsia" w:ascii="宋体" w:hAnsi="宋体"/>
                <w:sz w:val="24"/>
                <w:szCs w:val="21"/>
                <w:highlight w:val="none"/>
              </w:rPr>
              <w:t>的得</w:t>
            </w:r>
            <w:r>
              <w:rPr>
                <w:rFonts w:hint="eastAsia" w:ascii="宋体" w:hAnsi="宋体"/>
                <w:sz w:val="24"/>
                <w:szCs w:val="21"/>
                <w:highlight w:val="none"/>
                <w:lang w:val="en-US" w:eastAsia="zh-CN"/>
              </w:rPr>
              <w:t>2</w:t>
            </w:r>
            <w:r>
              <w:rPr>
                <w:rFonts w:hint="eastAsia" w:ascii="宋体" w:hAnsi="宋体"/>
                <w:sz w:val="24"/>
                <w:szCs w:val="21"/>
                <w:highlight w:val="none"/>
              </w:rPr>
              <w:t>分；</w:t>
            </w:r>
          </w:p>
          <w:p w14:paraId="031E9FDB">
            <w:pPr>
              <w:adjustRightInd w:val="0"/>
              <w:snapToGrid w:val="0"/>
              <w:ind w:firstLine="480" w:firstLineChars="200"/>
              <w:jc w:val="left"/>
              <w:rPr>
                <w:rFonts w:hint="eastAsia" w:ascii="宋体" w:hAnsi="宋体"/>
                <w:sz w:val="24"/>
                <w:szCs w:val="21"/>
                <w:highlight w:val="none"/>
              </w:rPr>
            </w:pPr>
            <w:r>
              <w:rPr>
                <w:rFonts w:hint="eastAsia" w:ascii="宋体" w:hAnsi="宋体"/>
                <w:sz w:val="24"/>
                <w:szCs w:val="21"/>
                <w:highlight w:val="none"/>
              </w:rPr>
              <w:t>②20</w:t>
            </w:r>
            <w:r>
              <w:rPr>
                <w:rFonts w:hint="eastAsia" w:ascii="宋体" w:hAnsi="宋体"/>
                <w:sz w:val="24"/>
                <w:szCs w:val="21"/>
                <w:highlight w:val="none"/>
                <w:lang w:val="en-US" w:eastAsia="zh-CN"/>
              </w:rPr>
              <w:t>21</w:t>
            </w:r>
            <w:r>
              <w:rPr>
                <w:rFonts w:hint="eastAsia" w:ascii="宋体" w:hAnsi="宋体"/>
                <w:sz w:val="24"/>
                <w:szCs w:val="21"/>
                <w:highlight w:val="none"/>
              </w:rPr>
              <w:t>年</w:t>
            </w:r>
            <w:r>
              <w:rPr>
                <w:rFonts w:hint="eastAsia" w:ascii="宋体" w:hAnsi="宋体"/>
                <w:sz w:val="24"/>
                <w:szCs w:val="21"/>
                <w:highlight w:val="none"/>
                <w:lang w:val="en-US" w:eastAsia="zh-CN"/>
              </w:rPr>
              <w:t>1月1日</w:t>
            </w:r>
            <w:r>
              <w:rPr>
                <w:rFonts w:hint="eastAsia" w:ascii="宋体" w:hAnsi="宋体"/>
                <w:sz w:val="24"/>
                <w:szCs w:val="21"/>
                <w:highlight w:val="none"/>
              </w:rPr>
              <w:t>以来</w:t>
            </w:r>
            <w:r>
              <w:rPr>
                <w:rFonts w:hint="eastAsia" w:ascii="宋体" w:hAnsi="宋体"/>
                <w:sz w:val="24"/>
                <w:szCs w:val="21"/>
                <w:highlight w:val="none"/>
                <w:lang w:eastAsia="zh-CN"/>
              </w:rPr>
              <w:t>（</w:t>
            </w:r>
            <w:r>
              <w:rPr>
                <w:rFonts w:hint="eastAsia"/>
                <w:highlight w:val="none"/>
                <w:lang w:val="en-US" w:eastAsia="zh-CN"/>
              </w:rPr>
              <w:t>以合同签订时间为准</w:t>
            </w:r>
            <w:r>
              <w:rPr>
                <w:rFonts w:hint="eastAsia" w:ascii="宋体" w:hAnsi="宋体"/>
                <w:sz w:val="24"/>
                <w:szCs w:val="21"/>
                <w:highlight w:val="none"/>
                <w:lang w:eastAsia="zh-CN"/>
              </w:rPr>
              <w:t>）</w:t>
            </w:r>
            <w:r>
              <w:rPr>
                <w:rFonts w:hint="eastAsia" w:ascii="宋体" w:hAnsi="宋体"/>
                <w:sz w:val="24"/>
                <w:szCs w:val="21"/>
                <w:highlight w:val="none"/>
              </w:rPr>
              <w:t>投标人完成过</w:t>
            </w:r>
            <w:r>
              <w:rPr>
                <w:rFonts w:hint="eastAsia" w:ascii="宋体" w:hAnsi="宋体" w:eastAsia="宋体" w:cs="Times New Roman"/>
                <w:sz w:val="24"/>
                <w:szCs w:val="21"/>
                <w:highlight w:val="none"/>
                <w:lang w:val="en-US" w:eastAsia="zh-CN"/>
              </w:rPr>
              <w:t>地级市</w:t>
            </w:r>
            <w:r>
              <w:rPr>
                <w:rFonts w:hint="eastAsia" w:ascii="宋体" w:hAnsi="宋体"/>
                <w:sz w:val="24"/>
                <w:szCs w:val="21"/>
                <w:highlight w:val="none"/>
              </w:rPr>
              <w:t>涉航技术评价编制业绩的</w:t>
            </w:r>
            <w:r>
              <w:rPr>
                <w:rFonts w:hint="eastAsia" w:ascii="宋体" w:hAnsi="宋体"/>
                <w:b/>
                <w:bCs/>
                <w:sz w:val="24"/>
                <w:szCs w:val="21"/>
                <w:highlight w:val="none"/>
              </w:rPr>
              <w:t>（投标文件中需提供合同复印件加盖投标人公章，并提供通过评审后的准予交通运输行政确认决定书或审核意见书复印件）</w:t>
            </w:r>
            <w:r>
              <w:rPr>
                <w:rFonts w:hint="eastAsia" w:ascii="宋体" w:hAnsi="宋体"/>
                <w:sz w:val="24"/>
                <w:szCs w:val="21"/>
                <w:highlight w:val="none"/>
              </w:rPr>
              <w:t>的得</w:t>
            </w:r>
            <w:r>
              <w:rPr>
                <w:rFonts w:hint="eastAsia" w:ascii="宋体" w:hAnsi="宋体"/>
                <w:sz w:val="24"/>
                <w:szCs w:val="21"/>
                <w:highlight w:val="none"/>
                <w:lang w:val="en-US" w:eastAsia="zh-CN"/>
              </w:rPr>
              <w:t>2</w:t>
            </w:r>
            <w:r>
              <w:rPr>
                <w:rFonts w:hint="eastAsia" w:ascii="宋体" w:hAnsi="宋体"/>
                <w:sz w:val="24"/>
                <w:szCs w:val="21"/>
                <w:highlight w:val="none"/>
              </w:rPr>
              <w:t>分；</w:t>
            </w:r>
          </w:p>
          <w:p w14:paraId="6658B816">
            <w:pPr>
              <w:adjustRightInd w:val="0"/>
              <w:snapToGrid w:val="0"/>
              <w:jc w:val="left"/>
              <w:rPr>
                <w:rFonts w:hint="eastAsia" w:ascii="宋体" w:hAnsi="宋体"/>
                <w:sz w:val="24"/>
                <w:szCs w:val="21"/>
                <w:highlight w:val="none"/>
              </w:rPr>
            </w:pPr>
            <w:r>
              <w:rPr>
                <w:rFonts w:hint="eastAsia" w:ascii="宋体" w:hAnsi="宋体"/>
                <w:b/>
                <w:bCs/>
                <w:sz w:val="24"/>
                <w:szCs w:val="21"/>
                <w:highlight w:val="none"/>
              </w:rPr>
              <w:t>注：①②</w:t>
            </w:r>
            <w:r>
              <w:rPr>
                <w:rFonts w:hint="eastAsia" w:ascii="宋体" w:hAnsi="宋体"/>
                <w:b/>
                <w:bCs/>
                <w:sz w:val="24"/>
                <w:szCs w:val="21"/>
                <w:highlight w:val="none"/>
                <w:lang w:val="en-US" w:eastAsia="zh-CN"/>
              </w:rPr>
              <w:t>两项</w:t>
            </w:r>
            <w:r>
              <w:rPr>
                <w:rFonts w:hint="eastAsia" w:ascii="宋体" w:hAnsi="宋体"/>
                <w:b/>
                <w:bCs/>
                <w:sz w:val="24"/>
                <w:szCs w:val="21"/>
                <w:highlight w:val="none"/>
              </w:rPr>
              <w:t>业绩不能与资格条件中业绩为同一个，否则不得分。</w:t>
            </w:r>
          </w:p>
        </w:tc>
      </w:tr>
      <w:tr w14:paraId="0EA9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511" w:type="pct"/>
            <w:vMerge w:val="continue"/>
            <w:tcBorders>
              <w:left w:val="single" w:color="auto" w:sz="4" w:space="0"/>
              <w:right w:val="single" w:color="auto" w:sz="4" w:space="0"/>
            </w:tcBorders>
            <w:noWrap w:val="0"/>
            <w:vAlign w:val="center"/>
          </w:tcPr>
          <w:p w14:paraId="7D114714">
            <w:pPr>
              <w:jc w:val="center"/>
              <w:rPr>
                <w:rFonts w:ascii="宋体" w:hAnsi="宋体"/>
                <w:sz w:val="24"/>
                <w:szCs w:val="24"/>
                <w:highlight w:val="none"/>
              </w:rPr>
            </w:pPr>
          </w:p>
        </w:tc>
        <w:tc>
          <w:tcPr>
            <w:tcW w:w="376" w:type="pct"/>
            <w:noWrap w:val="0"/>
            <w:vAlign w:val="center"/>
          </w:tcPr>
          <w:p w14:paraId="1D98A9CA">
            <w:pPr>
              <w:jc w:val="center"/>
              <w:rPr>
                <w:rFonts w:ascii="宋体" w:hAnsi="宋体"/>
                <w:sz w:val="24"/>
                <w:szCs w:val="21"/>
                <w:highlight w:val="none"/>
              </w:rPr>
            </w:pPr>
            <w:r>
              <w:rPr>
                <w:rFonts w:hint="eastAsia" w:ascii="宋体" w:hAnsi="宋体"/>
                <w:sz w:val="24"/>
                <w:szCs w:val="21"/>
                <w:highlight w:val="none"/>
              </w:rPr>
              <w:t>7</w:t>
            </w:r>
          </w:p>
        </w:tc>
        <w:tc>
          <w:tcPr>
            <w:tcW w:w="1175" w:type="pct"/>
            <w:tcBorders>
              <w:left w:val="single" w:color="auto" w:sz="4" w:space="0"/>
              <w:right w:val="single" w:color="auto" w:sz="4" w:space="0"/>
            </w:tcBorders>
            <w:noWrap w:val="0"/>
            <w:vAlign w:val="center"/>
          </w:tcPr>
          <w:p w14:paraId="4FEC5872">
            <w:pPr>
              <w:adjustRightInd w:val="0"/>
              <w:snapToGrid w:val="0"/>
              <w:jc w:val="center"/>
              <w:rPr>
                <w:rFonts w:hint="eastAsia" w:ascii="宋体" w:hAnsi="宋体"/>
                <w:sz w:val="24"/>
                <w:szCs w:val="21"/>
                <w:highlight w:val="none"/>
              </w:rPr>
            </w:pPr>
            <w:r>
              <w:rPr>
                <w:rFonts w:hint="eastAsia" w:ascii="宋体" w:hAnsi="宋体"/>
                <w:sz w:val="24"/>
                <w:szCs w:val="21"/>
                <w:highlight w:val="none"/>
              </w:rPr>
              <w:t>投标人综合能力</w:t>
            </w:r>
          </w:p>
        </w:tc>
        <w:tc>
          <w:tcPr>
            <w:tcW w:w="506" w:type="pct"/>
            <w:noWrap w:val="0"/>
            <w:vAlign w:val="center"/>
          </w:tcPr>
          <w:p w14:paraId="00E4373B">
            <w:pPr>
              <w:jc w:val="center"/>
              <w:rPr>
                <w:rFonts w:hint="eastAsia" w:ascii="宋体" w:hAnsi="宋体" w:eastAsia="宋体"/>
                <w:sz w:val="24"/>
                <w:szCs w:val="21"/>
                <w:highlight w:val="none"/>
                <w:lang w:eastAsia="zh-CN"/>
              </w:rPr>
            </w:pPr>
            <w:r>
              <w:rPr>
                <w:rFonts w:hint="eastAsia" w:ascii="宋体" w:hAnsi="宋体"/>
                <w:sz w:val="24"/>
                <w:szCs w:val="21"/>
                <w:highlight w:val="none"/>
                <w:lang w:val="en-US" w:eastAsia="zh-CN"/>
              </w:rPr>
              <w:t>3</w:t>
            </w:r>
          </w:p>
        </w:tc>
        <w:tc>
          <w:tcPr>
            <w:tcW w:w="2429" w:type="pct"/>
            <w:noWrap w:val="0"/>
            <w:vAlign w:val="center"/>
          </w:tcPr>
          <w:p w14:paraId="3D7D182B">
            <w:pPr>
              <w:adjustRightInd w:val="0"/>
              <w:snapToGrid w:val="0"/>
              <w:ind w:firstLine="480" w:firstLineChars="200"/>
              <w:jc w:val="left"/>
              <w:rPr>
                <w:rFonts w:hint="eastAsia" w:ascii="宋体" w:hAnsi="宋体"/>
                <w:sz w:val="24"/>
                <w:szCs w:val="21"/>
                <w:highlight w:val="none"/>
                <w:lang w:val="en-US" w:eastAsia="zh-CN"/>
              </w:rPr>
            </w:pPr>
            <w:r>
              <w:rPr>
                <w:rFonts w:hint="eastAsia" w:ascii="宋体" w:hAnsi="宋体"/>
                <w:sz w:val="24"/>
                <w:szCs w:val="21"/>
                <w:highlight w:val="none"/>
              </w:rPr>
              <w:t>根据投标人拟投入本项目人员配置进行打分（含项目负责人），</w:t>
            </w:r>
            <w:r>
              <w:rPr>
                <w:rFonts w:hint="eastAsia" w:ascii="宋体" w:hAnsi="宋体"/>
                <w:sz w:val="24"/>
                <w:szCs w:val="21"/>
                <w:highlight w:val="none"/>
                <w:lang w:val="en-US" w:eastAsia="zh-CN"/>
              </w:rPr>
              <w:t>拟配备</w:t>
            </w:r>
            <w:r>
              <w:rPr>
                <w:rFonts w:hint="eastAsia" w:ascii="宋体" w:hAnsi="宋体"/>
                <w:sz w:val="24"/>
                <w:szCs w:val="21"/>
                <w:highlight w:val="none"/>
              </w:rPr>
              <w:t>工程师及以上职称</w:t>
            </w:r>
            <w:r>
              <w:rPr>
                <w:rFonts w:hint="eastAsia" w:ascii="宋体" w:hAnsi="宋体"/>
                <w:sz w:val="24"/>
                <w:szCs w:val="21"/>
                <w:highlight w:val="none"/>
                <w:lang w:val="en-US" w:eastAsia="zh-CN"/>
              </w:rPr>
              <w:t>3人及以上的</w:t>
            </w:r>
            <w:r>
              <w:rPr>
                <w:rFonts w:hint="eastAsia" w:ascii="宋体" w:hAnsi="宋体"/>
                <w:sz w:val="24"/>
                <w:szCs w:val="21"/>
                <w:highlight w:val="none"/>
              </w:rPr>
              <w:t>得3分，</w:t>
            </w:r>
            <w:r>
              <w:rPr>
                <w:rFonts w:hint="eastAsia" w:ascii="宋体" w:hAnsi="宋体"/>
                <w:sz w:val="24"/>
                <w:szCs w:val="21"/>
                <w:highlight w:val="none"/>
                <w:lang w:val="en-US" w:eastAsia="zh-CN"/>
              </w:rPr>
              <w:t>拟配备</w:t>
            </w:r>
            <w:r>
              <w:rPr>
                <w:rFonts w:hint="eastAsia" w:ascii="宋体" w:hAnsi="宋体"/>
                <w:sz w:val="24"/>
                <w:szCs w:val="21"/>
                <w:highlight w:val="none"/>
              </w:rPr>
              <w:t>工程师及以上职称</w:t>
            </w:r>
            <w:r>
              <w:rPr>
                <w:rFonts w:hint="eastAsia" w:ascii="宋体" w:hAnsi="宋体"/>
                <w:sz w:val="24"/>
                <w:szCs w:val="21"/>
                <w:highlight w:val="none"/>
                <w:lang w:val="en-US" w:eastAsia="zh-CN"/>
              </w:rPr>
              <w:t>2人的</w:t>
            </w:r>
            <w:r>
              <w:rPr>
                <w:rFonts w:hint="eastAsia" w:ascii="宋体" w:hAnsi="宋体"/>
                <w:sz w:val="24"/>
                <w:szCs w:val="21"/>
                <w:highlight w:val="none"/>
              </w:rPr>
              <w:t>得2分，</w:t>
            </w:r>
            <w:r>
              <w:rPr>
                <w:rFonts w:hint="eastAsia" w:ascii="宋体" w:hAnsi="宋体"/>
                <w:sz w:val="24"/>
                <w:szCs w:val="21"/>
                <w:highlight w:val="none"/>
                <w:lang w:val="en-US" w:eastAsia="zh-CN"/>
              </w:rPr>
              <w:t>拟配备</w:t>
            </w:r>
            <w:r>
              <w:rPr>
                <w:rFonts w:hint="eastAsia" w:ascii="宋体" w:hAnsi="宋体"/>
                <w:sz w:val="24"/>
                <w:szCs w:val="21"/>
                <w:highlight w:val="none"/>
              </w:rPr>
              <w:t>工程师及以上职称</w:t>
            </w:r>
            <w:r>
              <w:rPr>
                <w:rFonts w:hint="eastAsia" w:ascii="宋体" w:hAnsi="宋体"/>
                <w:sz w:val="24"/>
                <w:szCs w:val="21"/>
                <w:highlight w:val="none"/>
                <w:lang w:val="en-US" w:eastAsia="zh-CN"/>
              </w:rPr>
              <w:t>1人的</w:t>
            </w:r>
            <w:r>
              <w:rPr>
                <w:rFonts w:hint="eastAsia" w:ascii="宋体" w:hAnsi="宋体"/>
                <w:sz w:val="24"/>
                <w:szCs w:val="21"/>
                <w:highlight w:val="none"/>
              </w:rPr>
              <w:t>得1分</w:t>
            </w:r>
            <w:r>
              <w:rPr>
                <w:rFonts w:hint="eastAsia" w:ascii="宋体" w:hAnsi="宋体"/>
                <w:sz w:val="24"/>
                <w:szCs w:val="21"/>
                <w:highlight w:val="none"/>
                <w:lang w:val="en-US" w:eastAsia="zh-CN"/>
              </w:rPr>
              <w:t>。</w:t>
            </w:r>
          </w:p>
          <w:p w14:paraId="0BB18917">
            <w:pPr>
              <w:adjustRightInd w:val="0"/>
              <w:snapToGrid w:val="0"/>
              <w:ind w:firstLine="482" w:firstLineChars="200"/>
              <w:jc w:val="left"/>
              <w:rPr>
                <w:rFonts w:hint="eastAsia" w:ascii="宋体" w:hAnsi="宋体"/>
                <w:sz w:val="24"/>
                <w:szCs w:val="21"/>
                <w:highlight w:val="none"/>
              </w:rPr>
            </w:pPr>
            <w:r>
              <w:rPr>
                <w:rFonts w:hint="eastAsia" w:ascii="宋体" w:hAnsi="宋体"/>
                <w:b/>
                <w:bCs/>
                <w:sz w:val="24"/>
                <w:szCs w:val="21"/>
                <w:highlight w:val="none"/>
              </w:rPr>
              <w:t>注：须提供职称证书及投标人为其缴纳的</w:t>
            </w:r>
            <w:r>
              <w:rPr>
                <w:rFonts w:hint="eastAsia" w:ascii="宋体" w:hAnsi="宋体"/>
                <w:b/>
                <w:bCs/>
                <w:sz w:val="24"/>
                <w:szCs w:val="24"/>
                <w:highlight w:val="none"/>
              </w:rPr>
              <w:t>近十二个月中</w:t>
            </w:r>
            <w:r>
              <w:rPr>
                <w:rFonts w:hint="eastAsia" w:ascii="宋体" w:hAnsi="宋体"/>
                <w:b/>
                <w:bCs/>
                <w:sz w:val="24"/>
                <w:szCs w:val="21"/>
                <w:highlight w:val="none"/>
              </w:rPr>
              <w:t>连续六个月</w:t>
            </w:r>
            <w:r>
              <w:rPr>
                <w:rFonts w:hint="eastAsia" w:ascii="宋体" w:hAnsi="宋体"/>
                <w:b/>
                <w:bCs/>
                <w:sz w:val="24"/>
                <w:szCs w:val="21"/>
                <w:highlight w:val="none"/>
                <w:lang w:val="en-US" w:eastAsia="zh-CN"/>
              </w:rPr>
              <w:t>的社保</w:t>
            </w:r>
            <w:r>
              <w:rPr>
                <w:rFonts w:hint="eastAsia" w:ascii="宋体" w:hAnsi="宋体"/>
                <w:b/>
                <w:bCs/>
                <w:sz w:val="24"/>
                <w:szCs w:val="21"/>
                <w:highlight w:val="none"/>
              </w:rPr>
              <w:t>证明复印件。</w:t>
            </w:r>
          </w:p>
        </w:tc>
      </w:tr>
    </w:tbl>
    <w:p w14:paraId="7FBE2E73">
      <w:pPr>
        <w:spacing w:line="360" w:lineRule="auto"/>
        <w:rPr>
          <w:rFonts w:hint="eastAsia" w:ascii="宋体" w:hAnsi="宋体"/>
          <w:color w:val="auto"/>
          <w:sz w:val="24"/>
          <w:szCs w:val="24"/>
          <w:highlight w:val="none"/>
        </w:rPr>
      </w:pPr>
    </w:p>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04"/>
        <w:gridCol w:w="902"/>
        <w:gridCol w:w="5834"/>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04"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02"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834"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04"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sz w:val="24"/>
                <w:szCs w:val="24"/>
                <w:highlight w:val="none"/>
              </w:rPr>
              <w:t>价格部分</w:t>
            </w:r>
          </w:p>
        </w:tc>
        <w:tc>
          <w:tcPr>
            <w:tcW w:w="902" w:type="dxa"/>
            <w:tcBorders>
              <w:top w:val="single" w:color="auto" w:sz="4" w:space="0"/>
              <w:left w:val="single" w:color="auto" w:sz="4" w:space="0"/>
              <w:right w:val="single" w:color="auto" w:sz="4" w:space="0"/>
            </w:tcBorders>
            <w:noWrap w:val="0"/>
            <w:vAlign w:val="center"/>
          </w:tcPr>
          <w:p w14:paraId="1BC3FC0F">
            <w:pPr>
              <w:jc w:val="center"/>
              <w:rPr>
                <w:rFonts w:hint="default" w:ascii="宋体" w:hAnsi="宋体" w:eastAsia="宋体"/>
                <w:color w:val="auto"/>
                <w:sz w:val="24"/>
                <w:szCs w:val="24"/>
                <w:highlight w:val="none"/>
                <w:lang w:val="en-US" w:eastAsia="zh-CN"/>
              </w:rPr>
            </w:pPr>
            <w:r>
              <w:rPr>
                <w:rFonts w:hint="eastAsia" w:ascii="宋体" w:hAnsi="宋体"/>
                <w:sz w:val="24"/>
                <w:szCs w:val="24"/>
                <w:highlight w:val="none"/>
                <w:lang w:val="en-US" w:eastAsia="zh-CN"/>
              </w:rPr>
              <w:t>52</w:t>
            </w:r>
          </w:p>
        </w:tc>
        <w:tc>
          <w:tcPr>
            <w:tcW w:w="5834" w:type="dxa"/>
            <w:tcBorders>
              <w:top w:val="single" w:color="auto" w:sz="4" w:space="0"/>
              <w:left w:val="single" w:color="auto" w:sz="4" w:space="0"/>
              <w:bottom w:val="single" w:color="auto" w:sz="4" w:space="0"/>
              <w:right w:val="single" w:color="auto" w:sz="4" w:space="0"/>
            </w:tcBorders>
            <w:noWrap w:val="0"/>
            <w:vAlign w:val="center"/>
          </w:tcPr>
          <w:p w14:paraId="54E1537D">
            <w:pPr>
              <w:jc w:val="left"/>
              <w:rPr>
                <w:rFonts w:hint="eastAsia" w:ascii="宋体"/>
                <w:sz w:val="24"/>
                <w:szCs w:val="24"/>
                <w:highlight w:val="none"/>
              </w:rPr>
            </w:pPr>
            <w:r>
              <w:rPr>
                <w:rFonts w:hint="eastAsia" w:ascii="宋体"/>
                <w:sz w:val="24"/>
                <w:szCs w:val="24"/>
                <w:highlight w:val="none"/>
              </w:rPr>
              <w:t>1、以</w:t>
            </w:r>
            <w:r>
              <w:rPr>
                <w:rFonts w:hint="eastAsia" w:ascii="宋体"/>
                <w:sz w:val="24"/>
                <w:szCs w:val="24"/>
                <w:highlight w:val="none"/>
                <w:lang w:val="en-US" w:eastAsia="zh-CN"/>
              </w:rPr>
              <w:t>有</w:t>
            </w:r>
            <w:r>
              <w:rPr>
                <w:rFonts w:hint="eastAsia" w:ascii="宋体"/>
                <w:sz w:val="24"/>
                <w:szCs w:val="24"/>
                <w:highlight w:val="none"/>
              </w:rPr>
              <w:t>效投标文件的评标价算术平均值为 A（若7≤有效投标文件&lt;10 家时，去掉其中的一个最高价和一个最低价后取算术平均值为 A；若有效投标文件≥10 家时，去掉其中的二个最高价和二个最低价后取算术平均值为 A）。</w:t>
            </w:r>
          </w:p>
          <w:p w14:paraId="5E609B3D">
            <w:pPr>
              <w:jc w:val="left"/>
              <w:rPr>
                <w:rFonts w:hint="eastAsia" w:ascii="宋体"/>
                <w:sz w:val="24"/>
                <w:szCs w:val="24"/>
                <w:highlight w:val="none"/>
              </w:rPr>
            </w:pPr>
            <w:r>
              <w:rPr>
                <w:rFonts w:hint="eastAsia" w:ascii="宋体"/>
                <w:sz w:val="24"/>
                <w:szCs w:val="24"/>
                <w:highlight w:val="none"/>
              </w:rPr>
              <w:t>评标基准价=A×K，</w:t>
            </w:r>
          </w:p>
          <w:p w14:paraId="08B15F6F">
            <w:pPr>
              <w:jc w:val="left"/>
              <w:rPr>
                <w:rFonts w:hint="eastAsia" w:ascii="宋体"/>
                <w:sz w:val="24"/>
                <w:szCs w:val="24"/>
                <w:highlight w:val="none"/>
              </w:rPr>
            </w:pPr>
            <w:r>
              <w:rPr>
                <w:rFonts w:hint="eastAsia" w:ascii="宋体"/>
                <w:sz w:val="24"/>
                <w:szCs w:val="24"/>
                <w:highlight w:val="none"/>
              </w:rPr>
              <w:t>K值取值范围为95%、96%、97%。评标价等于基准价的得满分；每高于或者每低于评标基准价1%扣（0.3）分，偏离不足1%的，按照插入法计算得分。</w:t>
            </w:r>
          </w:p>
          <w:p w14:paraId="60DF7E0B">
            <w:pPr>
              <w:rPr>
                <w:rFonts w:hint="eastAsia"/>
                <w:color w:val="auto"/>
                <w:sz w:val="21"/>
                <w:szCs w:val="28"/>
                <w:highlight w:val="none"/>
                <w:shd w:val="clear" w:color="auto" w:fill="FFFFFF"/>
              </w:rPr>
            </w:pPr>
            <w:r>
              <w:rPr>
                <w:rFonts w:hint="eastAsia" w:ascii="宋体"/>
                <w:b/>
                <w:szCs w:val="21"/>
                <w:highlight w:val="none"/>
              </w:rPr>
              <w:t>抽签代表的确定：按现场签到的顺序，第一个签到人为抽签代表抽取K值，抽取人必须为投标人代表（法定代表人或授权委托人）。K值只抽取一次，抽签结果不因后续评审和投诉等情况而改变。</w:t>
            </w:r>
          </w:p>
        </w:tc>
      </w:tr>
    </w:tbl>
    <w:p w14:paraId="211528B9">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4F587611">
      <w:pPr>
        <w:spacing w:line="360" w:lineRule="auto"/>
        <w:ind w:firstLine="480" w:firstLineChars="200"/>
        <w:rPr>
          <w:rFonts w:hint="eastAsia" w:ascii="宋体"/>
          <w:color w:val="auto"/>
          <w:sz w:val="24"/>
          <w:highlight w:val="none"/>
        </w:rPr>
      </w:pPr>
    </w:p>
    <w:bookmarkEnd w:id="77"/>
    <w:bookmarkEnd w:id="78"/>
    <w:p w14:paraId="634C0B13">
      <w:pPr>
        <w:spacing w:line="360" w:lineRule="auto"/>
        <w:rPr>
          <w:rFonts w:hint="eastAsia" w:ascii="黑体" w:hAnsi="黑体" w:eastAsia="黑体"/>
          <w:color w:val="auto"/>
          <w:sz w:val="28"/>
          <w:highlight w:val="none"/>
        </w:rPr>
      </w:pPr>
      <w:bookmarkStart w:id="80" w:name="_Toc25967"/>
      <w:bookmarkStart w:id="81" w:name="_Toc3082"/>
    </w:p>
    <w:p w14:paraId="2DBBECB7">
      <w:pPr>
        <w:spacing w:line="360" w:lineRule="auto"/>
        <w:rPr>
          <w:rFonts w:hint="eastAsia" w:ascii="黑体" w:hAnsi="黑体" w:eastAsia="黑体"/>
          <w:color w:val="auto"/>
          <w:sz w:val="28"/>
          <w:highlight w:val="none"/>
        </w:rPr>
      </w:pPr>
    </w:p>
    <w:p w14:paraId="2D4D7283">
      <w:pPr>
        <w:spacing w:line="360" w:lineRule="auto"/>
        <w:rPr>
          <w:rFonts w:hint="eastAsia" w:ascii="黑体" w:hAnsi="黑体" w:eastAsia="黑体"/>
          <w:color w:val="auto"/>
          <w:sz w:val="28"/>
          <w:highlight w:val="none"/>
        </w:rPr>
      </w:pPr>
    </w:p>
    <w:p w14:paraId="78E08607">
      <w:pPr>
        <w:spacing w:line="360" w:lineRule="auto"/>
        <w:rPr>
          <w:rFonts w:hint="eastAsia" w:ascii="黑体" w:hAnsi="黑体" w:eastAsia="黑体"/>
          <w:color w:val="auto"/>
          <w:sz w:val="28"/>
          <w:highlight w:val="none"/>
        </w:rPr>
      </w:pPr>
    </w:p>
    <w:p w14:paraId="471BCF87">
      <w:pPr>
        <w:spacing w:line="360" w:lineRule="auto"/>
        <w:rPr>
          <w:rFonts w:hint="eastAsia" w:ascii="黑体" w:hAnsi="黑体" w:eastAsia="黑体"/>
          <w:color w:val="auto"/>
          <w:sz w:val="28"/>
          <w:highlight w:val="none"/>
        </w:rPr>
      </w:pPr>
    </w:p>
    <w:p w14:paraId="0D572271">
      <w:pPr>
        <w:pStyle w:val="4"/>
        <w:rPr>
          <w:rFonts w:hint="eastAsia" w:ascii="黑体" w:hAnsi="黑体" w:eastAsia="黑体"/>
          <w:color w:val="auto"/>
          <w:sz w:val="28"/>
          <w:highlight w:val="none"/>
        </w:rPr>
      </w:pPr>
    </w:p>
    <w:p w14:paraId="5F639750">
      <w:pPr>
        <w:rPr>
          <w:rFonts w:hint="eastAsia" w:ascii="黑体" w:hAnsi="黑体" w:eastAsia="黑体"/>
          <w:color w:val="auto"/>
          <w:sz w:val="28"/>
          <w:highlight w:val="none"/>
        </w:rPr>
      </w:pPr>
    </w:p>
    <w:p w14:paraId="7AC0B5F4">
      <w:pPr>
        <w:pStyle w:val="4"/>
        <w:rPr>
          <w:rFonts w:hint="eastAsia"/>
          <w:highlight w:val="none"/>
        </w:rPr>
      </w:pPr>
    </w:p>
    <w:p w14:paraId="6EB92DF8">
      <w:pPr>
        <w:spacing w:line="360" w:lineRule="auto"/>
        <w:rPr>
          <w:rFonts w:hint="eastAsia" w:ascii="黑体" w:hAnsi="黑体" w:eastAsia="黑体"/>
          <w:color w:val="auto"/>
          <w:sz w:val="28"/>
          <w:highlight w:val="none"/>
        </w:rPr>
      </w:pPr>
    </w:p>
    <w:p w14:paraId="628A2191">
      <w:pPr>
        <w:spacing w:line="360" w:lineRule="auto"/>
        <w:rPr>
          <w:rFonts w:hint="eastAsia" w:ascii="黑体" w:hAnsi="黑体" w:eastAsia="黑体"/>
          <w:color w:val="auto"/>
          <w:sz w:val="28"/>
          <w:highlight w:val="none"/>
        </w:rPr>
      </w:pPr>
    </w:p>
    <w:p w14:paraId="5A79903B">
      <w:pPr>
        <w:pStyle w:val="4"/>
        <w:rPr>
          <w:rFonts w:hint="eastAsia" w:ascii="黑体" w:hAnsi="黑体" w:eastAsia="黑体"/>
          <w:color w:val="auto"/>
          <w:sz w:val="28"/>
          <w:highlight w:val="none"/>
        </w:rPr>
      </w:pPr>
    </w:p>
    <w:p w14:paraId="460A2A71">
      <w:pPr>
        <w:rPr>
          <w:rFonts w:hint="eastAsia" w:ascii="黑体" w:hAnsi="黑体" w:eastAsia="黑体"/>
          <w:color w:val="auto"/>
          <w:sz w:val="28"/>
          <w:highlight w:val="none"/>
        </w:rPr>
      </w:pPr>
    </w:p>
    <w:p w14:paraId="3976145A">
      <w:pPr>
        <w:pStyle w:val="4"/>
        <w:rPr>
          <w:rFonts w:hint="eastAsia" w:ascii="黑体" w:hAnsi="黑体" w:eastAsia="黑体"/>
          <w:color w:val="auto"/>
          <w:sz w:val="28"/>
          <w:highlight w:val="none"/>
        </w:rPr>
      </w:pPr>
    </w:p>
    <w:p w14:paraId="413386AB">
      <w:pPr>
        <w:rPr>
          <w:rFonts w:hint="eastAsia" w:ascii="黑体" w:hAnsi="黑体" w:eastAsia="黑体"/>
          <w:color w:val="auto"/>
          <w:sz w:val="28"/>
          <w:highlight w:val="none"/>
        </w:rPr>
      </w:pPr>
    </w:p>
    <w:p w14:paraId="186ECE67">
      <w:pPr>
        <w:pStyle w:val="4"/>
        <w:rPr>
          <w:rFonts w:hint="eastAsia" w:ascii="黑体" w:hAnsi="黑体" w:eastAsia="黑体"/>
          <w:color w:val="auto"/>
          <w:sz w:val="28"/>
          <w:highlight w:val="none"/>
        </w:rPr>
      </w:pPr>
    </w:p>
    <w:p w14:paraId="713221F7">
      <w:pPr>
        <w:rPr>
          <w:rFonts w:hint="eastAsia" w:ascii="黑体" w:hAnsi="黑体" w:eastAsia="黑体"/>
          <w:color w:val="auto"/>
          <w:sz w:val="28"/>
          <w:highlight w:val="none"/>
        </w:rPr>
      </w:pPr>
    </w:p>
    <w:p w14:paraId="73AD96F9">
      <w:pPr>
        <w:pStyle w:val="4"/>
        <w:rPr>
          <w:rFonts w:hint="eastAsia"/>
          <w:highlight w:val="none"/>
        </w:rPr>
      </w:pPr>
    </w:p>
    <w:p w14:paraId="330F1297">
      <w:pPr>
        <w:spacing w:line="360" w:lineRule="auto"/>
        <w:rPr>
          <w:rFonts w:hint="eastAsia" w:ascii="黑体" w:hAnsi="黑体" w:eastAsia="黑体"/>
          <w:color w:val="auto"/>
          <w:sz w:val="28"/>
          <w:highlight w:val="none"/>
        </w:rPr>
      </w:pPr>
    </w:p>
    <w:p w14:paraId="75ACD975">
      <w:pPr>
        <w:spacing w:line="360" w:lineRule="auto"/>
        <w:rPr>
          <w:rFonts w:hint="eastAsia" w:ascii="黑体" w:hAnsi="黑体" w:eastAsia="黑体"/>
          <w:color w:val="auto"/>
          <w:sz w:val="28"/>
          <w:highlight w:val="none"/>
        </w:rPr>
      </w:pPr>
    </w:p>
    <w:p w14:paraId="195C1366">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12E78D08">
      <w:pPr>
        <w:spacing w:line="360" w:lineRule="auto"/>
        <w:ind w:firstLine="480" w:firstLineChars="200"/>
        <w:rPr>
          <w:sz w:val="24"/>
          <w:szCs w:val="24"/>
          <w:highlight w:val="none"/>
          <w:u w:val="single"/>
        </w:rPr>
      </w:pPr>
      <w:r>
        <w:rPr>
          <w:rFonts w:hint="eastAsia"/>
          <w:sz w:val="24"/>
          <w:szCs w:val="24"/>
          <w:highlight w:val="none"/>
        </w:rPr>
        <w:t>项目名称：</w:t>
      </w:r>
      <w:r>
        <w:rPr>
          <w:rFonts w:hint="eastAsia" w:ascii="宋体" w:hAnsi="宋体"/>
          <w:bCs/>
          <w:sz w:val="24"/>
          <w:szCs w:val="24"/>
          <w:highlight w:val="none"/>
          <w:u w:val="single"/>
          <w:lang w:eastAsia="zh-CN"/>
        </w:rPr>
        <w:t>太湖内源污染治理（太湖西岸宜兴近岸区域）一期工程涉航技术评价</w:t>
      </w:r>
      <w:r>
        <w:rPr>
          <w:rFonts w:hint="eastAsia"/>
          <w:sz w:val="22"/>
          <w:szCs w:val="24"/>
          <w:highlight w:val="none"/>
          <w:u w:val="single"/>
        </w:rPr>
        <w:t>采购项目</w:t>
      </w:r>
    </w:p>
    <w:p w14:paraId="332A0422">
      <w:pPr>
        <w:spacing w:line="360" w:lineRule="auto"/>
        <w:ind w:firstLine="480" w:firstLineChars="200"/>
        <w:rPr>
          <w:sz w:val="24"/>
          <w:szCs w:val="24"/>
          <w:highlight w:val="none"/>
        </w:rPr>
      </w:pPr>
      <w:r>
        <w:rPr>
          <w:sz w:val="24"/>
          <w:szCs w:val="24"/>
          <w:highlight w:val="none"/>
        </w:rPr>
        <w:t>甲方：</w:t>
      </w:r>
      <w:r>
        <w:rPr>
          <w:sz w:val="24"/>
          <w:szCs w:val="24"/>
          <w:highlight w:val="none"/>
          <w:u w:val="single"/>
        </w:rPr>
        <w:t xml:space="preserve">   </w:t>
      </w:r>
      <w:r>
        <w:rPr>
          <w:rFonts w:hint="eastAsia"/>
          <w:sz w:val="24"/>
          <w:szCs w:val="24"/>
          <w:highlight w:val="none"/>
          <w:u w:val="single"/>
          <w:lang w:eastAsia="zh-CN"/>
        </w:rPr>
        <w:t>宜兴市公用投资管理有限公司</w:t>
      </w:r>
      <w:r>
        <w:rPr>
          <w:sz w:val="24"/>
          <w:szCs w:val="24"/>
          <w:highlight w:val="none"/>
          <w:u w:val="single"/>
        </w:rPr>
        <w:t xml:space="preserve">    </w:t>
      </w:r>
      <w:r>
        <w:rPr>
          <w:sz w:val="24"/>
          <w:szCs w:val="24"/>
          <w:highlight w:val="none"/>
        </w:rPr>
        <w:t>（</w:t>
      </w:r>
      <w:r>
        <w:rPr>
          <w:rFonts w:hint="eastAsia"/>
          <w:sz w:val="24"/>
          <w:szCs w:val="24"/>
          <w:highlight w:val="none"/>
        </w:rPr>
        <w:t>委托方</w:t>
      </w:r>
      <w:r>
        <w:rPr>
          <w:sz w:val="24"/>
          <w:szCs w:val="24"/>
          <w:highlight w:val="none"/>
        </w:rPr>
        <w:t>）</w:t>
      </w:r>
    </w:p>
    <w:p w14:paraId="7AB92C24">
      <w:pPr>
        <w:spacing w:line="360" w:lineRule="auto"/>
        <w:ind w:firstLine="480" w:firstLineChars="200"/>
        <w:rPr>
          <w:sz w:val="24"/>
          <w:szCs w:val="24"/>
          <w:highlight w:val="none"/>
        </w:rPr>
      </w:pPr>
      <w:r>
        <w:rPr>
          <w:sz w:val="24"/>
          <w:szCs w:val="24"/>
          <w:highlight w:val="none"/>
        </w:rPr>
        <w:t>乙方：</w:t>
      </w:r>
      <w:r>
        <w:rPr>
          <w:sz w:val="24"/>
          <w:szCs w:val="24"/>
          <w:highlight w:val="none"/>
          <w:u w:val="single"/>
        </w:rPr>
        <w:t xml:space="preserve">　                          </w:t>
      </w:r>
      <w:r>
        <w:rPr>
          <w:rFonts w:hint="eastAsia"/>
          <w:sz w:val="24"/>
          <w:szCs w:val="24"/>
          <w:highlight w:val="none"/>
          <w:u w:val="single"/>
        </w:rPr>
        <w:t xml:space="preserve">     </w:t>
      </w:r>
      <w:r>
        <w:rPr>
          <w:sz w:val="24"/>
          <w:szCs w:val="24"/>
          <w:highlight w:val="none"/>
        </w:rPr>
        <w:t>（</w:t>
      </w:r>
      <w:r>
        <w:rPr>
          <w:rFonts w:hint="eastAsia"/>
          <w:sz w:val="24"/>
          <w:szCs w:val="24"/>
          <w:highlight w:val="none"/>
        </w:rPr>
        <w:t>被委托方</w:t>
      </w:r>
      <w:r>
        <w:rPr>
          <w:sz w:val="24"/>
          <w:szCs w:val="24"/>
          <w:highlight w:val="none"/>
        </w:rPr>
        <w:t>）</w:t>
      </w:r>
    </w:p>
    <w:p w14:paraId="6C20DFCD">
      <w:pPr>
        <w:spacing w:line="360" w:lineRule="auto"/>
        <w:ind w:firstLine="480" w:firstLineChars="200"/>
        <w:rPr>
          <w:rFonts w:hint="eastAsia"/>
          <w:sz w:val="24"/>
          <w:szCs w:val="24"/>
          <w:highlight w:val="none"/>
        </w:rPr>
      </w:pPr>
      <w:r>
        <w:rPr>
          <w:rFonts w:hint="eastAsia"/>
          <w:sz w:val="24"/>
          <w:szCs w:val="24"/>
          <w:highlight w:val="none"/>
        </w:rPr>
        <w:t>甲乙双方就委托事项，经过平等协商，在真实充分表达各自意愿的基础上，根据《中华人民共和国民法典》的规定，达成如下协议，并由双方共同恪守。</w:t>
      </w:r>
    </w:p>
    <w:p w14:paraId="23720CD0">
      <w:pPr>
        <w:spacing w:line="360" w:lineRule="auto"/>
        <w:ind w:firstLine="480" w:firstLineChars="200"/>
        <w:rPr>
          <w:rFonts w:hint="eastAsia"/>
          <w:sz w:val="24"/>
          <w:szCs w:val="24"/>
          <w:highlight w:val="none"/>
        </w:rPr>
      </w:pPr>
      <w:r>
        <w:rPr>
          <w:rFonts w:hint="eastAsia"/>
          <w:sz w:val="24"/>
          <w:szCs w:val="24"/>
          <w:highlight w:val="none"/>
        </w:rPr>
        <w:t>一、服务内容：</w:t>
      </w:r>
    </w:p>
    <w:p w14:paraId="33D474D3">
      <w:pPr>
        <w:spacing w:line="360" w:lineRule="auto"/>
        <w:ind w:firstLine="480" w:firstLineChars="200"/>
        <w:rPr>
          <w:rFonts w:hint="eastAsia"/>
          <w:sz w:val="24"/>
          <w:szCs w:val="24"/>
          <w:highlight w:val="none"/>
        </w:rPr>
      </w:pPr>
      <w:r>
        <w:rPr>
          <w:rFonts w:hint="eastAsia"/>
          <w:sz w:val="24"/>
          <w:szCs w:val="24"/>
          <w:highlight w:val="none"/>
        </w:rPr>
        <w:t>根据《中华人民共和国航道法》等相关法律法规的要求，甲方委托乙方编制</w:t>
      </w:r>
      <w:r>
        <w:rPr>
          <w:rFonts w:hint="eastAsia" w:ascii="宋体" w:hAnsi="宋体"/>
          <w:bCs/>
          <w:sz w:val="24"/>
          <w:szCs w:val="24"/>
          <w:highlight w:val="none"/>
          <w:u w:val="none"/>
          <w:lang w:eastAsia="zh-CN"/>
        </w:rPr>
        <w:t>太湖内源污染治理（太湖西岸宜兴近岸区域）一期工程</w:t>
      </w:r>
      <w:r>
        <w:rPr>
          <w:rFonts w:hint="eastAsia"/>
          <w:sz w:val="24"/>
          <w:szCs w:val="24"/>
          <w:highlight w:val="none"/>
        </w:rPr>
        <w:t>涉航技术评价报告</w:t>
      </w:r>
      <w:r>
        <w:rPr>
          <w:rFonts w:hint="eastAsia"/>
          <w:sz w:val="24"/>
          <w:szCs w:val="24"/>
          <w:highlight w:val="none"/>
          <w:lang w:eastAsia="zh-CN"/>
        </w:rPr>
        <w:t>及</w:t>
      </w:r>
      <w:r>
        <w:rPr>
          <w:rFonts w:hint="eastAsia"/>
          <w:sz w:val="24"/>
          <w:szCs w:val="24"/>
          <w:highlight w:val="none"/>
        </w:rPr>
        <w:t>取得相关部门的准予交通运输行政确认决定书（注：具体评估内容以审批部门要求为准）。</w:t>
      </w:r>
    </w:p>
    <w:p w14:paraId="3C68AADF">
      <w:pPr>
        <w:spacing w:line="360" w:lineRule="auto"/>
        <w:ind w:firstLine="480" w:firstLineChars="200"/>
        <w:rPr>
          <w:rFonts w:hint="eastAsia"/>
          <w:sz w:val="24"/>
          <w:szCs w:val="24"/>
          <w:highlight w:val="none"/>
        </w:rPr>
      </w:pPr>
      <w:r>
        <w:rPr>
          <w:rFonts w:hint="eastAsia"/>
          <w:sz w:val="24"/>
          <w:szCs w:val="24"/>
          <w:highlight w:val="none"/>
        </w:rPr>
        <w:t>二、甲乙双方权利和义务：</w:t>
      </w:r>
    </w:p>
    <w:p w14:paraId="50E0DC5F">
      <w:pPr>
        <w:spacing w:line="360" w:lineRule="auto"/>
        <w:ind w:firstLine="480" w:firstLineChars="200"/>
        <w:rPr>
          <w:rFonts w:hint="eastAsia"/>
          <w:sz w:val="24"/>
          <w:szCs w:val="24"/>
          <w:highlight w:val="none"/>
        </w:rPr>
      </w:pPr>
      <w:r>
        <w:rPr>
          <w:rFonts w:hint="eastAsia"/>
          <w:sz w:val="24"/>
          <w:szCs w:val="24"/>
          <w:highlight w:val="none"/>
        </w:rPr>
        <w:t>1、甲方的权利和义务：</w:t>
      </w:r>
    </w:p>
    <w:p w14:paraId="76EC6A2D">
      <w:pPr>
        <w:spacing w:line="360" w:lineRule="auto"/>
        <w:ind w:firstLine="480" w:firstLineChars="200"/>
        <w:rPr>
          <w:rFonts w:hint="eastAsia"/>
          <w:sz w:val="24"/>
          <w:szCs w:val="24"/>
          <w:highlight w:val="none"/>
        </w:rPr>
      </w:pPr>
      <w:r>
        <w:rPr>
          <w:rFonts w:hint="eastAsia"/>
          <w:sz w:val="24"/>
          <w:szCs w:val="24"/>
          <w:highlight w:val="none"/>
        </w:rPr>
        <w:t>1.1甲方将评估所需相关资料，如立项文件、工程可行性研究报告、设计方案、施工方案等资料提交乙方，并经乙方确认无误；</w:t>
      </w:r>
    </w:p>
    <w:p w14:paraId="6945515D">
      <w:pPr>
        <w:spacing w:line="360" w:lineRule="auto"/>
        <w:ind w:firstLine="480" w:firstLineChars="200"/>
        <w:rPr>
          <w:rFonts w:hint="eastAsia"/>
          <w:sz w:val="24"/>
          <w:szCs w:val="24"/>
          <w:highlight w:val="none"/>
        </w:rPr>
      </w:pPr>
      <w:r>
        <w:rPr>
          <w:rFonts w:hint="eastAsia"/>
          <w:sz w:val="24"/>
          <w:szCs w:val="24"/>
          <w:highlight w:val="none"/>
        </w:rPr>
        <w:t>1.2为乙方提供评估所必需的现场踏勘、相关政府部门调研等项工作的适宜条件；</w:t>
      </w:r>
    </w:p>
    <w:p w14:paraId="285A8F1F">
      <w:pPr>
        <w:spacing w:line="360" w:lineRule="auto"/>
        <w:ind w:firstLine="480" w:firstLineChars="200"/>
        <w:rPr>
          <w:rFonts w:hint="eastAsia"/>
          <w:sz w:val="24"/>
          <w:szCs w:val="24"/>
          <w:highlight w:val="none"/>
        </w:rPr>
      </w:pPr>
      <w:r>
        <w:rPr>
          <w:rFonts w:hint="eastAsia"/>
          <w:sz w:val="24"/>
          <w:szCs w:val="24"/>
          <w:highlight w:val="none"/>
        </w:rPr>
        <w:t>1.3积极落实乙方报告中提出的涉航安全对策措施和建议。</w:t>
      </w:r>
    </w:p>
    <w:p w14:paraId="26651457">
      <w:pPr>
        <w:spacing w:line="360" w:lineRule="auto"/>
        <w:ind w:firstLine="480" w:firstLineChars="200"/>
        <w:rPr>
          <w:rFonts w:hint="eastAsia"/>
          <w:sz w:val="24"/>
          <w:szCs w:val="24"/>
          <w:highlight w:val="none"/>
        </w:rPr>
      </w:pPr>
      <w:r>
        <w:rPr>
          <w:rFonts w:hint="eastAsia"/>
          <w:sz w:val="24"/>
          <w:szCs w:val="24"/>
          <w:highlight w:val="none"/>
        </w:rPr>
        <w:t>2、乙方的权利和义务：</w:t>
      </w:r>
    </w:p>
    <w:p w14:paraId="73C5DBD1">
      <w:pPr>
        <w:spacing w:line="360" w:lineRule="auto"/>
        <w:ind w:firstLine="480" w:firstLineChars="200"/>
        <w:rPr>
          <w:rFonts w:hint="eastAsia"/>
          <w:sz w:val="24"/>
          <w:szCs w:val="24"/>
          <w:highlight w:val="none"/>
        </w:rPr>
      </w:pPr>
      <w:r>
        <w:rPr>
          <w:rFonts w:hint="eastAsia"/>
          <w:sz w:val="24"/>
          <w:szCs w:val="24"/>
          <w:highlight w:val="none"/>
        </w:rPr>
        <w:t>2.1 乙方根据有关要求，编制</w:t>
      </w:r>
      <w:r>
        <w:rPr>
          <w:rFonts w:hint="eastAsia" w:ascii="宋体" w:hAnsi="宋体"/>
          <w:bCs/>
          <w:sz w:val="24"/>
          <w:szCs w:val="24"/>
          <w:highlight w:val="none"/>
          <w:u w:val="none"/>
          <w:lang w:eastAsia="zh-CN"/>
        </w:rPr>
        <w:t>太湖内源污染治理（太湖西岸宜兴近岸区域）一期工程</w:t>
      </w:r>
      <w:r>
        <w:rPr>
          <w:rFonts w:hint="eastAsia"/>
          <w:sz w:val="24"/>
          <w:szCs w:val="24"/>
          <w:highlight w:val="none"/>
        </w:rPr>
        <w:t>涉航技术评价报告，并进行</w:t>
      </w:r>
      <w:r>
        <w:rPr>
          <w:rFonts w:hint="eastAsia"/>
          <w:sz w:val="24"/>
          <w:szCs w:val="24"/>
          <w:highlight w:val="none"/>
          <w:lang w:eastAsia="zh-CN"/>
        </w:rPr>
        <w:t>管线标</w:t>
      </w:r>
      <w:r>
        <w:rPr>
          <w:rFonts w:hint="eastAsia"/>
          <w:sz w:val="24"/>
          <w:szCs w:val="24"/>
          <w:highlight w:val="none"/>
        </w:rPr>
        <w:t>制作安装。</w:t>
      </w:r>
    </w:p>
    <w:p w14:paraId="5C72C040">
      <w:pPr>
        <w:spacing w:line="360" w:lineRule="auto"/>
        <w:ind w:firstLine="480" w:firstLineChars="200"/>
        <w:rPr>
          <w:rFonts w:hint="eastAsia"/>
          <w:sz w:val="24"/>
          <w:szCs w:val="24"/>
          <w:highlight w:val="none"/>
        </w:rPr>
      </w:pPr>
      <w:r>
        <w:rPr>
          <w:rFonts w:hint="eastAsia"/>
          <w:sz w:val="24"/>
          <w:szCs w:val="24"/>
          <w:highlight w:val="none"/>
        </w:rPr>
        <w:t>2.2乙方在合同期完成报告编制，并按照专家和政府有关部门意见修改完善报告，并通过专家组评审，评审通过后根据涉航技术评价报告要求进行</w:t>
      </w:r>
      <w:r>
        <w:rPr>
          <w:rFonts w:hint="eastAsia"/>
          <w:sz w:val="24"/>
          <w:szCs w:val="24"/>
          <w:highlight w:val="none"/>
          <w:lang w:eastAsia="zh-CN"/>
        </w:rPr>
        <w:t>管线标</w:t>
      </w:r>
      <w:r>
        <w:rPr>
          <w:rFonts w:hint="eastAsia"/>
          <w:sz w:val="24"/>
          <w:szCs w:val="24"/>
          <w:highlight w:val="none"/>
        </w:rPr>
        <w:t>制作安装。</w:t>
      </w:r>
    </w:p>
    <w:p w14:paraId="1A9D1EDE">
      <w:pPr>
        <w:spacing w:line="360" w:lineRule="auto"/>
        <w:ind w:firstLine="480" w:firstLineChars="200"/>
        <w:rPr>
          <w:rFonts w:hint="eastAsia"/>
          <w:sz w:val="24"/>
          <w:szCs w:val="24"/>
          <w:highlight w:val="none"/>
        </w:rPr>
      </w:pPr>
      <w:r>
        <w:rPr>
          <w:rFonts w:hint="eastAsia"/>
          <w:sz w:val="24"/>
          <w:szCs w:val="24"/>
          <w:highlight w:val="none"/>
        </w:rPr>
        <w:t>3、在本合同有效期内，甲方指定为</w:t>
      </w:r>
      <w:r>
        <w:rPr>
          <w:rFonts w:hint="eastAsia"/>
          <w:sz w:val="24"/>
          <w:szCs w:val="24"/>
          <w:highlight w:val="none"/>
          <w:u w:val="single"/>
          <w:lang w:val="en-US" w:eastAsia="zh-CN"/>
        </w:rPr>
        <w:t xml:space="preserve">       </w:t>
      </w:r>
      <w:r>
        <w:rPr>
          <w:rFonts w:hint="eastAsia"/>
          <w:sz w:val="24"/>
          <w:szCs w:val="24"/>
          <w:highlight w:val="none"/>
        </w:rPr>
        <w:t>甲方项目联系人，乙方指定为</w:t>
      </w:r>
      <w:r>
        <w:rPr>
          <w:rFonts w:hint="eastAsia"/>
          <w:sz w:val="24"/>
          <w:szCs w:val="24"/>
          <w:highlight w:val="none"/>
          <w:u w:val="single"/>
          <w:lang w:val="en-US" w:eastAsia="zh-CN"/>
        </w:rPr>
        <w:t xml:space="preserve">        </w:t>
      </w:r>
      <w:r>
        <w:rPr>
          <w:rFonts w:hint="eastAsia"/>
          <w:sz w:val="24"/>
          <w:szCs w:val="24"/>
          <w:highlight w:val="none"/>
        </w:rPr>
        <w:t>乙方项目联系人。项目联系人承担以下工作：按时提供所需的资料、工作条件的准备和有关事项的联络等。一方变更项目联系人，应当及时书面形式通知另一方。未及时通知并影响本合同履行或造成损失的，应承担相应的责任。</w:t>
      </w:r>
    </w:p>
    <w:p w14:paraId="08A27578">
      <w:pPr>
        <w:spacing w:line="360" w:lineRule="auto"/>
        <w:ind w:firstLine="480" w:firstLineChars="200"/>
        <w:rPr>
          <w:rFonts w:hint="eastAsia"/>
          <w:sz w:val="24"/>
          <w:szCs w:val="24"/>
          <w:highlight w:val="none"/>
        </w:rPr>
      </w:pPr>
      <w:r>
        <w:rPr>
          <w:rFonts w:hint="eastAsia"/>
          <w:sz w:val="24"/>
          <w:szCs w:val="24"/>
          <w:highlight w:val="none"/>
        </w:rPr>
        <w:t>三、合同履行期限、地点和方式：</w:t>
      </w:r>
    </w:p>
    <w:p w14:paraId="311775D3">
      <w:pPr>
        <w:spacing w:line="360" w:lineRule="auto"/>
        <w:ind w:firstLine="480" w:firstLineChars="200"/>
        <w:rPr>
          <w:rFonts w:hint="eastAsia"/>
          <w:sz w:val="24"/>
          <w:szCs w:val="24"/>
          <w:highlight w:val="none"/>
        </w:rPr>
      </w:pPr>
      <w:r>
        <w:rPr>
          <w:rFonts w:hint="eastAsia"/>
          <w:sz w:val="24"/>
          <w:szCs w:val="24"/>
          <w:highlight w:val="none"/>
          <w:lang w:val="en-US" w:eastAsia="zh-CN"/>
        </w:rPr>
        <w:t>服务期限</w:t>
      </w:r>
      <w:r>
        <w:rPr>
          <w:rFonts w:hint="eastAsia"/>
          <w:sz w:val="24"/>
          <w:szCs w:val="24"/>
          <w:highlight w:val="none"/>
        </w:rPr>
        <w:t>：</w:t>
      </w:r>
      <w:r>
        <w:rPr>
          <w:rFonts w:hint="eastAsia"/>
          <w:sz w:val="24"/>
          <w:szCs w:val="24"/>
          <w:highlight w:val="none"/>
          <w:lang w:val="en-US" w:eastAsia="zh-CN"/>
        </w:rPr>
        <w:t>中标后，中标供应商在接到采购人通知后须于30日内完成：相关报告的编制及取得相关部门的准予交通运输行政确认决定书（注：具体评估内容以审批部门要求为准）。</w:t>
      </w:r>
    </w:p>
    <w:p w14:paraId="11D8CA63">
      <w:pPr>
        <w:spacing w:line="360" w:lineRule="auto"/>
        <w:ind w:firstLine="480" w:firstLineChars="200"/>
        <w:rPr>
          <w:rFonts w:hint="eastAsia"/>
          <w:sz w:val="24"/>
          <w:szCs w:val="24"/>
          <w:highlight w:val="none"/>
        </w:rPr>
      </w:pPr>
      <w:r>
        <w:rPr>
          <w:rFonts w:hint="eastAsia"/>
          <w:sz w:val="24"/>
          <w:szCs w:val="24"/>
          <w:highlight w:val="none"/>
        </w:rPr>
        <w:t>四、验收标准和方法：</w:t>
      </w:r>
    </w:p>
    <w:p w14:paraId="75C83487">
      <w:pPr>
        <w:spacing w:line="360" w:lineRule="auto"/>
        <w:ind w:firstLine="480" w:firstLineChars="200"/>
        <w:rPr>
          <w:rFonts w:hint="eastAsia"/>
          <w:sz w:val="24"/>
          <w:szCs w:val="24"/>
          <w:highlight w:val="none"/>
        </w:rPr>
      </w:pPr>
      <w:r>
        <w:rPr>
          <w:rFonts w:hint="eastAsia"/>
          <w:sz w:val="24"/>
          <w:szCs w:val="24"/>
          <w:highlight w:val="none"/>
        </w:rPr>
        <w:t>乙方提供的报告内容应符合国家相关部门的要求，并得到相关政府职能部门的认可，以确保甲方有关工作顺利展开。</w:t>
      </w:r>
    </w:p>
    <w:p w14:paraId="66484567">
      <w:pPr>
        <w:spacing w:line="360" w:lineRule="auto"/>
        <w:ind w:firstLine="480" w:firstLineChars="200"/>
        <w:rPr>
          <w:rFonts w:hint="eastAsia"/>
          <w:sz w:val="24"/>
          <w:szCs w:val="24"/>
          <w:highlight w:val="none"/>
        </w:rPr>
      </w:pPr>
      <w:r>
        <w:rPr>
          <w:rFonts w:hint="eastAsia"/>
          <w:sz w:val="24"/>
          <w:szCs w:val="24"/>
          <w:highlight w:val="none"/>
        </w:rPr>
        <w:t>五、资料保密：</w:t>
      </w:r>
    </w:p>
    <w:p w14:paraId="083CF85D">
      <w:pPr>
        <w:spacing w:line="360" w:lineRule="auto"/>
        <w:ind w:firstLine="480" w:firstLineChars="200"/>
        <w:rPr>
          <w:rFonts w:hint="eastAsia"/>
          <w:sz w:val="24"/>
          <w:szCs w:val="24"/>
          <w:highlight w:val="none"/>
        </w:rPr>
      </w:pPr>
      <w:r>
        <w:rPr>
          <w:rFonts w:hint="eastAsia"/>
          <w:sz w:val="24"/>
          <w:szCs w:val="24"/>
          <w:highlight w:val="none"/>
        </w:rPr>
        <w:t>甲、乙双方均对所提供的报告等资料负有保密责任，未经对方许可不得转给第三者或复制。</w:t>
      </w:r>
    </w:p>
    <w:p w14:paraId="36A9594E">
      <w:pPr>
        <w:spacing w:line="360" w:lineRule="auto"/>
        <w:ind w:firstLine="480" w:firstLineChars="200"/>
        <w:rPr>
          <w:rFonts w:hint="eastAsia"/>
          <w:sz w:val="24"/>
          <w:szCs w:val="24"/>
          <w:highlight w:val="none"/>
        </w:rPr>
      </w:pPr>
      <w:r>
        <w:rPr>
          <w:rFonts w:hint="eastAsia"/>
          <w:sz w:val="24"/>
          <w:szCs w:val="24"/>
          <w:highlight w:val="none"/>
        </w:rPr>
        <w:t>六、风险责任的承担：</w:t>
      </w:r>
    </w:p>
    <w:p w14:paraId="68C8A47F">
      <w:pPr>
        <w:spacing w:line="360" w:lineRule="auto"/>
        <w:ind w:firstLine="480" w:firstLineChars="200"/>
        <w:rPr>
          <w:rFonts w:hint="eastAsia"/>
          <w:sz w:val="24"/>
          <w:szCs w:val="24"/>
          <w:highlight w:val="none"/>
        </w:rPr>
      </w:pPr>
      <w:r>
        <w:rPr>
          <w:rFonts w:hint="eastAsia"/>
          <w:sz w:val="24"/>
          <w:szCs w:val="24"/>
          <w:highlight w:val="none"/>
        </w:rPr>
        <w:t>6.1甲方须对其所提供的资料负责，否则由此引起的一切后果乙方概不负责；</w:t>
      </w:r>
    </w:p>
    <w:p w14:paraId="1D2C4591">
      <w:pPr>
        <w:spacing w:line="360" w:lineRule="auto"/>
        <w:ind w:firstLine="480" w:firstLineChars="200"/>
        <w:rPr>
          <w:rFonts w:hint="eastAsia"/>
          <w:sz w:val="24"/>
          <w:szCs w:val="24"/>
          <w:highlight w:val="none"/>
        </w:rPr>
      </w:pPr>
      <w:r>
        <w:rPr>
          <w:rFonts w:hint="eastAsia"/>
          <w:sz w:val="24"/>
          <w:szCs w:val="24"/>
          <w:highlight w:val="none"/>
        </w:rPr>
        <w:t>6.2乙方对本项目论证报告所作的结论负责。</w:t>
      </w:r>
    </w:p>
    <w:p w14:paraId="0ACEF116">
      <w:pPr>
        <w:spacing w:line="360" w:lineRule="auto"/>
        <w:ind w:firstLine="480" w:firstLineChars="200"/>
        <w:rPr>
          <w:rFonts w:hint="eastAsia"/>
          <w:sz w:val="24"/>
          <w:szCs w:val="24"/>
          <w:highlight w:val="none"/>
        </w:rPr>
      </w:pPr>
      <w:r>
        <w:rPr>
          <w:rFonts w:hint="eastAsia"/>
          <w:sz w:val="24"/>
          <w:szCs w:val="24"/>
          <w:highlight w:val="none"/>
        </w:rPr>
        <w:t>七、合同金额及其支付方法：</w:t>
      </w:r>
    </w:p>
    <w:p w14:paraId="79B6B713">
      <w:pPr>
        <w:spacing w:line="360" w:lineRule="auto"/>
        <w:ind w:firstLine="480" w:firstLineChars="20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本项目</w:t>
      </w:r>
      <w:r>
        <w:rPr>
          <w:rFonts w:hint="eastAsia" w:ascii="宋体" w:hAnsi="宋体" w:cs="宋体"/>
          <w:color w:val="auto"/>
          <w:sz w:val="24"/>
          <w:szCs w:val="24"/>
          <w:highlight w:val="none"/>
        </w:rPr>
        <w:t>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p>
    <w:p w14:paraId="51F8C98D">
      <w:pPr>
        <w:spacing w:line="360" w:lineRule="auto"/>
        <w:ind w:firstLine="480" w:firstLineChars="200"/>
        <w:rPr>
          <w:rFonts w:hint="eastAsia"/>
          <w:sz w:val="24"/>
          <w:szCs w:val="24"/>
          <w:highlight w:val="none"/>
        </w:rPr>
      </w:pPr>
      <w:r>
        <w:rPr>
          <w:rFonts w:hint="eastAsia"/>
          <w:sz w:val="24"/>
          <w:szCs w:val="24"/>
          <w:highlight w:val="none"/>
        </w:rPr>
        <w:t>乙方凭主管部门的涉航技术评价报告批复且所有资料移交甲方后，乙方提供正式合法有效的增值税专用发票给甲方，收到发票后30日内甲方应向乙方一次性支付全部费用。</w:t>
      </w:r>
    </w:p>
    <w:p w14:paraId="326F008F">
      <w:pPr>
        <w:spacing w:line="360" w:lineRule="auto"/>
        <w:ind w:firstLine="482" w:firstLineChars="200"/>
        <w:rPr>
          <w:rFonts w:hint="eastAsia"/>
          <w:highlight w:val="none"/>
        </w:rPr>
      </w:pPr>
      <w:r>
        <w:rPr>
          <w:rFonts w:hint="eastAsia" w:ascii="宋体" w:hAnsi="宋体" w:cs="宋体"/>
          <w:b/>
          <w:color w:val="auto"/>
          <w:sz w:val="24"/>
          <w:szCs w:val="24"/>
          <w:highlight w:val="none"/>
          <w:lang w:val="en-US" w:eastAsia="zh-CN"/>
        </w:rPr>
        <w:t>2、履约保证金：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267A9430">
      <w:pPr>
        <w:spacing w:line="360" w:lineRule="auto"/>
        <w:ind w:firstLine="480" w:firstLineChars="200"/>
        <w:rPr>
          <w:rFonts w:hint="eastAsia"/>
          <w:sz w:val="24"/>
          <w:szCs w:val="24"/>
          <w:highlight w:val="none"/>
        </w:rPr>
      </w:pPr>
      <w:r>
        <w:rPr>
          <w:rFonts w:hint="eastAsia"/>
          <w:sz w:val="24"/>
          <w:szCs w:val="24"/>
          <w:highlight w:val="none"/>
        </w:rPr>
        <w:t>八、违约金或者损失赔偿额的计算办法：</w:t>
      </w:r>
    </w:p>
    <w:p w14:paraId="0E1D83CC">
      <w:pPr>
        <w:spacing w:line="360" w:lineRule="auto"/>
        <w:ind w:firstLine="480" w:firstLineChars="200"/>
        <w:rPr>
          <w:rFonts w:hint="eastAsia"/>
          <w:sz w:val="24"/>
          <w:szCs w:val="24"/>
          <w:highlight w:val="none"/>
        </w:rPr>
      </w:pPr>
      <w:r>
        <w:rPr>
          <w:rFonts w:hint="eastAsia"/>
          <w:sz w:val="24"/>
          <w:szCs w:val="24"/>
          <w:highlight w:val="none"/>
        </w:rPr>
        <w:t>8.</w:t>
      </w:r>
      <w:r>
        <w:rPr>
          <w:rFonts w:hint="eastAsia"/>
          <w:sz w:val="24"/>
          <w:szCs w:val="24"/>
          <w:highlight w:val="none"/>
          <w:lang w:val="en-US" w:eastAsia="zh-CN"/>
        </w:rPr>
        <w:t>1</w:t>
      </w:r>
      <w:r>
        <w:rPr>
          <w:rFonts w:hint="eastAsia"/>
          <w:sz w:val="24"/>
          <w:szCs w:val="24"/>
          <w:highlight w:val="none"/>
        </w:rPr>
        <w:t xml:space="preserve"> 乙方在合同约定期内未按时</w:t>
      </w:r>
      <w:r>
        <w:rPr>
          <w:rFonts w:hint="eastAsia"/>
          <w:sz w:val="24"/>
          <w:szCs w:val="24"/>
          <w:highlight w:val="none"/>
          <w:lang w:eastAsia="zh-CN"/>
        </w:rPr>
        <w:t>完成</w:t>
      </w:r>
      <w:r>
        <w:rPr>
          <w:rFonts w:hint="eastAsia"/>
          <w:sz w:val="24"/>
          <w:szCs w:val="24"/>
          <w:highlight w:val="none"/>
        </w:rPr>
        <w:t>相关报告的编制</w:t>
      </w:r>
      <w:r>
        <w:rPr>
          <w:rFonts w:hint="eastAsia"/>
          <w:sz w:val="24"/>
          <w:szCs w:val="24"/>
          <w:highlight w:val="none"/>
          <w:lang w:eastAsia="zh-CN"/>
        </w:rPr>
        <w:t>及</w:t>
      </w:r>
      <w:r>
        <w:rPr>
          <w:rFonts w:hint="eastAsia"/>
          <w:sz w:val="24"/>
          <w:szCs w:val="24"/>
          <w:highlight w:val="none"/>
        </w:rPr>
        <w:t>取得相关部门的准予交通运输行政确认决定书</w:t>
      </w:r>
      <w:r>
        <w:rPr>
          <w:rFonts w:hint="eastAsia"/>
          <w:sz w:val="24"/>
          <w:szCs w:val="24"/>
          <w:highlight w:val="none"/>
          <w:lang w:eastAsia="zh-CN"/>
        </w:rPr>
        <w:t>的</w:t>
      </w:r>
      <w:r>
        <w:rPr>
          <w:rFonts w:hint="eastAsia"/>
          <w:sz w:val="24"/>
          <w:szCs w:val="24"/>
          <w:highlight w:val="none"/>
        </w:rPr>
        <w:t>，除不可抗力外，</w:t>
      </w:r>
      <w:r>
        <w:rPr>
          <w:rFonts w:hint="eastAsia"/>
          <w:sz w:val="24"/>
          <w:szCs w:val="24"/>
          <w:highlight w:val="none"/>
          <w:lang w:eastAsia="zh-CN"/>
        </w:rPr>
        <w:t>乙</w:t>
      </w:r>
      <w:r>
        <w:rPr>
          <w:rFonts w:hint="eastAsia"/>
          <w:sz w:val="24"/>
          <w:szCs w:val="24"/>
          <w:highlight w:val="none"/>
        </w:rPr>
        <w:t>方应向</w:t>
      </w:r>
      <w:r>
        <w:rPr>
          <w:rFonts w:hint="eastAsia"/>
          <w:sz w:val="24"/>
          <w:szCs w:val="24"/>
          <w:highlight w:val="none"/>
          <w:lang w:eastAsia="zh-CN"/>
        </w:rPr>
        <w:t>甲</w:t>
      </w:r>
      <w:r>
        <w:rPr>
          <w:rFonts w:hint="eastAsia"/>
          <w:sz w:val="24"/>
          <w:szCs w:val="24"/>
          <w:highlight w:val="none"/>
        </w:rPr>
        <w:t>方支付违约金，具体支付比例如下：</w:t>
      </w:r>
    </w:p>
    <w:p w14:paraId="3BCE212E">
      <w:pPr>
        <w:spacing w:line="360" w:lineRule="auto"/>
        <w:ind w:firstLine="480" w:firstLineChars="200"/>
        <w:rPr>
          <w:rFonts w:hint="eastAsia"/>
          <w:sz w:val="24"/>
          <w:szCs w:val="24"/>
          <w:highlight w:val="none"/>
        </w:rPr>
      </w:pPr>
      <w:r>
        <w:rPr>
          <w:rFonts w:hint="eastAsia"/>
          <w:sz w:val="24"/>
          <w:szCs w:val="24"/>
          <w:highlight w:val="none"/>
          <w:lang w:eastAsia="zh-CN"/>
        </w:rPr>
        <w:t>逾期</w:t>
      </w:r>
      <w:r>
        <w:rPr>
          <w:rFonts w:hint="eastAsia"/>
          <w:sz w:val="24"/>
          <w:szCs w:val="24"/>
          <w:highlight w:val="none"/>
          <w:lang w:val="en-US" w:eastAsia="zh-CN"/>
        </w:rPr>
        <w:t>交付1</w:t>
      </w:r>
      <w:r>
        <w:rPr>
          <w:rFonts w:hint="eastAsia"/>
          <w:sz w:val="24"/>
          <w:szCs w:val="24"/>
          <w:highlight w:val="none"/>
        </w:rPr>
        <w:t>～15</w:t>
      </w:r>
      <w:r>
        <w:rPr>
          <w:rFonts w:hint="eastAsia"/>
          <w:sz w:val="24"/>
          <w:szCs w:val="24"/>
          <w:highlight w:val="none"/>
          <w:lang w:val="en-US" w:eastAsia="zh-CN"/>
        </w:rPr>
        <w:t>天</w:t>
      </w:r>
      <w:r>
        <w:rPr>
          <w:rFonts w:hint="eastAsia"/>
          <w:sz w:val="24"/>
          <w:szCs w:val="24"/>
          <w:highlight w:val="none"/>
        </w:rPr>
        <w:t>，每天违约金金额</w:t>
      </w:r>
      <w:r>
        <w:rPr>
          <w:rFonts w:hint="eastAsia"/>
          <w:sz w:val="24"/>
          <w:szCs w:val="24"/>
          <w:highlight w:val="none"/>
          <w:lang w:val="en-US" w:eastAsia="zh-CN"/>
        </w:rPr>
        <w:t>为中标金额的百分之二；</w:t>
      </w:r>
    </w:p>
    <w:p w14:paraId="1A231C04">
      <w:pPr>
        <w:spacing w:line="360" w:lineRule="auto"/>
        <w:ind w:firstLine="480" w:firstLineChars="200"/>
        <w:rPr>
          <w:rFonts w:hint="eastAsia"/>
          <w:sz w:val="24"/>
          <w:szCs w:val="24"/>
          <w:highlight w:val="none"/>
        </w:rPr>
      </w:pPr>
      <w:r>
        <w:rPr>
          <w:rFonts w:hint="eastAsia"/>
          <w:sz w:val="24"/>
          <w:szCs w:val="24"/>
          <w:highlight w:val="none"/>
        </w:rPr>
        <w:t>乙方逾期交</w:t>
      </w:r>
      <w:r>
        <w:rPr>
          <w:rFonts w:hint="eastAsia"/>
          <w:sz w:val="24"/>
          <w:szCs w:val="24"/>
          <w:highlight w:val="none"/>
          <w:lang w:eastAsia="zh-CN"/>
        </w:rPr>
        <w:t>付</w:t>
      </w:r>
      <w:r>
        <w:rPr>
          <w:rFonts w:hint="eastAsia"/>
          <w:sz w:val="24"/>
          <w:szCs w:val="24"/>
          <w:highlight w:val="none"/>
        </w:rPr>
        <w:t>超过15天以上的视为乙方不履行合同，甲方有权终止合同，并要求乙方支付迟交违约金</w:t>
      </w:r>
      <w:r>
        <w:rPr>
          <w:rFonts w:hint="eastAsia"/>
          <w:sz w:val="24"/>
          <w:szCs w:val="24"/>
          <w:highlight w:val="none"/>
          <w:lang w:val="en-US" w:eastAsia="zh-CN"/>
        </w:rPr>
        <w:t>及</w:t>
      </w:r>
      <w:r>
        <w:rPr>
          <w:rFonts w:hint="eastAsia"/>
          <w:sz w:val="24"/>
          <w:szCs w:val="24"/>
          <w:highlight w:val="none"/>
        </w:rPr>
        <w:t>扣除相应的履约保证金。</w:t>
      </w:r>
    </w:p>
    <w:p w14:paraId="32A9CD68">
      <w:pPr>
        <w:spacing w:line="360" w:lineRule="auto"/>
        <w:ind w:firstLine="480" w:firstLineChars="200"/>
        <w:rPr>
          <w:rFonts w:hint="eastAsia"/>
          <w:sz w:val="24"/>
          <w:szCs w:val="24"/>
          <w:highlight w:val="none"/>
        </w:rPr>
      </w:pPr>
      <w:r>
        <w:rPr>
          <w:rFonts w:hint="eastAsia"/>
          <w:sz w:val="24"/>
          <w:szCs w:val="24"/>
          <w:highlight w:val="none"/>
        </w:rPr>
        <w:t>九、合同生效及其它：</w:t>
      </w:r>
    </w:p>
    <w:p w14:paraId="5F027ACD">
      <w:pPr>
        <w:spacing w:line="360" w:lineRule="auto"/>
        <w:ind w:firstLine="480" w:firstLineChars="200"/>
        <w:rPr>
          <w:rFonts w:hint="eastAsia"/>
          <w:sz w:val="24"/>
          <w:szCs w:val="24"/>
          <w:highlight w:val="none"/>
        </w:rPr>
      </w:pPr>
      <w:r>
        <w:rPr>
          <w:rFonts w:hint="eastAsia"/>
          <w:sz w:val="24"/>
          <w:szCs w:val="24"/>
          <w:highlight w:val="none"/>
        </w:rPr>
        <w:t>1、乙方不履行合同或履行合同不符合约定的，按违约处理，甲方有权终止合同，同时对乙方处以扣除相应的违约金和履约保证金的违约处罚，并报监管指定网站公示。如果甲方因此造成的实际损失超过约定的违约金及履约保证金，则乙方的赔偿额应以甲方的实际损失为准。</w:t>
      </w:r>
    </w:p>
    <w:p w14:paraId="6C56DCD4">
      <w:pPr>
        <w:spacing w:line="360" w:lineRule="auto"/>
        <w:ind w:firstLine="480" w:firstLineChars="200"/>
        <w:rPr>
          <w:rFonts w:hint="eastAsia"/>
          <w:sz w:val="24"/>
          <w:szCs w:val="24"/>
          <w:highlight w:val="none"/>
        </w:rPr>
      </w:pPr>
      <w:r>
        <w:rPr>
          <w:rFonts w:hint="eastAsia"/>
          <w:sz w:val="24"/>
          <w:szCs w:val="24"/>
          <w:highlight w:val="none"/>
        </w:rPr>
        <w:t>2、合同经甲乙双方代表签字并加盖公章（或合同章）后即生效。</w:t>
      </w:r>
    </w:p>
    <w:p w14:paraId="4F6A8BB3">
      <w:pPr>
        <w:spacing w:line="360" w:lineRule="auto"/>
        <w:ind w:firstLine="480" w:firstLineChars="200"/>
        <w:rPr>
          <w:rFonts w:hint="eastAsia"/>
          <w:sz w:val="24"/>
          <w:szCs w:val="24"/>
          <w:highlight w:val="none"/>
        </w:rPr>
      </w:pPr>
      <w:r>
        <w:rPr>
          <w:rFonts w:hint="eastAsia"/>
          <w:sz w:val="24"/>
          <w:szCs w:val="24"/>
          <w:highlight w:val="none"/>
        </w:rPr>
        <w:t>3、合同签订后甲乙双方即直接产生权利与义务的关系，合同执行过程中出现的问题应按照《民法典》的规定办理，在合同履行过程中，双方如有争议，先由甲乙双方协商解决，如协商不成，则可向甲方所在地（宜兴）法院起诉。</w:t>
      </w:r>
    </w:p>
    <w:p w14:paraId="4BB63301">
      <w:pPr>
        <w:spacing w:line="360" w:lineRule="auto"/>
        <w:ind w:firstLine="480" w:firstLineChars="200"/>
        <w:rPr>
          <w:rFonts w:hint="eastAsia"/>
          <w:sz w:val="24"/>
          <w:szCs w:val="24"/>
          <w:highlight w:val="none"/>
        </w:rPr>
      </w:pPr>
      <w:r>
        <w:rPr>
          <w:rFonts w:hint="eastAsia"/>
          <w:sz w:val="24"/>
          <w:szCs w:val="24"/>
          <w:highlight w:val="none"/>
        </w:rPr>
        <w:t>4、合同在执行过程中出现的未尽事宜，在不违背本合同和招标文件的原则下协议解决。</w:t>
      </w:r>
    </w:p>
    <w:p w14:paraId="75DC746F">
      <w:pPr>
        <w:spacing w:line="360" w:lineRule="auto"/>
        <w:ind w:firstLine="480" w:firstLineChars="200"/>
        <w:rPr>
          <w:rFonts w:hint="eastAsia"/>
          <w:sz w:val="24"/>
          <w:szCs w:val="24"/>
          <w:highlight w:val="none"/>
        </w:rPr>
      </w:pPr>
      <w:r>
        <w:rPr>
          <w:rFonts w:hint="eastAsia"/>
          <w:sz w:val="24"/>
          <w:szCs w:val="24"/>
          <w:highlight w:val="none"/>
        </w:rPr>
        <w:t>5、合同在执行过程中出现的未尽事宜，双方在不违背本合同和招标文件的原则下协商解决，协商结果以书面形式签订补充协议，且补充协议与本合同具有同等效力。</w:t>
      </w:r>
    </w:p>
    <w:p w14:paraId="612607DF">
      <w:pPr>
        <w:spacing w:line="360" w:lineRule="auto"/>
        <w:ind w:firstLine="480" w:firstLineChars="200"/>
        <w:rPr>
          <w:rFonts w:hint="eastAsia"/>
          <w:sz w:val="24"/>
          <w:szCs w:val="24"/>
          <w:highlight w:val="none"/>
        </w:rPr>
      </w:pPr>
      <w:r>
        <w:rPr>
          <w:rFonts w:hint="eastAsia"/>
          <w:sz w:val="24"/>
          <w:szCs w:val="24"/>
          <w:highlight w:val="none"/>
        </w:rPr>
        <w:t>6、本合同应按照中华人民共和国的现行法律进行解释。</w:t>
      </w:r>
    </w:p>
    <w:p w14:paraId="31BA4F73">
      <w:pPr>
        <w:spacing w:line="360" w:lineRule="auto"/>
        <w:ind w:firstLine="480" w:firstLineChars="200"/>
        <w:rPr>
          <w:rFonts w:hint="eastAsia"/>
          <w:sz w:val="24"/>
          <w:szCs w:val="24"/>
          <w:highlight w:val="none"/>
        </w:rPr>
      </w:pPr>
      <w:r>
        <w:rPr>
          <w:rFonts w:hint="eastAsia"/>
          <w:sz w:val="24"/>
          <w:szCs w:val="24"/>
          <w:highlight w:val="none"/>
        </w:rPr>
        <w:t>十、本合同一式</w:t>
      </w:r>
      <w:r>
        <w:rPr>
          <w:rFonts w:hint="eastAsia"/>
          <w:sz w:val="24"/>
          <w:szCs w:val="24"/>
          <w:highlight w:val="none"/>
          <w:lang w:eastAsia="zh-CN"/>
        </w:rPr>
        <w:t>陆</w:t>
      </w:r>
      <w:r>
        <w:rPr>
          <w:rFonts w:hint="eastAsia"/>
          <w:sz w:val="24"/>
          <w:szCs w:val="24"/>
          <w:highlight w:val="none"/>
        </w:rPr>
        <w:t>份，甲方执</w:t>
      </w:r>
      <w:r>
        <w:rPr>
          <w:rFonts w:hint="eastAsia"/>
          <w:sz w:val="24"/>
          <w:szCs w:val="24"/>
          <w:highlight w:val="none"/>
          <w:lang w:eastAsia="zh-CN"/>
        </w:rPr>
        <w:t>叁</w:t>
      </w:r>
      <w:r>
        <w:rPr>
          <w:rFonts w:hint="eastAsia"/>
          <w:sz w:val="24"/>
          <w:szCs w:val="24"/>
          <w:highlight w:val="none"/>
        </w:rPr>
        <w:t>份、乙方执</w:t>
      </w:r>
      <w:r>
        <w:rPr>
          <w:rFonts w:hint="eastAsia"/>
          <w:sz w:val="24"/>
          <w:szCs w:val="24"/>
          <w:highlight w:val="none"/>
          <w:lang w:eastAsia="zh-CN"/>
        </w:rPr>
        <w:t>叁</w:t>
      </w:r>
      <w:r>
        <w:rPr>
          <w:rFonts w:hint="eastAsia"/>
          <w:sz w:val="24"/>
          <w:szCs w:val="24"/>
          <w:highlight w:val="none"/>
        </w:rPr>
        <w:t>份，自盖章签字之日起生效。</w:t>
      </w:r>
    </w:p>
    <w:p w14:paraId="5CB25EFF">
      <w:pPr>
        <w:spacing w:line="360" w:lineRule="auto"/>
        <w:ind w:firstLine="480" w:firstLineChars="200"/>
        <w:rPr>
          <w:sz w:val="24"/>
          <w:szCs w:val="24"/>
          <w:highlight w:val="none"/>
        </w:rPr>
      </w:pPr>
    </w:p>
    <w:tbl>
      <w:tblPr>
        <w:tblStyle w:val="10"/>
        <w:tblW w:w="10031" w:type="dxa"/>
        <w:tblInd w:w="0" w:type="dxa"/>
        <w:tblLayout w:type="fixed"/>
        <w:tblCellMar>
          <w:top w:w="0" w:type="dxa"/>
          <w:left w:w="108" w:type="dxa"/>
          <w:bottom w:w="0" w:type="dxa"/>
          <w:right w:w="108" w:type="dxa"/>
        </w:tblCellMar>
      </w:tblPr>
      <w:tblGrid>
        <w:gridCol w:w="5639"/>
        <w:gridCol w:w="4392"/>
      </w:tblGrid>
      <w:tr w14:paraId="6C5E84A9">
        <w:tblPrEx>
          <w:tblCellMar>
            <w:top w:w="0" w:type="dxa"/>
            <w:left w:w="108" w:type="dxa"/>
            <w:bottom w:w="0" w:type="dxa"/>
            <w:right w:w="108" w:type="dxa"/>
          </w:tblCellMar>
        </w:tblPrEx>
        <w:tc>
          <w:tcPr>
            <w:tcW w:w="5639" w:type="dxa"/>
            <w:noWrap/>
            <w:vAlign w:val="top"/>
          </w:tcPr>
          <w:p w14:paraId="41DADC3D">
            <w:pPr>
              <w:adjustRightInd w:val="0"/>
              <w:snapToGrid w:val="0"/>
              <w:rPr>
                <w:rFonts w:ascii="宋体" w:hAnsi="宋体"/>
                <w:sz w:val="24"/>
                <w:szCs w:val="24"/>
                <w:highlight w:val="none"/>
              </w:rPr>
            </w:pPr>
            <w:r>
              <w:rPr>
                <w:rFonts w:hint="eastAsia" w:ascii="宋体" w:hAnsi="宋体"/>
                <w:sz w:val="24"/>
                <w:szCs w:val="24"/>
                <w:highlight w:val="none"/>
              </w:rPr>
              <w:t>甲</w:t>
            </w:r>
            <w:r>
              <w:rPr>
                <w:rFonts w:ascii="宋体" w:hAnsi="宋体"/>
                <w:sz w:val="24"/>
                <w:szCs w:val="24"/>
                <w:highlight w:val="none"/>
              </w:rPr>
              <w:t>方</w:t>
            </w:r>
            <w:r>
              <w:rPr>
                <w:sz w:val="24"/>
                <w:szCs w:val="24"/>
                <w:highlight w:val="none"/>
              </w:rPr>
              <w:t>（</w:t>
            </w:r>
            <w:r>
              <w:rPr>
                <w:rFonts w:hint="eastAsia"/>
                <w:sz w:val="24"/>
                <w:szCs w:val="24"/>
                <w:highlight w:val="none"/>
              </w:rPr>
              <w:t>委托方</w:t>
            </w:r>
            <w:r>
              <w:rPr>
                <w:sz w:val="24"/>
                <w:szCs w:val="24"/>
                <w:highlight w:val="none"/>
              </w:rPr>
              <w:t>）</w:t>
            </w:r>
            <w:r>
              <w:rPr>
                <w:rFonts w:ascii="宋体" w:hAnsi="宋体"/>
                <w:sz w:val="24"/>
                <w:szCs w:val="24"/>
                <w:highlight w:val="none"/>
              </w:rPr>
              <w:t>：</w:t>
            </w:r>
          </w:p>
        </w:tc>
        <w:tc>
          <w:tcPr>
            <w:tcW w:w="4392" w:type="dxa"/>
            <w:noWrap/>
            <w:vAlign w:val="center"/>
          </w:tcPr>
          <w:p w14:paraId="2D6494CA">
            <w:pPr>
              <w:adjustRightInd w:val="0"/>
              <w:snapToGrid w:val="0"/>
              <w:rPr>
                <w:rFonts w:ascii="宋体" w:hAnsi="宋体"/>
                <w:sz w:val="24"/>
                <w:szCs w:val="24"/>
                <w:highlight w:val="none"/>
              </w:rPr>
            </w:pPr>
            <w:r>
              <w:rPr>
                <w:rFonts w:ascii="宋体" w:hAnsi="宋体"/>
                <w:sz w:val="24"/>
                <w:szCs w:val="24"/>
                <w:highlight w:val="none"/>
              </w:rPr>
              <w:t>乙方</w:t>
            </w:r>
            <w:r>
              <w:rPr>
                <w:sz w:val="24"/>
                <w:szCs w:val="24"/>
                <w:highlight w:val="none"/>
              </w:rPr>
              <w:t>（</w:t>
            </w:r>
            <w:r>
              <w:rPr>
                <w:rFonts w:hint="eastAsia"/>
                <w:sz w:val="24"/>
                <w:szCs w:val="24"/>
                <w:highlight w:val="none"/>
              </w:rPr>
              <w:t>被委托方</w:t>
            </w:r>
            <w:r>
              <w:rPr>
                <w:sz w:val="24"/>
                <w:szCs w:val="24"/>
                <w:highlight w:val="none"/>
              </w:rPr>
              <w:t>）</w:t>
            </w:r>
            <w:r>
              <w:rPr>
                <w:rFonts w:ascii="宋体" w:hAnsi="宋体"/>
                <w:sz w:val="24"/>
                <w:szCs w:val="24"/>
                <w:highlight w:val="none"/>
              </w:rPr>
              <w:t>：</w:t>
            </w:r>
          </w:p>
          <w:p w14:paraId="2D472EA9">
            <w:pPr>
              <w:adjustRightInd w:val="0"/>
              <w:snapToGrid w:val="0"/>
              <w:rPr>
                <w:rFonts w:ascii="宋体" w:hAnsi="宋体"/>
                <w:sz w:val="24"/>
                <w:szCs w:val="24"/>
                <w:highlight w:val="none"/>
              </w:rPr>
            </w:pPr>
          </w:p>
        </w:tc>
      </w:tr>
      <w:tr w14:paraId="42BC761E">
        <w:tblPrEx>
          <w:tblCellMar>
            <w:top w:w="0" w:type="dxa"/>
            <w:left w:w="108" w:type="dxa"/>
            <w:bottom w:w="0" w:type="dxa"/>
            <w:right w:w="108" w:type="dxa"/>
          </w:tblCellMar>
        </w:tblPrEx>
        <w:tc>
          <w:tcPr>
            <w:tcW w:w="5639" w:type="dxa"/>
            <w:noWrap/>
            <w:vAlign w:val="top"/>
          </w:tcPr>
          <w:p w14:paraId="76B365E5">
            <w:pPr>
              <w:adjustRightInd w:val="0"/>
              <w:snapToGrid w:val="0"/>
              <w:rPr>
                <w:rFonts w:ascii="宋体" w:hAnsi="宋体"/>
                <w:sz w:val="24"/>
                <w:szCs w:val="24"/>
                <w:highlight w:val="none"/>
              </w:rPr>
            </w:pPr>
            <w:r>
              <w:rPr>
                <w:rFonts w:ascii="宋体" w:hAnsi="宋体"/>
                <w:sz w:val="24"/>
                <w:szCs w:val="24"/>
                <w:highlight w:val="none"/>
              </w:rPr>
              <w:t>法定代表人</w:t>
            </w:r>
          </w:p>
          <w:p w14:paraId="2C531202">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44B74D8F">
            <w:pPr>
              <w:adjustRightInd w:val="0"/>
              <w:snapToGrid w:val="0"/>
              <w:rPr>
                <w:rFonts w:ascii="宋体" w:hAnsi="宋体"/>
                <w:sz w:val="24"/>
                <w:szCs w:val="24"/>
                <w:highlight w:val="none"/>
              </w:rPr>
            </w:pPr>
          </w:p>
        </w:tc>
        <w:tc>
          <w:tcPr>
            <w:tcW w:w="4392" w:type="dxa"/>
            <w:noWrap/>
            <w:vAlign w:val="center"/>
          </w:tcPr>
          <w:p w14:paraId="62483052">
            <w:pPr>
              <w:adjustRightInd w:val="0"/>
              <w:snapToGrid w:val="0"/>
              <w:rPr>
                <w:rFonts w:ascii="宋体" w:hAnsi="宋体"/>
                <w:sz w:val="24"/>
                <w:szCs w:val="24"/>
                <w:highlight w:val="none"/>
              </w:rPr>
            </w:pPr>
            <w:r>
              <w:rPr>
                <w:rFonts w:ascii="宋体" w:hAnsi="宋体"/>
                <w:sz w:val="24"/>
                <w:szCs w:val="24"/>
                <w:highlight w:val="none"/>
              </w:rPr>
              <w:t>法定代表人</w:t>
            </w:r>
          </w:p>
          <w:p w14:paraId="61436CE8">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0812FFC1">
            <w:pPr>
              <w:adjustRightInd w:val="0"/>
              <w:snapToGrid w:val="0"/>
              <w:rPr>
                <w:rFonts w:ascii="宋体" w:hAnsi="宋体"/>
                <w:sz w:val="24"/>
                <w:szCs w:val="24"/>
                <w:highlight w:val="none"/>
              </w:rPr>
            </w:pPr>
          </w:p>
        </w:tc>
      </w:tr>
      <w:tr w14:paraId="0999F74F">
        <w:tblPrEx>
          <w:tblCellMar>
            <w:top w:w="0" w:type="dxa"/>
            <w:left w:w="108" w:type="dxa"/>
            <w:bottom w:w="0" w:type="dxa"/>
            <w:right w:w="108" w:type="dxa"/>
          </w:tblCellMar>
        </w:tblPrEx>
        <w:tc>
          <w:tcPr>
            <w:tcW w:w="5639" w:type="dxa"/>
            <w:noWrap/>
            <w:vAlign w:val="top"/>
          </w:tcPr>
          <w:p w14:paraId="605D29AB">
            <w:pPr>
              <w:adjustRightInd w:val="0"/>
              <w:snapToGrid w:val="0"/>
              <w:rPr>
                <w:rFonts w:ascii="宋体" w:hAnsi="宋体"/>
                <w:sz w:val="24"/>
                <w:szCs w:val="24"/>
                <w:highlight w:val="none"/>
              </w:rPr>
            </w:pPr>
            <w:r>
              <w:rPr>
                <w:rFonts w:ascii="宋体" w:hAnsi="宋体"/>
                <w:sz w:val="24"/>
                <w:szCs w:val="24"/>
                <w:highlight w:val="none"/>
              </w:rPr>
              <w:t>签订日期：</w:t>
            </w:r>
          </w:p>
        </w:tc>
        <w:tc>
          <w:tcPr>
            <w:tcW w:w="4392" w:type="dxa"/>
            <w:noWrap/>
            <w:vAlign w:val="center"/>
          </w:tcPr>
          <w:p w14:paraId="6D1DEDAC">
            <w:pPr>
              <w:adjustRightInd w:val="0"/>
              <w:snapToGrid w:val="0"/>
              <w:rPr>
                <w:rFonts w:ascii="宋体" w:hAnsi="宋体"/>
                <w:sz w:val="24"/>
                <w:szCs w:val="24"/>
                <w:highlight w:val="none"/>
              </w:rPr>
            </w:pPr>
            <w:r>
              <w:rPr>
                <w:rFonts w:ascii="宋体" w:hAnsi="宋体"/>
                <w:sz w:val="24"/>
                <w:szCs w:val="24"/>
                <w:highlight w:val="none"/>
              </w:rPr>
              <w:t>签订日期：</w:t>
            </w:r>
          </w:p>
          <w:p w14:paraId="436A3360">
            <w:pPr>
              <w:adjustRightInd w:val="0"/>
              <w:snapToGrid w:val="0"/>
              <w:rPr>
                <w:rFonts w:ascii="宋体" w:hAnsi="宋体"/>
                <w:sz w:val="24"/>
                <w:szCs w:val="24"/>
                <w:highlight w:val="none"/>
              </w:rPr>
            </w:pPr>
          </w:p>
        </w:tc>
      </w:tr>
      <w:tr w14:paraId="07BDC17E">
        <w:tblPrEx>
          <w:tblCellMar>
            <w:top w:w="0" w:type="dxa"/>
            <w:left w:w="108" w:type="dxa"/>
            <w:bottom w:w="0" w:type="dxa"/>
            <w:right w:w="108" w:type="dxa"/>
          </w:tblCellMar>
        </w:tblPrEx>
        <w:tc>
          <w:tcPr>
            <w:tcW w:w="5639" w:type="dxa"/>
            <w:noWrap/>
            <w:vAlign w:val="top"/>
          </w:tcPr>
          <w:p w14:paraId="03B5ADC8">
            <w:pPr>
              <w:adjustRightInd w:val="0"/>
              <w:snapToGrid w:val="0"/>
              <w:rPr>
                <w:rFonts w:ascii="宋体" w:hAnsi="宋体"/>
                <w:sz w:val="24"/>
                <w:szCs w:val="24"/>
                <w:highlight w:val="none"/>
              </w:rPr>
            </w:pPr>
            <w:r>
              <w:rPr>
                <w:rFonts w:ascii="宋体" w:hAnsi="宋体"/>
                <w:sz w:val="24"/>
                <w:szCs w:val="24"/>
                <w:highlight w:val="none"/>
              </w:rPr>
              <w:t>开户银行：</w:t>
            </w:r>
          </w:p>
        </w:tc>
        <w:tc>
          <w:tcPr>
            <w:tcW w:w="4392" w:type="dxa"/>
            <w:noWrap/>
            <w:vAlign w:val="center"/>
          </w:tcPr>
          <w:p w14:paraId="51FB9F95">
            <w:pPr>
              <w:adjustRightInd w:val="0"/>
              <w:snapToGrid w:val="0"/>
              <w:rPr>
                <w:rFonts w:ascii="宋体" w:hAnsi="宋体"/>
                <w:sz w:val="24"/>
                <w:szCs w:val="24"/>
                <w:highlight w:val="none"/>
              </w:rPr>
            </w:pPr>
            <w:r>
              <w:rPr>
                <w:rFonts w:ascii="宋体" w:hAnsi="宋体"/>
                <w:sz w:val="24"/>
                <w:szCs w:val="24"/>
                <w:highlight w:val="none"/>
              </w:rPr>
              <w:t>开户银行：</w:t>
            </w:r>
          </w:p>
          <w:p w14:paraId="103A93C0">
            <w:pPr>
              <w:adjustRightInd w:val="0"/>
              <w:snapToGrid w:val="0"/>
              <w:rPr>
                <w:rFonts w:ascii="宋体" w:hAnsi="宋体"/>
                <w:sz w:val="24"/>
                <w:szCs w:val="24"/>
                <w:highlight w:val="none"/>
              </w:rPr>
            </w:pPr>
          </w:p>
        </w:tc>
      </w:tr>
      <w:tr w14:paraId="11340CD4">
        <w:tblPrEx>
          <w:tblCellMar>
            <w:top w:w="0" w:type="dxa"/>
            <w:left w:w="108" w:type="dxa"/>
            <w:bottom w:w="0" w:type="dxa"/>
            <w:right w:w="108" w:type="dxa"/>
          </w:tblCellMar>
        </w:tblPrEx>
        <w:tc>
          <w:tcPr>
            <w:tcW w:w="5639" w:type="dxa"/>
            <w:noWrap/>
            <w:vAlign w:val="top"/>
          </w:tcPr>
          <w:p w14:paraId="40F39C4E">
            <w:pPr>
              <w:adjustRightInd w:val="0"/>
              <w:snapToGrid w:val="0"/>
              <w:rPr>
                <w:rFonts w:ascii="宋体" w:hAnsi="宋体"/>
                <w:sz w:val="24"/>
                <w:szCs w:val="24"/>
                <w:highlight w:val="none"/>
              </w:rPr>
            </w:pPr>
            <w:r>
              <w:rPr>
                <w:rFonts w:ascii="宋体" w:hAnsi="宋体"/>
                <w:sz w:val="24"/>
                <w:szCs w:val="24"/>
                <w:highlight w:val="none"/>
              </w:rPr>
              <w:t>银行账号：</w:t>
            </w:r>
          </w:p>
          <w:p w14:paraId="4B61F755">
            <w:pPr>
              <w:adjustRightInd w:val="0"/>
              <w:snapToGrid w:val="0"/>
              <w:rPr>
                <w:rFonts w:ascii="宋体" w:hAnsi="宋体"/>
                <w:sz w:val="24"/>
                <w:szCs w:val="24"/>
                <w:highlight w:val="none"/>
              </w:rPr>
            </w:pPr>
          </w:p>
        </w:tc>
        <w:tc>
          <w:tcPr>
            <w:tcW w:w="4392" w:type="dxa"/>
            <w:noWrap/>
            <w:vAlign w:val="center"/>
          </w:tcPr>
          <w:p w14:paraId="4B32E9EC">
            <w:pPr>
              <w:adjustRightInd w:val="0"/>
              <w:snapToGrid w:val="0"/>
              <w:rPr>
                <w:rFonts w:ascii="宋体" w:hAnsi="宋体"/>
                <w:sz w:val="24"/>
                <w:szCs w:val="24"/>
                <w:highlight w:val="none"/>
              </w:rPr>
            </w:pPr>
            <w:r>
              <w:rPr>
                <w:rFonts w:ascii="宋体" w:hAnsi="宋体"/>
                <w:sz w:val="24"/>
                <w:szCs w:val="24"/>
                <w:highlight w:val="none"/>
              </w:rPr>
              <w:t>银行账号：</w:t>
            </w:r>
          </w:p>
          <w:p w14:paraId="5097E9E2">
            <w:pPr>
              <w:adjustRightInd w:val="0"/>
              <w:snapToGrid w:val="0"/>
              <w:rPr>
                <w:rFonts w:ascii="宋体" w:hAnsi="宋体"/>
                <w:sz w:val="24"/>
                <w:szCs w:val="24"/>
                <w:highlight w:val="none"/>
              </w:rPr>
            </w:pPr>
          </w:p>
        </w:tc>
      </w:tr>
    </w:tbl>
    <w:p w14:paraId="3170EA72">
      <w:pPr>
        <w:spacing w:line="360" w:lineRule="auto"/>
        <w:outlineLvl w:val="0"/>
        <w:rPr>
          <w:rFonts w:hint="eastAsia" w:ascii="黑体" w:hAnsi="黑体" w:eastAsia="黑体"/>
          <w:color w:val="auto"/>
          <w:sz w:val="28"/>
          <w:highlight w:val="none"/>
        </w:rPr>
      </w:pPr>
    </w:p>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YXGYJT202506020</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太湖内源污染治理（太湖西岸宜兴近岸区域）一期工程涉航技术评价采购服务项目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82"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致宜兴市公用投资管理有限公司、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我方收到你们宜兴市公用投资管理有限公司太湖内源污染治理（太湖西岸宜兴近岸区域）一期工程涉航技术评价采购服务项目招标文件，经仔细阅读和研究，我方决定参加投标。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83" w:name="OLE_LINK231"/>
      <w:bookmarkStart w:id="84" w:name="OLE_LINK281"/>
      <w:r>
        <w:rPr>
          <w:rFonts w:hint="eastAsia" w:ascii="宋体" w:hAnsi="宋体"/>
          <w:bCs/>
          <w:color w:val="auto"/>
          <w:sz w:val="24"/>
          <w:highlight w:val="none"/>
          <w:lang w:val="zh-CN"/>
        </w:rPr>
        <w:t>我方不是为本项目提供整体设计、规范编制或者项目管理、监理、检测等服务的供应商。</w:t>
      </w:r>
      <w:bookmarkEnd w:id="83"/>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85" w:name="OLE_LINK233"/>
      <w:r>
        <w:rPr>
          <w:rFonts w:hint="eastAsia" w:ascii="宋体" w:hAnsi="宋体"/>
          <w:bCs/>
          <w:color w:val="auto"/>
          <w:sz w:val="24"/>
          <w:highlight w:val="none"/>
          <w:lang w:val="zh-CN"/>
        </w:rPr>
        <w:t>关联单位情况说明：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86"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84"/>
      <w:bookmarkEnd w:id="85"/>
      <w:bookmarkEnd w:id="86"/>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82"/>
    <w:p w14:paraId="0CD2BF5C">
      <w:pPr>
        <w:jc w:val="left"/>
        <w:rPr>
          <w:rFonts w:hint="eastAsia" w:ascii="黑体" w:hAnsi="宋体" w:eastAsia="黑体"/>
          <w:bCs/>
          <w:color w:val="auto"/>
          <w:sz w:val="24"/>
          <w:szCs w:val="24"/>
          <w:highlight w:val="none"/>
        </w:rPr>
      </w:pPr>
      <w:bookmarkStart w:id="87" w:name="OLE_LINK146"/>
      <w:bookmarkStart w:id="88"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87"/>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89" w:name="_Toc32423"/>
      <w:r>
        <w:rPr>
          <w:rFonts w:hint="eastAsia" w:ascii="黑体" w:eastAsia="黑体"/>
          <w:bCs/>
          <w:color w:val="auto"/>
          <w:sz w:val="28"/>
          <w:szCs w:val="28"/>
          <w:highlight w:val="none"/>
        </w:rPr>
        <w:t>开标一览表</w:t>
      </w:r>
      <w:bookmarkEnd w:id="89"/>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YXGYJT202506020</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454"/>
        <w:gridCol w:w="1605"/>
        <w:gridCol w:w="1420"/>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太湖内源污染治理（太湖西岸宜兴近岸区域）一期工程涉航技术评价采购服务项目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color w:val="auto"/>
                <w:sz w:val="24"/>
                <w:szCs w:val="28"/>
                <w:highlight w:val="none"/>
              </w:rPr>
            </w:pPr>
            <w:r>
              <w:rPr>
                <w:rFonts w:hint="eastAsia" w:ascii="宋体" w:hAnsi="宋体"/>
                <w:color w:val="auto"/>
                <w:sz w:val="24"/>
                <w:szCs w:val="28"/>
                <w:highlight w:val="none"/>
              </w:rPr>
              <w:t>1项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517"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517"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88"/>
    <w:p w14:paraId="437F1099">
      <w:pPr>
        <w:pStyle w:val="4"/>
        <w:ind w:left="0" w:leftChars="0"/>
        <w:rPr>
          <w:rFonts w:hint="eastAsia"/>
          <w:color w:val="auto"/>
          <w:highlight w:val="none"/>
        </w:rPr>
      </w:pPr>
      <w:bookmarkStart w:id="91"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2D633E8F">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4457C599">
      <w:pPr>
        <w:jc w:val="left"/>
        <w:rPr>
          <w:rFonts w:ascii="黑体" w:hAnsi="黑体" w:eastAsia="黑体"/>
          <w:sz w:val="28"/>
          <w:szCs w:val="28"/>
          <w:highlight w:val="none"/>
        </w:rPr>
      </w:pPr>
      <w:r>
        <w:rPr>
          <w:rFonts w:hint="eastAsia" w:ascii="黑体" w:hAnsi="黑体" w:eastAsia="黑体"/>
          <w:sz w:val="28"/>
          <w:szCs w:val="28"/>
          <w:highlight w:val="none"/>
          <w:lang w:val="en-US" w:eastAsia="zh-CN"/>
        </w:rPr>
        <w:t>2</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明细报价表</w:t>
      </w:r>
    </w:p>
    <w:p w14:paraId="02BDCBBF">
      <w:pPr>
        <w:spacing w:beforeLines="50"/>
        <w:jc w:val="center"/>
        <w:rPr>
          <w:rFonts w:hint="eastAsia" w:ascii="宋体" w:hAnsi="宋体" w:eastAsia="宋体" w:cs="Times New Roman"/>
          <w:sz w:val="24"/>
          <w:szCs w:val="24"/>
          <w:highlight w:val="none"/>
        </w:rPr>
      </w:pPr>
      <w:r>
        <w:rPr>
          <w:rFonts w:hint="eastAsia" w:ascii="黑体" w:hAnsi="黑体" w:eastAsia="黑体"/>
          <w:sz w:val="28"/>
          <w:szCs w:val="28"/>
          <w:highlight w:val="none"/>
        </w:rPr>
        <w:t>明细报价表</w:t>
      </w:r>
    </w:p>
    <w:p w14:paraId="7486A0CB">
      <w:pPr>
        <w:spacing w:beforeLines="5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项目编号：</w:t>
      </w:r>
      <w:r>
        <w:rPr>
          <w:rFonts w:hint="eastAsia" w:ascii="宋体" w:hAnsi="宋体"/>
          <w:color w:val="auto"/>
          <w:sz w:val="24"/>
          <w:szCs w:val="24"/>
          <w:highlight w:val="none"/>
          <w:lang w:eastAsia="zh-CN"/>
        </w:rPr>
        <w:t>YXGYJT202506020</w:t>
      </w:r>
      <w:r>
        <w:rPr>
          <w:rFonts w:hint="eastAsia" w:ascii="宋体" w:hAnsi="宋体" w:eastAsia="宋体" w:cs="Times New Roman"/>
          <w:sz w:val="24"/>
          <w:szCs w:val="24"/>
          <w:highlight w:val="none"/>
        </w:rPr>
        <w:t xml:space="preserve"> </w:t>
      </w:r>
    </w:p>
    <w:p w14:paraId="52A36DA0">
      <w:pPr>
        <w:spacing w:beforeLines="50"/>
        <w:jc w:val="both"/>
        <w:rPr>
          <w:rFonts w:ascii="黑体" w:hAnsi="黑体" w:eastAsia="黑体"/>
          <w:sz w:val="28"/>
          <w:szCs w:val="28"/>
          <w:highlight w:val="none"/>
        </w:rPr>
      </w:pPr>
      <w:r>
        <w:rPr>
          <w:rFonts w:hint="eastAsia" w:ascii="宋体" w:hAnsi="宋体"/>
          <w:sz w:val="24"/>
          <w:szCs w:val="24"/>
          <w:highlight w:val="none"/>
        </w:rPr>
        <w:t>投标人名称（盖章）：                                         单位：元</w:t>
      </w:r>
    </w:p>
    <w:tbl>
      <w:tblPr>
        <w:tblStyle w:val="1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05"/>
        <w:gridCol w:w="658"/>
        <w:gridCol w:w="1176"/>
        <w:gridCol w:w="1092"/>
        <w:gridCol w:w="980"/>
        <w:gridCol w:w="1092"/>
        <w:gridCol w:w="1134"/>
        <w:gridCol w:w="812"/>
      </w:tblGrid>
      <w:tr w14:paraId="347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08" w:type="dxa"/>
            <w:noWrap w:val="0"/>
            <w:vAlign w:val="center"/>
          </w:tcPr>
          <w:p w14:paraId="41351B32">
            <w:pPr>
              <w:spacing w:before="5"/>
              <w:jc w:val="center"/>
              <w:rPr>
                <w:rFonts w:ascii="Calibri" w:hAnsi="Calibri" w:eastAsia="宋体" w:cs="Times New Roman"/>
                <w:sz w:val="24"/>
                <w:szCs w:val="24"/>
                <w:highlight w:val="none"/>
              </w:rPr>
            </w:pPr>
            <w:bookmarkStart w:id="92" w:name="_Toc14859"/>
            <w:r>
              <w:rPr>
                <w:rFonts w:hint="eastAsia" w:ascii="Calibri" w:hAnsi="Calibri" w:eastAsia="宋体" w:cs="Times New Roman"/>
                <w:sz w:val="24"/>
                <w:szCs w:val="24"/>
                <w:highlight w:val="none"/>
              </w:rPr>
              <w:t>序号</w:t>
            </w:r>
          </w:p>
        </w:tc>
        <w:tc>
          <w:tcPr>
            <w:tcW w:w="1305" w:type="dxa"/>
            <w:noWrap w:val="0"/>
            <w:vAlign w:val="center"/>
          </w:tcPr>
          <w:p w14:paraId="65487CB7">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项目名称</w:t>
            </w:r>
          </w:p>
        </w:tc>
        <w:tc>
          <w:tcPr>
            <w:tcW w:w="658" w:type="dxa"/>
            <w:noWrap w:val="0"/>
            <w:vAlign w:val="center"/>
          </w:tcPr>
          <w:p w14:paraId="77A67AE5">
            <w:pPr>
              <w:spacing w:before="5"/>
              <w:jc w:val="center"/>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数量</w:t>
            </w:r>
          </w:p>
        </w:tc>
        <w:tc>
          <w:tcPr>
            <w:tcW w:w="1176" w:type="dxa"/>
            <w:noWrap w:val="0"/>
            <w:vAlign w:val="center"/>
          </w:tcPr>
          <w:p w14:paraId="3AE0B138">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含税单价</w:t>
            </w:r>
          </w:p>
        </w:tc>
        <w:tc>
          <w:tcPr>
            <w:tcW w:w="1092" w:type="dxa"/>
            <w:noWrap w:val="0"/>
            <w:vAlign w:val="center"/>
          </w:tcPr>
          <w:p w14:paraId="57DC6C49">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lang w:val="en-US" w:eastAsia="zh-CN"/>
              </w:rPr>
              <w:t>不</w:t>
            </w:r>
            <w:r>
              <w:rPr>
                <w:rFonts w:hint="eastAsia" w:ascii="Calibri" w:hAnsi="Calibri" w:eastAsia="宋体" w:cs="Times New Roman"/>
                <w:sz w:val="24"/>
                <w:szCs w:val="24"/>
                <w:highlight w:val="none"/>
              </w:rPr>
              <w:t>含税单价</w:t>
            </w:r>
          </w:p>
        </w:tc>
        <w:tc>
          <w:tcPr>
            <w:tcW w:w="980" w:type="dxa"/>
            <w:noWrap w:val="0"/>
            <w:vAlign w:val="center"/>
          </w:tcPr>
          <w:p w14:paraId="3D43CA6B">
            <w:pPr>
              <w:spacing w:before="5"/>
              <w:jc w:val="center"/>
              <w:rPr>
                <w:rFonts w:ascii="Calibri" w:hAnsi="Calibri" w:eastAsia="宋体" w:cs="Times New Roman"/>
                <w:sz w:val="24"/>
                <w:szCs w:val="24"/>
                <w:highlight w:val="none"/>
              </w:rPr>
            </w:pPr>
            <w:r>
              <w:rPr>
                <w:rFonts w:ascii="Calibri" w:hAnsi="Calibri" w:eastAsia="宋体" w:cs="Times New Roman"/>
                <w:sz w:val="24"/>
                <w:szCs w:val="24"/>
                <w:highlight w:val="none"/>
              </w:rPr>
              <w:t>含税总价</w:t>
            </w:r>
          </w:p>
        </w:tc>
        <w:tc>
          <w:tcPr>
            <w:tcW w:w="1092" w:type="dxa"/>
            <w:noWrap w:val="0"/>
            <w:vAlign w:val="center"/>
          </w:tcPr>
          <w:p w14:paraId="1AE3A47E">
            <w:pPr>
              <w:spacing w:before="5"/>
              <w:jc w:val="center"/>
              <w:rPr>
                <w:rFonts w:ascii="Calibri" w:hAnsi="Calibri" w:eastAsia="宋体" w:cs="Times New Roman"/>
                <w:sz w:val="24"/>
                <w:szCs w:val="24"/>
                <w:highlight w:val="none"/>
              </w:rPr>
            </w:pPr>
            <w:r>
              <w:rPr>
                <w:rFonts w:ascii="Calibri" w:hAnsi="Calibri" w:eastAsia="宋体" w:cs="Times New Roman"/>
                <w:sz w:val="24"/>
                <w:szCs w:val="24"/>
                <w:highlight w:val="none"/>
              </w:rPr>
              <w:t>不含税总价</w:t>
            </w:r>
          </w:p>
        </w:tc>
        <w:tc>
          <w:tcPr>
            <w:tcW w:w="1134" w:type="dxa"/>
            <w:noWrap w:val="0"/>
            <w:vAlign w:val="center"/>
          </w:tcPr>
          <w:p w14:paraId="647F014E">
            <w:pPr>
              <w:spacing w:before="5"/>
              <w:jc w:val="center"/>
              <w:rPr>
                <w:rFonts w:ascii="Calibri" w:hAnsi="Calibri" w:eastAsia="宋体" w:cs="Times New Roman"/>
                <w:sz w:val="24"/>
                <w:szCs w:val="24"/>
                <w:highlight w:val="none"/>
              </w:rPr>
            </w:pPr>
            <w:r>
              <w:rPr>
                <w:rFonts w:ascii="Calibri" w:hAnsi="Calibri" w:eastAsia="宋体" w:cs="Times New Roman"/>
                <w:sz w:val="24"/>
                <w:szCs w:val="24"/>
                <w:highlight w:val="none"/>
              </w:rPr>
              <w:t>增值税税额</w:t>
            </w:r>
          </w:p>
        </w:tc>
        <w:tc>
          <w:tcPr>
            <w:tcW w:w="812" w:type="dxa"/>
            <w:noWrap w:val="0"/>
            <w:vAlign w:val="center"/>
          </w:tcPr>
          <w:p w14:paraId="159753BF">
            <w:pPr>
              <w:spacing w:before="5"/>
              <w:jc w:val="center"/>
              <w:rPr>
                <w:rFonts w:ascii="Calibri" w:hAnsi="Calibri" w:eastAsia="宋体" w:cs="Times New Roman"/>
                <w:sz w:val="24"/>
                <w:szCs w:val="24"/>
                <w:highlight w:val="none"/>
              </w:rPr>
            </w:pPr>
            <w:r>
              <w:rPr>
                <w:rFonts w:hint="eastAsia" w:ascii="Calibri" w:hAnsi="Calibri" w:cs="Times New Roman"/>
                <w:sz w:val="24"/>
                <w:szCs w:val="24"/>
                <w:highlight w:val="none"/>
                <w:lang w:val="en-US" w:eastAsia="zh-CN"/>
              </w:rPr>
              <w:t>备注</w:t>
            </w:r>
          </w:p>
        </w:tc>
      </w:tr>
      <w:tr w14:paraId="72E3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D638EB0">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1305" w:type="dxa"/>
            <w:noWrap w:val="0"/>
            <w:vAlign w:val="center"/>
          </w:tcPr>
          <w:p w14:paraId="22AD5FBD">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太湖水域内的排泥管</w:t>
            </w:r>
          </w:p>
        </w:tc>
        <w:tc>
          <w:tcPr>
            <w:tcW w:w="658" w:type="dxa"/>
            <w:noWrap w:val="0"/>
            <w:vAlign w:val="center"/>
          </w:tcPr>
          <w:p w14:paraId="2698C525">
            <w:pPr>
              <w:spacing w:before="5"/>
              <w:jc w:val="center"/>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176" w:type="dxa"/>
            <w:noWrap w:val="0"/>
            <w:vAlign w:val="center"/>
          </w:tcPr>
          <w:p w14:paraId="73B1E219">
            <w:pPr>
              <w:spacing w:before="5"/>
              <w:jc w:val="center"/>
              <w:rPr>
                <w:rFonts w:ascii="Calibri" w:hAnsi="Calibri" w:eastAsia="宋体" w:cs="Times New Roman"/>
                <w:sz w:val="24"/>
                <w:szCs w:val="24"/>
                <w:highlight w:val="none"/>
              </w:rPr>
            </w:pPr>
          </w:p>
        </w:tc>
        <w:tc>
          <w:tcPr>
            <w:tcW w:w="1092" w:type="dxa"/>
            <w:noWrap w:val="0"/>
            <w:vAlign w:val="center"/>
          </w:tcPr>
          <w:p w14:paraId="2B3C5659">
            <w:pPr>
              <w:jc w:val="center"/>
              <w:rPr>
                <w:rFonts w:ascii="Calibri" w:hAnsi="Calibri" w:eastAsia="宋体" w:cs="Times New Roman"/>
                <w:sz w:val="24"/>
                <w:szCs w:val="24"/>
                <w:highlight w:val="none"/>
              </w:rPr>
            </w:pPr>
          </w:p>
        </w:tc>
        <w:tc>
          <w:tcPr>
            <w:tcW w:w="980" w:type="dxa"/>
            <w:noWrap w:val="0"/>
            <w:vAlign w:val="center"/>
          </w:tcPr>
          <w:p w14:paraId="27A76B22">
            <w:pPr>
              <w:jc w:val="center"/>
              <w:rPr>
                <w:rFonts w:ascii="Calibri" w:hAnsi="Calibri" w:eastAsia="宋体" w:cs="Times New Roman"/>
                <w:sz w:val="24"/>
                <w:szCs w:val="24"/>
                <w:highlight w:val="none"/>
              </w:rPr>
            </w:pPr>
          </w:p>
        </w:tc>
        <w:tc>
          <w:tcPr>
            <w:tcW w:w="1092" w:type="dxa"/>
            <w:noWrap w:val="0"/>
            <w:vAlign w:val="center"/>
          </w:tcPr>
          <w:p w14:paraId="51649BA1">
            <w:pPr>
              <w:jc w:val="center"/>
              <w:rPr>
                <w:rFonts w:ascii="Calibri" w:hAnsi="Calibri" w:eastAsia="宋体" w:cs="Times New Roman"/>
                <w:sz w:val="24"/>
                <w:szCs w:val="24"/>
                <w:highlight w:val="none"/>
              </w:rPr>
            </w:pPr>
          </w:p>
        </w:tc>
        <w:tc>
          <w:tcPr>
            <w:tcW w:w="1134" w:type="dxa"/>
            <w:noWrap w:val="0"/>
            <w:vAlign w:val="center"/>
          </w:tcPr>
          <w:p w14:paraId="431C79E6">
            <w:pPr>
              <w:spacing w:before="5"/>
              <w:jc w:val="center"/>
              <w:rPr>
                <w:rFonts w:ascii="Calibri" w:hAnsi="Calibri" w:eastAsia="宋体" w:cs="Times New Roman"/>
                <w:sz w:val="24"/>
                <w:szCs w:val="24"/>
                <w:highlight w:val="none"/>
              </w:rPr>
            </w:pPr>
          </w:p>
        </w:tc>
        <w:tc>
          <w:tcPr>
            <w:tcW w:w="812" w:type="dxa"/>
            <w:noWrap w:val="0"/>
            <w:vAlign w:val="center"/>
          </w:tcPr>
          <w:p w14:paraId="3E7F1DF2">
            <w:pPr>
              <w:spacing w:before="5"/>
              <w:jc w:val="center"/>
              <w:rPr>
                <w:rFonts w:hint="default" w:ascii="Calibri" w:hAnsi="Calibri" w:eastAsia="宋体" w:cs="Times New Roman"/>
                <w:sz w:val="24"/>
                <w:szCs w:val="24"/>
                <w:highlight w:val="none"/>
                <w:lang w:val="en-US" w:eastAsia="zh-CN"/>
              </w:rPr>
            </w:pPr>
          </w:p>
        </w:tc>
      </w:tr>
      <w:tr w14:paraId="196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A704CCC">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1305" w:type="dxa"/>
            <w:noWrap w:val="0"/>
            <w:vAlign w:val="center"/>
          </w:tcPr>
          <w:p w14:paraId="45CF3455">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施荡河水域内的排泥管</w:t>
            </w:r>
          </w:p>
        </w:tc>
        <w:tc>
          <w:tcPr>
            <w:tcW w:w="658" w:type="dxa"/>
            <w:noWrap w:val="0"/>
            <w:vAlign w:val="center"/>
          </w:tcPr>
          <w:p w14:paraId="070EE973">
            <w:pPr>
              <w:spacing w:before="5"/>
              <w:jc w:val="center"/>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176" w:type="dxa"/>
            <w:noWrap w:val="0"/>
            <w:vAlign w:val="center"/>
          </w:tcPr>
          <w:p w14:paraId="6B15EF78">
            <w:pPr>
              <w:spacing w:before="5"/>
              <w:jc w:val="center"/>
              <w:rPr>
                <w:rFonts w:ascii="Calibri" w:hAnsi="Calibri" w:eastAsia="宋体" w:cs="Times New Roman"/>
                <w:sz w:val="24"/>
                <w:szCs w:val="24"/>
                <w:highlight w:val="none"/>
              </w:rPr>
            </w:pPr>
          </w:p>
        </w:tc>
        <w:tc>
          <w:tcPr>
            <w:tcW w:w="1092" w:type="dxa"/>
            <w:noWrap w:val="0"/>
            <w:vAlign w:val="center"/>
          </w:tcPr>
          <w:p w14:paraId="5FFD797C">
            <w:pPr>
              <w:spacing w:before="5"/>
              <w:jc w:val="center"/>
              <w:rPr>
                <w:rFonts w:ascii="Calibri" w:hAnsi="Calibri" w:eastAsia="宋体" w:cs="Times New Roman"/>
                <w:sz w:val="24"/>
                <w:szCs w:val="24"/>
                <w:highlight w:val="none"/>
              </w:rPr>
            </w:pPr>
          </w:p>
        </w:tc>
        <w:tc>
          <w:tcPr>
            <w:tcW w:w="980" w:type="dxa"/>
            <w:noWrap w:val="0"/>
            <w:vAlign w:val="center"/>
          </w:tcPr>
          <w:p w14:paraId="0D41BBD8">
            <w:pPr>
              <w:spacing w:before="5"/>
              <w:jc w:val="center"/>
              <w:rPr>
                <w:rFonts w:ascii="Calibri" w:hAnsi="Calibri" w:eastAsia="宋体" w:cs="Times New Roman"/>
                <w:sz w:val="24"/>
                <w:szCs w:val="24"/>
                <w:highlight w:val="none"/>
              </w:rPr>
            </w:pPr>
          </w:p>
        </w:tc>
        <w:tc>
          <w:tcPr>
            <w:tcW w:w="1092" w:type="dxa"/>
            <w:noWrap w:val="0"/>
            <w:vAlign w:val="center"/>
          </w:tcPr>
          <w:p w14:paraId="4A02194A">
            <w:pPr>
              <w:spacing w:before="5"/>
              <w:jc w:val="center"/>
              <w:rPr>
                <w:rFonts w:ascii="Calibri" w:hAnsi="Calibri" w:eastAsia="宋体" w:cs="Times New Roman"/>
                <w:sz w:val="24"/>
                <w:szCs w:val="24"/>
                <w:highlight w:val="none"/>
              </w:rPr>
            </w:pPr>
          </w:p>
        </w:tc>
        <w:tc>
          <w:tcPr>
            <w:tcW w:w="1134" w:type="dxa"/>
            <w:noWrap w:val="0"/>
            <w:vAlign w:val="center"/>
          </w:tcPr>
          <w:p w14:paraId="2B5B7E2F">
            <w:pPr>
              <w:spacing w:before="5"/>
              <w:jc w:val="center"/>
              <w:rPr>
                <w:rFonts w:ascii="Calibri" w:hAnsi="Calibri" w:eastAsia="宋体" w:cs="Times New Roman"/>
                <w:sz w:val="24"/>
                <w:szCs w:val="24"/>
                <w:highlight w:val="none"/>
              </w:rPr>
            </w:pPr>
          </w:p>
        </w:tc>
        <w:tc>
          <w:tcPr>
            <w:tcW w:w="812" w:type="dxa"/>
            <w:noWrap w:val="0"/>
            <w:vAlign w:val="center"/>
          </w:tcPr>
          <w:p w14:paraId="0DEB0B53">
            <w:pPr>
              <w:spacing w:before="5"/>
              <w:jc w:val="center"/>
              <w:rPr>
                <w:rFonts w:ascii="Calibri" w:hAnsi="Calibri" w:eastAsia="宋体" w:cs="Times New Roman"/>
                <w:sz w:val="24"/>
                <w:szCs w:val="24"/>
                <w:highlight w:val="none"/>
              </w:rPr>
            </w:pPr>
          </w:p>
        </w:tc>
      </w:tr>
      <w:tr w14:paraId="5C9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063F9C2">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1305" w:type="dxa"/>
            <w:noWrap w:val="0"/>
            <w:vAlign w:val="center"/>
          </w:tcPr>
          <w:p w14:paraId="2BF88DC8">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cs="宋体"/>
                <w:i w:val="0"/>
                <w:iCs w:val="0"/>
                <w:color w:val="000000"/>
                <w:kern w:val="0"/>
                <w:sz w:val="24"/>
                <w:szCs w:val="24"/>
                <w:highlight w:val="none"/>
                <w:u w:val="none"/>
                <w:lang w:val="en-US" w:eastAsia="zh-CN" w:bidi="ar"/>
              </w:rPr>
              <w:t>穿越湖洋渚河</w:t>
            </w:r>
            <w:r>
              <w:rPr>
                <w:rFonts w:hint="eastAsia" w:ascii="宋体" w:hAnsi="宋体" w:eastAsia="宋体" w:cs="宋体"/>
                <w:i w:val="0"/>
                <w:iCs w:val="0"/>
                <w:color w:val="000000"/>
                <w:kern w:val="0"/>
                <w:sz w:val="24"/>
                <w:szCs w:val="24"/>
                <w:highlight w:val="none"/>
                <w:u w:val="none"/>
                <w:lang w:val="en-US" w:eastAsia="zh-CN" w:bidi="ar"/>
              </w:rPr>
              <w:t>排泥管</w:t>
            </w:r>
          </w:p>
        </w:tc>
        <w:tc>
          <w:tcPr>
            <w:tcW w:w="658" w:type="dxa"/>
            <w:noWrap w:val="0"/>
            <w:vAlign w:val="center"/>
          </w:tcPr>
          <w:p w14:paraId="40AE6B26">
            <w:pPr>
              <w:spacing w:before="5"/>
              <w:jc w:val="center"/>
              <w:rPr>
                <w:rFonts w:hint="default"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176" w:type="dxa"/>
            <w:noWrap w:val="0"/>
            <w:vAlign w:val="center"/>
          </w:tcPr>
          <w:p w14:paraId="5D8CDA19">
            <w:pPr>
              <w:spacing w:before="5"/>
              <w:jc w:val="center"/>
              <w:rPr>
                <w:rFonts w:ascii="Calibri" w:hAnsi="Calibri" w:eastAsia="宋体" w:cs="Times New Roman"/>
                <w:sz w:val="24"/>
                <w:szCs w:val="24"/>
                <w:highlight w:val="none"/>
              </w:rPr>
            </w:pPr>
          </w:p>
        </w:tc>
        <w:tc>
          <w:tcPr>
            <w:tcW w:w="1092" w:type="dxa"/>
            <w:noWrap w:val="0"/>
            <w:vAlign w:val="center"/>
          </w:tcPr>
          <w:p w14:paraId="7344B8E9">
            <w:pPr>
              <w:spacing w:before="5"/>
              <w:jc w:val="center"/>
              <w:rPr>
                <w:rFonts w:ascii="Calibri" w:hAnsi="Calibri" w:eastAsia="宋体" w:cs="Times New Roman"/>
                <w:sz w:val="24"/>
                <w:szCs w:val="24"/>
                <w:highlight w:val="none"/>
              </w:rPr>
            </w:pPr>
          </w:p>
        </w:tc>
        <w:tc>
          <w:tcPr>
            <w:tcW w:w="980" w:type="dxa"/>
            <w:noWrap w:val="0"/>
            <w:vAlign w:val="center"/>
          </w:tcPr>
          <w:p w14:paraId="1368BD7C">
            <w:pPr>
              <w:spacing w:before="5"/>
              <w:jc w:val="center"/>
              <w:rPr>
                <w:rFonts w:ascii="Calibri" w:hAnsi="Calibri" w:eastAsia="宋体" w:cs="Times New Roman"/>
                <w:sz w:val="24"/>
                <w:szCs w:val="24"/>
                <w:highlight w:val="none"/>
              </w:rPr>
            </w:pPr>
          </w:p>
        </w:tc>
        <w:tc>
          <w:tcPr>
            <w:tcW w:w="1092" w:type="dxa"/>
            <w:noWrap w:val="0"/>
            <w:vAlign w:val="center"/>
          </w:tcPr>
          <w:p w14:paraId="14030570">
            <w:pPr>
              <w:spacing w:before="5"/>
              <w:jc w:val="center"/>
              <w:rPr>
                <w:rFonts w:ascii="Calibri" w:hAnsi="Calibri" w:eastAsia="宋体" w:cs="Times New Roman"/>
                <w:sz w:val="24"/>
                <w:szCs w:val="24"/>
                <w:highlight w:val="none"/>
              </w:rPr>
            </w:pPr>
          </w:p>
        </w:tc>
        <w:tc>
          <w:tcPr>
            <w:tcW w:w="1134" w:type="dxa"/>
            <w:noWrap w:val="0"/>
            <w:vAlign w:val="center"/>
          </w:tcPr>
          <w:p w14:paraId="5D9AF4FB">
            <w:pPr>
              <w:spacing w:before="5"/>
              <w:jc w:val="center"/>
              <w:rPr>
                <w:rFonts w:ascii="Calibri" w:hAnsi="Calibri" w:eastAsia="宋体" w:cs="Times New Roman"/>
                <w:sz w:val="24"/>
                <w:szCs w:val="24"/>
                <w:highlight w:val="none"/>
              </w:rPr>
            </w:pPr>
          </w:p>
        </w:tc>
        <w:tc>
          <w:tcPr>
            <w:tcW w:w="812" w:type="dxa"/>
            <w:noWrap w:val="0"/>
            <w:vAlign w:val="center"/>
          </w:tcPr>
          <w:p w14:paraId="744FE58C">
            <w:pPr>
              <w:spacing w:before="5"/>
              <w:jc w:val="center"/>
              <w:rPr>
                <w:rFonts w:ascii="Calibri" w:hAnsi="Calibri" w:eastAsia="宋体" w:cs="Times New Roman"/>
                <w:sz w:val="24"/>
                <w:szCs w:val="24"/>
                <w:highlight w:val="none"/>
              </w:rPr>
            </w:pPr>
          </w:p>
        </w:tc>
      </w:tr>
      <w:tr w14:paraId="491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1E17D74">
            <w:pPr>
              <w:keepNext w:val="0"/>
              <w:keepLines w:val="0"/>
              <w:widowControl/>
              <w:suppressLineNumbers w:val="0"/>
              <w:jc w:val="center"/>
              <w:textAlignment w:val="center"/>
              <w:rPr>
                <w:rStyle w:val="19"/>
                <w:rFonts w:hint="eastAsia" w:ascii="宋体" w:hAnsi="宋体" w:eastAsia="宋体" w:cs="宋体"/>
                <w:i w:val="0"/>
                <w:iCs w:val="0"/>
                <w:sz w:val="24"/>
                <w:szCs w:val="24"/>
                <w:highlight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1305" w:type="dxa"/>
            <w:noWrap w:val="0"/>
            <w:vAlign w:val="center"/>
          </w:tcPr>
          <w:p w14:paraId="3B9A6ECB">
            <w:pPr>
              <w:keepNext w:val="0"/>
              <w:keepLines w:val="0"/>
              <w:widowControl/>
              <w:suppressLineNumbers w:val="0"/>
              <w:jc w:val="center"/>
              <w:textAlignment w:val="center"/>
              <w:rPr>
                <w:rStyle w:val="19"/>
                <w:rFonts w:ascii="宋体" w:hAnsi="宋体" w:eastAsia="宋体" w:cs="宋体"/>
                <w:i w:val="0"/>
                <w:iCs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水上转运平台1</w:t>
            </w:r>
          </w:p>
        </w:tc>
        <w:tc>
          <w:tcPr>
            <w:tcW w:w="658" w:type="dxa"/>
            <w:noWrap w:val="0"/>
            <w:vAlign w:val="center"/>
          </w:tcPr>
          <w:p w14:paraId="4B62D08B">
            <w:pPr>
              <w:spacing w:before="5"/>
              <w:jc w:val="center"/>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176" w:type="dxa"/>
            <w:noWrap w:val="0"/>
            <w:vAlign w:val="center"/>
          </w:tcPr>
          <w:p w14:paraId="562363A3">
            <w:pPr>
              <w:spacing w:before="5"/>
              <w:jc w:val="center"/>
              <w:rPr>
                <w:rFonts w:ascii="Calibri" w:hAnsi="Calibri" w:eastAsia="宋体" w:cs="Times New Roman"/>
                <w:sz w:val="24"/>
                <w:szCs w:val="24"/>
                <w:highlight w:val="none"/>
              </w:rPr>
            </w:pPr>
          </w:p>
        </w:tc>
        <w:tc>
          <w:tcPr>
            <w:tcW w:w="1092" w:type="dxa"/>
            <w:noWrap w:val="0"/>
            <w:vAlign w:val="center"/>
          </w:tcPr>
          <w:p w14:paraId="0D7B479F">
            <w:pPr>
              <w:spacing w:before="5"/>
              <w:jc w:val="center"/>
              <w:rPr>
                <w:rFonts w:ascii="Calibri" w:hAnsi="Calibri" w:eastAsia="宋体" w:cs="Times New Roman"/>
                <w:sz w:val="24"/>
                <w:szCs w:val="24"/>
                <w:highlight w:val="none"/>
              </w:rPr>
            </w:pPr>
          </w:p>
        </w:tc>
        <w:tc>
          <w:tcPr>
            <w:tcW w:w="980" w:type="dxa"/>
            <w:noWrap w:val="0"/>
            <w:vAlign w:val="center"/>
          </w:tcPr>
          <w:p w14:paraId="21B82448">
            <w:pPr>
              <w:spacing w:before="5"/>
              <w:jc w:val="center"/>
              <w:rPr>
                <w:rFonts w:ascii="Calibri" w:hAnsi="Calibri" w:eastAsia="宋体" w:cs="Times New Roman"/>
                <w:sz w:val="24"/>
                <w:szCs w:val="24"/>
                <w:highlight w:val="none"/>
              </w:rPr>
            </w:pPr>
          </w:p>
        </w:tc>
        <w:tc>
          <w:tcPr>
            <w:tcW w:w="1092" w:type="dxa"/>
            <w:noWrap w:val="0"/>
            <w:vAlign w:val="center"/>
          </w:tcPr>
          <w:p w14:paraId="0D16B0BB">
            <w:pPr>
              <w:spacing w:before="5"/>
              <w:jc w:val="center"/>
              <w:rPr>
                <w:rFonts w:ascii="Calibri" w:hAnsi="Calibri" w:eastAsia="宋体" w:cs="Times New Roman"/>
                <w:sz w:val="24"/>
                <w:szCs w:val="24"/>
                <w:highlight w:val="none"/>
              </w:rPr>
            </w:pPr>
          </w:p>
        </w:tc>
        <w:tc>
          <w:tcPr>
            <w:tcW w:w="1134" w:type="dxa"/>
            <w:noWrap w:val="0"/>
            <w:vAlign w:val="center"/>
          </w:tcPr>
          <w:p w14:paraId="41936274">
            <w:pPr>
              <w:spacing w:before="5"/>
              <w:jc w:val="center"/>
              <w:rPr>
                <w:rFonts w:ascii="Calibri" w:hAnsi="Calibri" w:eastAsia="宋体" w:cs="Times New Roman"/>
                <w:sz w:val="24"/>
                <w:szCs w:val="24"/>
                <w:highlight w:val="none"/>
              </w:rPr>
            </w:pPr>
          </w:p>
        </w:tc>
        <w:tc>
          <w:tcPr>
            <w:tcW w:w="812" w:type="dxa"/>
            <w:noWrap w:val="0"/>
            <w:vAlign w:val="center"/>
          </w:tcPr>
          <w:p w14:paraId="465E60F2">
            <w:pPr>
              <w:spacing w:before="5"/>
              <w:jc w:val="center"/>
              <w:rPr>
                <w:rFonts w:ascii="Calibri" w:hAnsi="Calibri" w:eastAsia="宋体" w:cs="Times New Roman"/>
                <w:sz w:val="24"/>
                <w:szCs w:val="24"/>
                <w:highlight w:val="none"/>
              </w:rPr>
            </w:pPr>
          </w:p>
        </w:tc>
      </w:tr>
      <w:tr w14:paraId="56D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3E597A7">
            <w:pPr>
              <w:keepNext w:val="0"/>
              <w:keepLines w:val="0"/>
              <w:widowControl/>
              <w:suppressLineNumbers w:val="0"/>
              <w:jc w:val="center"/>
              <w:textAlignment w:val="center"/>
              <w:rPr>
                <w:rFonts w:hint="eastAsia" w:ascii="Calibri" w:hAnsi="Calibri" w:eastAsia="宋体" w:cs="Times New Roman"/>
                <w:sz w:val="24"/>
                <w:szCs w:val="24"/>
                <w:highlight w:val="none"/>
                <w:lang w:val="en-US" w:eastAsia="zh-CN"/>
              </w:rPr>
            </w:pP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1305" w:type="dxa"/>
            <w:noWrap w:val="0"/>
            <w:vAlign w:val="center"/>
          </w:tcPr>
          <w:p w14:paraId="7E2FAA84">
            <w:pPr>
              <w:keepNext w:val="0"/>
              <w:keepLines w:val="0"/>
              <w:widowControl/>
              <w:suppressLineNumbers w:val="0"/>
              <w:jc w:val="center"/>
              <w:textAlignment w:val="center"/>
              <w:rPr>
                <w:rFonts w:ascii="Calibri" w:hAnsi="Calibri" w:eastAsia="宋体" w:cs="Times New Roman"/>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水上转运平台2</w:t>
            </w:r>
          </w:p>
        </w:tc>
        <w:tc>
          <w:tcPr>
            <w:tcW w:w="658" w:type="dxa"/>
            <w:noWrap w:val="0"/>
            <w:vAlign w:val="center"/>
          </w:tcPr>
          <w:p w14:paraId="0DBC5FB3">
            <w:pPr>
              <w:spacing w:before="5"/>
              <w:jc w:val="center"/>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176" w:type="dxa"/>
            <w:noWrap w:val="0"/>
            <w:vAlign w:val="center"/>
          </w:tcPr>
          <w:p w14:paraId="15C148FC">
            <w:pPr>
              <w:spacing w:before="5"/>
              <w:jc w:val="center"/>
              <w:rPr>
                <w:rFonts w:ascii="Calibri" w:hAnsi="Calibri" w:eastAsia="宋体" w:cs="Times New Roman"/>
                <w:sz w:val="24"/>
                <w:szCs w:val="24"/>
                <w:highlight w:val="none"/>
              </w:rPr>
            </w:pPr>
          </w:p>
        </w:tc>
        <w:tc>
          <w:tcPr>
            <w:tcW w:w="1092" w:type="dxa"/>
            <w:noWrap w:val="0"/>
            <w:vAlign w:val="center"/>
          </w:tcPr>
          <w:p w14:paraId="47914E8B">
            <w:pPr>
              <w:spacing w:before="5"/>
              <w:jc w:val="center"/>
              <w:rPr>
                <w:rFonts w:ascii="Calibri" w:hAnsi="Calibri" w:eastAsia="宋体" w:cs="Times New Roman"/>
                <w:sz w:val="24"/>
                <w:szCs w:val="24"/>
                <w:highlight w:val="none"/>
              </w:rPr>
            </w:pPr>
          </w:p>
        </w:tc>
        <w:tc>
          <w:tcPr>
            <w:tcW w:w="980" w:type="dxa"/>
            <w:noWrap w:val="0"/>
            <w:vAlign w:val="center"/>
          </w:tcPr>
          <w:p w14:paraId="33D04729">
            <w:pPr>
              <w:spacing w:before="5"/>
              <w:jc w:val="center"/>
              <w:rPr>
                <w:rFonts w:ascii="Calibri" w:hAnsi="Calibri" w:eastAsia="宋体" w:cs="Times New Roman"/>
                <w:sz w:val="24"/>
                <w:szCs w:val="24"/>
                <w:highlight w:val="none"/>
              </w:rPr>
            </w:pPr>
          </w:p>
        </w:tc>
        <w:tc>
          <w:tcPr>
            <w:tcW w:w="1092" w:type="dxa"/>
            <w:noWrap w:val="0"/>
            <w:vAlign w:val="center"/>
          </w:tcPr>
          <w:p w14:paraId="210AFB85">
            <w:pPr>
              <w:spacing w:before="5"/>
              <w:jc w:val="center"/>
              <w:rPr>
                <w:rFonts w:ascii="Calibri" w:hAnsi="Calibri" w:eastAsia="宋体" w:cs="Times New Roman"/>
                <w:sz w:val="24"/>
                <w:szCs w:val="24"/>
                <w:highlight w:val="none"/>
              </w:rPr>
            </w:pPr>
          </w:p>
        </w:tc>
        <w:tc>
          <w:tcPr>
            <w:tcW w:w="1134" w:type="dxa"/>
            <w:noWrap w:val="0"/>
            <w:vAlign w:val="center"/>
          </w:tcPr>
          <w:p w14:paraId="0C473D4B">
            <w:pPr>
              <w:spacing w:before="5"/>
              <w:jc w:val="center"/>
              <w:rPr>
                <w:rFonts w:ascii="Calibri" w:hAnsi="Calibri" w:eastAsia="宋体" w:cs="Times New Roman"/>
                <w:sz w:val="24"/>
                <w:szCs w:val="24"/>
                <w:highlight w:val="none"/>
              </w:rPr>
            </w:pPr>
          </w:p>
        </w:tc>
        <w:tc>
          <w:tcPr>
            <w:tcW w:w="812" w:type="dxa"/>
            <w:noWrap w:val="0"/>
            <w:vAlign w:val="center"/>
          </w:tcPr>
          <w:p w14:paraId="7CF393F6">
            <w:pPr>
              <w:spacing w:before="5"/>
              <w:jc w:val="center"/>
              <w:rPr>
                <w:rFonts w:ascii="Calibri" w:hAnsi="Calibri" w:eastAsia="宋体" w:cs="Times New Roman"/>
                <w:sz w:val="24"/>
                <w:szCs w:val="24"/>
                <w:highlight w:val="none"/>
              </w:rPr>
            </w:pPr>
          </w:p>
        </w:tc>
      </w:tr>
      <w:tr w14:paraId="3C9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13" w:type="dxa"/>
            <w:gridSpan w:val="2"/>
            <w:noWrap w:val="0"/>
            <w:vAlign w:val="center"/>
          </w:tcPr>
          <w:p w14:paraId="3B780E6F">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合计（小写）</w:t>
            </w:r>
          </w:p>
        </w:tc>
        <w:tc>
          <w:tcPr>
            <w:tcW w:w="6944" w:type="dxa"/>
            <w:gridSpan w:val="7"/>
            <w:noWrap w:val="0"/>
            <w:vAlign w:val="center"/>
          </w:tcPr>
          <w:p w14:paraId="727D2D59">
            <w:pPr>
              <w:spacing w:before="5"/>
              <w:jc w:val="center"/>
              <w:rPr>
                <w:rFonts w:ascii="Calibri" w:hAnsi="Calibri" w:eastAsia="宋体" w:cs="Times New Roman"/>
                <w:sz w:val="24"/>
                <w:szCs w:val="24"/>
                <w:highlight w:val="none"/>
              </w:rPr>
            </w:pPr>
          </w:p>
        </w:tc>
      </w:tr>
    </w:tbl>
    <w:p w14:paraId="2B5D60DE">
      <w:pPr>
        <w:spacing w:line="360" w:lineRule="auto"/>
        <w:rPr>
          <w:rFonts w:ascii="宋体" w:hAnsi="宋体"/>
          <w:b/>
          <w:szCs w:val="21"/>
          <w:highlight w:val="none"/>
        </w:rPr>
      </w:pPr>
      <w:r>
        <w:rPr>
          <w:rFonts w:hint="eastAsia" w:ascii="宋体" w:hAnsi="宋体"/>
          <w:bCs/>
          <w:sz w:val="24"/>
          <w:highlight w:val="none"/>
          <w:lang w:val="zh-CN"/>
        </w:rPr>
        <w:t>投标人签名：</w:t>
      </w:r>
      <w:r>
        <w:rPr>
          <w:rFonts w:hint="eastAsia" w:ascii="宋体" w:hAnsi="宋体"/>
          <w:bCs/>
          <w:sz w:val="24"/>
          <w:highlight w:val="none"/>
          <w:lang w:val="en-US" w:eastAsia="zh-CN"/>
        </w:rPr>
        <w:t xml:space="preserve">                                              </w:t>
      </w:r>
      <w:r>
        <w:rPr>
          <w:rFonts w:hint="eastAsia" w:ascii="宋体" w:hAnsi="宋体"/>
          <w:sz w:val="24"/>
          <w:szCs w:val="24"/>
          <w:highlight w:val="none"/>
        </w:rPr>
        <w:t>日期：</w:t>
      </w:r>
    </w:p>
    <w:p w14:paraId="7F2AEB8B">
      <w:pPr>
        <w:spacing w:line="360" w:lineRule="auto"/>
        <w:rPr>
          <w:rFonts w:hint="eastAsia" w:ascii="宋体" w:hAnsi="宋体"/>
          <w:b/>
          <w:szCs w:val="21"/>
          <w:highlight w:val="none"/>
        </w:rPr>
      </w:pPr>
      <w:bookmarkStart w:id="93" w:name="OLE_LINK149"/>
      <w:bookmarkStart w:id="94" w:name="OLE_LINK234"/>
    </w:p>
    <w:p w14:paraId="3C873E43">
      <w:pPr>
        <w:spacing w:line="360" w:lineRule="auto"/>
        <w:rPr>
          <w:rFonts w:ascii="宋体" w:hAnsi="宋体"/>
          <w:bCs/>
          <w:szCs w:val="21"/>
          <w:highlight w:val="none"/>
        </w:rPr>
      </w:pPr>
      <w:r>
        <w:rPr>
          <w:rFonts w:hint="eastAsia" w:ascii="宋体" w:hAnsi="宋体"/>
          <w:b/>
          <w:szCs w:val="21"/>
          <w:highlight w:val="none"/>
        </w:rPr>
        <w:t>注：</w:t>
      </w:r>
      <w:bookmarkEnd w:id="92"/>
      <w:bookmarkStart w:id="95" w:name="_Toc13985"/>
      <w:r>
        <w:rPr>
          <w:rFonts w:hint="eastAsia" w:ascii="宋体" w:hAnsi="宋体"/>
          <w:bCs/>
          <w:szCs w:val="21"/>
          <w:highlight w:val="none"/>
        </w:rPr>
        <w:t xml:space="preserve"> （1）投标人应当根据“第四章 项目技术要求和有关说明”的内容在上表中详细填写，须包括本次招标的所有细项；</w:t>
      </w:r>
      <w:bookmarkEnd w:id="95"/>
      <w:r>
        <w:rPr>
          <w:rFonts w:hint="eastAsia" w:ascii="宋体" w:hAnsi="宋体"/>
          <w:bCs/>
          <w:szCs w:val="21"/>
          <w:highlight w:val="none"/>
        </w:rPr>
        <w:t>“投标明细报价表”合计需与“开标一览表”合计一致。</w:t>
      </w:r>
    </w:p>
    <w:p w14:paraId="214241A3">
      <w:pPr>
        <w:ind w:left="420"/>
        <w:jc w:val="left"/>
        <w:rPr>
          <w:rFonts w:ascii="宋体" w:hAnsi="宋体"/>
          <w:bCs/>
          <w:szCs w:val="21"/>
          <w:highlight w:val="none"/>
        </w:rPr>
      </w:pPr>
      <w:r>
        <w:rPr>
          <w:rFonts w:hint="eastAsia" w:ascii="宋体" w:hAnsi="宋体"/>
          <w:bCs/>
          <w:szCs w:val="21"/>
          <w:highlight w:val="none"/>
        </w:rPr>
        <w:t>（2）表格不够可自行延长。</w:t>
      </w:r>
      <w:bookmarkEnd w:id="93"/>
      <w:bookmarkEnd w:id="94"/>
    </w:p>
    <w:p w14:paraId="2CD98291">
      <w:pPr>
        <w:spacing w:line="360" w:lineRule="auto"/>
        <w:jc w:val="left"/>
        <w:rPr>
          <w:rFonts w:hint="eastAsia" w:ascii="黑体" w:hAnsi="宋体" w:eastAsia="黑体"/>
          <w:bCs/>
          <w:color w:val="auto"/>
          <w:sz w:val="28"/>
          <w:szCs w:val="28"/>
          <w:highlight w:val="none"/>
        </w:rPr>
      </w:pPr>
    </w:p>
    <w:p w14:paraId="7867A2C9">
      <w:pPr>
        <w:pStyle w:val="4"/>
        <w:rPr>
          <w:rFonts w:hint="eastAsia" w:ascii="黑体" w:hAnsi="宋体" w:eastAsia="黑体"/>
          <w:bCs/>
          <w:color w:val="auto"/>
          <w:sz w:val="28"/>
          <w:szCs w:val="28"/>
          <w:highlight w:val="none"/>
        </w:rPr>
      </w:pPr>
    </w:p>
    <w:p w14:paraId="0D2B82FE">
      <w:pPr>
        <w:rPr>
          <w:rFonts w:hint="eastAsia" w:ascii="黑体" w:hAnsi="宋体" w:eastAsia="黑体"/>
          <w:bCs/>
          <w:color w:val="auto"/>
          <w:sz w:val="28"/>
          <w:szCs w:val="28"/>
          <w:highlight w:val="none"/>
        </w:rPr>
      </w:pPr>
    </w:p>
    <w:p w14:paraId="5E589DC8">
      <w:pPr>
        <w:pStyle w:val="4"/>
        <w:rPr>
          <w:rFonts w:hint="eastAsia" w:ascii="黑体" w:hAnsi="宋体" w:eastAsia="黑体"/>
          <w:bCs/>
          <w:color w:val="auto"/>
          <w:sz w:val="28"/>
          <w:szCs w:val="28"/>
          <w:highlight w:val="none"/>
        </w:rPr>
      </w:pPr>
    </w:p>
    <w:p w14:paraId="2424EAE5">
      <w:pPr>
        <w:rPr>
          <w:rFonts w:hint="eastAsia" w:ascii="黑体" w:hAnsi="宋体" w:eastAsia="黑体"/>
          <w:bCs/>
          <w:color w:val="auto"/>
          <w:sz w:val="28"/>
          <w:szCs w:val="28"/>
          <w:highlight w:val="none"/>
        </w:rPr>
      </w:pPr>
    </w:p>
    <w:p w14:paraId="2F47BBD7">
      <w:pPr>
        <w:pStyle w:val="4"/>
        <w:rPr>
          <w:rFonts w:hint="eastAsia" w:ascii="黑体" w:hAnsi="宋体" w:eastAsia="黑体"/>
          <w:bCs/>
          <w:color w:val="auto"/>
          <w:sz w:val="28"/>
          <w:szCs w:val="28"/>
          <w:highlight w:val="none"/>
        </w:rPr>
      </w:pPr>
    </w:p>
    <w:p w14:paraId="2B7D9250">
      <w:pPr>
        <w:rPr>
          <w:rFonts w:hint="eastAsia"/>
          <w:highlight w:val="none"/>
        </w:rPr>
      </w:pPr>
    </w:p>
    <w:p w14:paraId="4CC472FB">
      <w:pPr>
        <w:spacing w:line="360" w:lineRule="auto"/>
        <w:jc w:val="left"/>
        <w:rPr>
          <w:rFonts w:hint="eastAsia"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91"/>
    </w:p>
    <w:p w14:paraId="2B010827">
      <w:pPr>
        <w:ind w:firstLine="480" w:firstLineChars="200"/>
        <w:rPr>
          <w:rFonts w:ascii="黑体" w:eastAsia="黑体"/>
          <w:bCs/>
          <w:color w:val="auto"/>
          <w:sz w:val="36"/>
          <w:highlight w:val="none"/>
        </w:rPr>
      </w:pPr>
      <w:bookmarkStart w:id="96"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宜兴市公用投资管理有限公司太湖内源污染治理（太湖西岸宜兴近岸区域）一期工程涉航技术评价采购服务项目</w:t>
      </w:r>
      <w:r>
        <w:rPr>
          <w:rFonts w:hint="eastAsia" w:ascii="宋体"/>
          <w:bCs/>
          <w:color w:val="auto"/>
          <w:sz w:val="24"/>
          <w:szCs w:val="24"/>
          <w:highlight w:val="none"/>
        </w:rPr>
        <w:t>（</w:t>
      </w:r>
      <w:r>
        <w:rPr>
          <w:rFonts w:hint="eastAsia" w:ascii="宋体"/>
          <w:bCs/>
          <w:color w:val="auto"/>
          <w:sz w:val="24"/>
          <w:szCs w:val="24"/>
          <w:highlight w:val="none"/>
          <w:lang w:eastAsia="zh-CN"/>
        </w:rPr>
        <w:t>YXGYJT202506020</w:t>
      </w:r>
      <w:r>
        <w:rPr>
          <w:rFonts w:hint="eastAsia" w:ascii="宋体"/>
          <w:bCs/>
          <w:color w:val="auto"/>
          <w:sz w:val="24"/>
          <w:szCs w:val="24"/>
          <w:highlight w:val="none"/>
        </w:rPr>
        <w:t>）采购活动前三年内在经营活动中没有重大违法记录；同时，投标时不存在</w:t>
      </w:r>
      <w:bookmarkStart w:id="97" w:name="OLE_LINK242"/>
      <w:r>
        <w:rPr>
          <w:rFonts w:hint="eastAsia" w:ascii="宋体"/>
          <w:bCs/>
          <w:color w:val="auto"/>
          <w:sz w:val="24"/>
          <w:szCs w:val="24"/>
          <w:highlight w:val="none"/>
        </w:rPr>
        <w:t>有效期限</w:t>
      </w:r>
      <w:bookmarkEnd w:id="97"/>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YXGYJT202506020</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p>
    <w:p w14:paraId="32A7F2F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TsDTvwsCAAA3BAAADgAAAGRycy9lMm9Eb2MueG1srVNN&#10;rtMwEN4jcQfLe5q0vP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OwNO/CwIAADcEAAAOAAAAAAAAAAEA&#10;IAAAACcBAABkcnMvZTJvRG9jLnhtbFBLBQYAAAAABgAGAFkBAACkBQ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3F445B8">
      <w:pPr>
        <w:spacing w:line="360" w:lineRule="auto"/>
        <w:rPr>
          <w:rFonts w:hint="eastAsia" w:ascii="黑体" w:eastAsia="黑体"/>
          <w:bCs/>
          <w:color w:val="auto"/>
          <w:sz w:val="28"/>
          <w:szCs w:val="28"/>
          <w:highlight w:val="none"/>
        </w:rPr>
      </w:pPr>
    </w:p>
    <w:p w14:paraId="65EBB7ED">
      <w:pPr>
        <w:spacing w:line="360" w:lineRule="auto"/>
        <w:jc w:val="center"/>
        <w:rPr>
          <w:rFonts w:hint="eastAsia" w:ascii="黑体" w:eastAsia="黑体"/>
          <w:bCs/>
          <w:color w:val="auto"/>
          <w:sz w:val="28"/>
          <w:szCs w:val="28"/>
          <w:highlight w:val="none"/>
        </w:rPr>
      </w:pPr>
    </w:p>
    <w:p w14:paraId="7A3B30D7">
      <w:pPr>
        <w:spacing w:line="360" w:lineRule="auto"/>
        <w:jc w:val="center"/>
        <w:rPr>
          <w:rFonts w:hint="eastAsia" w:ascii="黑体" w:eastAsia="黑体"/>
          <w:bCs/>
          <w:color w:val="auto"/>
          <w:sz w:val="28"/>
          <w:szCs w:val="28"/>
          <w:highlight w:val="none"/>
        </w:rPr>
      </w:pPr>
    </w:p>
    <w:p w14:paraId="0C602829">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宜兴市公用投资管理有限公司太湖内源污染治理（太湖西岸宜兴近岸区域）一期工程涉航技术评价采购服务项目</w:t>
      </w:r>
      <w:r>
        <w:rPr>
          <w:rFonts w:hint="eastAsia" w:ascii="宋体" w:hAnsi="宋体"/>
          <w:color w:val="auto"/>
          <w:sz w:val="24"/>
          <w:szCs w:val="21"/>
          <w:highlight w:val="none"/>
          <w:lang w:val="zh-CN"/>
        </w:rPr>
        <w:t>（YXGYJT202506020）的投标、参与开标、谈判、签约等具体工作，并签署全部有关的文件、协议及合同。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0BCB9B7">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①具有独立承担民事责任的能力：投标人为法人或其他组织的提供营业执照或法人（登记）证书复印件，投标人为自然人的提供自然人身份证复印件； </w:t>
      </w:r>
      <w:r>
        <w:rPr>
          <w:rFonts w:hint="eastAsia" w:ascii="宋体" w:hAnsi="宋体" w:cs="宋体"/>
          <w:b/>
          <w:bCs/>
          <w:color w:val="auto"/>
          <w:sz w:val="24"/>
          <w:szCs w:val="24"/>
          <w:highlight w:val="none"/>
        </w:rPr>
        <w:t>（开标时提供原件或公证件）</w:t>
      </w:r>
    </w:p>
    <w:p w14:paraId="16E29AE4">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370D9094">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619C74A8">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0CFAA9E1">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7932DADE">
      <w:pPr>
        <w:tabs>
          <w:tab w:val="left" w:pos="0"/>
          <w:tab w:val="left" w:pos="255"/>
        </w:tabs>
        <w:spacing w:line="24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⑧</w:t>
      </w:r>
      <w:r>
        <w:rPr>
          <w:rFonts w:hint="eastAsia" w:ascii="宋体" w:hAnsi="宋体" w:cs="宋体"/>
          <w:sz w:val="24"/>
          <w:szCs w:val="24"/>
          <w:highlight w:val="none"/>
        </w:rPr>
        <w:t>投标人应具有类似项目涉航技术评价相关业绩；</w:t>
      </w:r>
      <w:r>
        <w:rPr>
          <w:rFonts w:hint="eastAsia" w:ascii="宋体" w:hAnsi="宋体" w:cs="宋体"/>
          <w:b/>
          <w:sz w:val="24"/>
          <w:szCs w:val="24"/>
          <w:highlight w:val="none"/>
        </w:rPr>
        <w:t>（开标时提供原件）</w:t>
      </w:r>
    </w:p>
    <w:p w14:paraId="1006E252">
      <w:pPr>
        <w:numPr>
          <w:ilvl w:val="0"/>
          <w:numId w:val="0"/>
        </w:numPr>
        <w:tabs>
          <w:tab w:val="left" w:pos="0"/>
          <w:tab w:val="left" w:pos="255"/>
        </w:tabs>
        <w:spacing w:line="360" w:lineRule="auto"/>
        <w:ind w:firstLine="480" w:firstLineChars="200"/>
        <w:rPr>
          <w:rFonts w:hint="eastAsia" w:ascii="宋体" w:hAnsi="宋体" w:cs="宋体"/>
          <w:sz w:val="24"/>
          <w:szCs w:val="24"/>
          <w:highlight w:val="none"/>
        </w:rPr>
      </w:pPr>
      <w:r>
        <w:rPr>
          <w:rFonts w:hint="eastAsia" w:ascii="宋体" w:hAnsi="宋体" w:eastAsia="宋体" w:cs="宋体"/>
          <w:color w:val="auto"/>
          <w:sz w:val="24"/>
          <w:szCs w:val="24"/>
          <w:highlight w:val="none"/>
          <w:lang w:val="en-US" w:eastAsia="zh-CN"/>
        </w:rPr>
        <w:t>⑨</w:t>
      </w:r>
      <w:r>
        <w:rPr>
          <w:rFonts w:hint="eastAsia" w:ascii="宋体" w:hAnsi="宋体" w:cs="宋体"/>
          <w:sz w:val="24"/>
          <w:szCs w:val="24"/>
          <w:highlight w:val="none"/>
        </w:rPr>
        <w:t>投标人应在全国投资项目在线审批监管平台备案（备案专业水运（含港口河海工程））；或具有工程咨询协会颁发的</w:t>
      </w:r>
      <w:r>
        <w:rPr>
          <w:rFonts w:hint="eastAsia" w:ascii="宋体" w:hAnsi="宋体" w:cs="宋体"/>
          <w:sz w:val="24"/>
          <w:szCs w:val="24"/>
          <w:highlight w:val="none"/>
          <w:lang w:eastAsia="zh-CN"/>
        </w:rPr>
        <w:t>乙级及以上</w:t>
      </w:r>
      <w:r>
        <w:rPr>
          <w:rFonts w:hint="eastAsia" w:ascii="宋体" w:hAnsi="宋体" w:cs="宋体"/>
          <w:sz w:val="24"/>
          <w:szCs w:val="24"/>
          <w:highlight w:val="none"/>
          <w:lang w:val="en-US" w:eastAsia="zh-CN"/>
        </w:rPr>
        <w:t>资</w:t>
      </w:r>
      <w:r>
        <w:rPr>
          <w:rFonts w:hint="eastAsia" w:ascii="宋体" w:hAnsi="宋体" w:cs="宋体"/>
          <w:sz w:val="24"/>
          <w:szCs w:val="24"/>
          <w:highlight w:val="none"/>
        </w:rPr>
        <w:t>信证书，业务范围包含水运（含港口河海工程）复印件；</w:t>
      </w:r>
      <w:r>
        <w:rPr>
          <w:rFonts w:hint="eastAsia" w:ascii="宋体" w:hAnsi="宋体" w:cs="宋体"/>
          <w:b/>
          <w:sz w:val="24"/>
          <w:szCs w:val="24"/>
          <w:highlight w:val="none"/>
        </w:rPr>
        <w:t>（开标时提供平台备案截图或</w:t>
      </w:r>
      <w:r>
        <w:rPr>
          <w:rFonts w:hint="eastAsia" w:ascii="宋体" w:hAnsi="宋体" w:cs="宋体"/>
          <w:b/>
          <w:sz w:val="24"/>
          <w:szCs w:val="24"/>
          <w:highlight w:val="none"/>
          <w:lang w:val="en-US" w:eastAsia="zh-CN"/>
        </w:rPr>
        <w:t>资</w:t>
      </w:r>
      <w:r>
        <w:rPr>
          <w:rFonts w:hint="eastAsia" w:ascii="宋体" w:hAnsi="宋体" w:cs="宋体"/>
          <w:b/>
          <w:sz w:val="24"/>
          <w:szCs w:val="24"/>
          <w:highlight w:val="none"/>
        </w:rPr>
        <w:t>信证书原件）</w:t>
      </w:r>
    </w:p>
    <w:p w14:paraId="65AF4DD2">
      <w:pPr>
        <w:pStyle w:val="8"/>
        <w:ind w:left="0" w:leftChars="0" w:firstLine="480" w:firstLineChars="200"/>
        <w:rPr>
          <w:rFonts w:hint="eastAsia"/>
          <w:highlight w:val="none"/>
          <w:lang w:val="zh-CN"/>
        </w:rPr>
      </w:pPr>
      <w:r>
        <w:rPr>
          <w:rFonts w:hint="eastAsia" w:ascii="宋体" w:hAnsi="宋体"/>
          <w:sz w:val="24"/>
          <w:szCs w:val="24"/>
          <w:highlight w:val="none"/>
        </w:rPr>
        <w:t>注：以上“近十二个月”是指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日之前近十二个月（不含报价当月）。</w:t>
      </w:r>
    </w:p>
    <w:p w14:paraId="7CD4AB21">
      <w:pPr>
        <w:tabs>
          <w:tab w:val="left" w:pos="0"/>
          <w:tab w:val="left" w:pos="255"/>
        </w:tabs>
        <w:spacing w:line="240" w:lineRule="auto"/>
        <w:ind w:firstLine="480" w:firstLineChars="200"/>
        <w:rPr>
          <w:rFonts w:hint="eastAsia" w:ascii="宋体" w:hAnsi="宋体" w:eastAsia="宋体" w:cs="宋体"/>
          <w:color w:val="auto"/>
          <w:sz w:val="24"/>
          <w:szCs w:val="24"/>
          <w:highlight w:val="none"/>
          <w:lang w:val="zh-CN"/>
        </w:rPr>
      </w:pPr>
    </w:p>
    <w:p w14:paraId="159B39CA">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0FD3197C">
      <w:pPr>
        <w:tabs>
          <w:tab w:val="left" w:pos="0"/>
          <w:tab w:val="left" w:pos="255"/>
        </w:tabs>
        <w:spacing w:line="360" w:lineRule="auto"/>
        <w:ind w:firstLine="480" w:firstLineChars="200"/>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9186795">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96"/>
    </w:p>
    <w:p w14:paraId="6545F808">
      <w:pPr>
        <w:tabs>
          <w:tab w:val="left" w:pos="0"/>
          <w:tab w:val="left" w:pos="255"/>
        </w:tabs>
        <w:spacing w:line="360" w:lineRule="auto"/>
        <w:rPr>
          <w:rFonts w:hint="eastAsia" w:ascii="黑体" w:hAnsi="宋体" w:eastAsia="黑体"/>
          <w:bCs/>
          <w:color w:val="auto"/>
          <w:sz w:val="24"/>
          <w:szCs w:val="24"/>
          <w:highlight w:val="none"/>
          <w:lang w:val="zh-CN"/>
        </w:rPr>
      </w:pPr>
    </w:p>
    <w:p w14:paraId="7E7C7A99">
      <w:pPr>
        <w:tabs>
          <w:tab w:val="left" w:pos="0"/>
          <w:tab w:val="left" w:pos="255"/>
        </w:tabs>
        <w:spacing w:line="360" w:lineRule="auto"/>
        <w:rPr>
          <w:rFonts w:hint="eastAsia" w:ascii="黑体" w:hAnsi="宋体" w:eastAsia="黑体"/>
          <w:bCs/>
          <w:color w:val="auto"/>
          <w:sz w:val="24"/>
          <w:szCs w:val="24"/>
          <w:highlight w:val="none"/>
          <w:lang w:val="zh-CN"/>
        </w:rPr>
      </w:pPr>
    </w:p>
    <w:p w14:paraId="308F9D37">
      <w:pPr>
        <w:tabs>
          <w:tab w:val="left" w:pos="0"/>
          <w:tab w:val="left" w:pos="255"/>
        </w:tabs>
        <w:spacing w:line="360" w:lineRule="auto"/>
        <w:rPr>
          <w:rFonts w:hint="eastAsia" w:ascii="黑体" w:hAnsi="宋体" w:eastAsia="黑体"/>
          <w:bCs/>
          <w:color w:val="auto"/>
          <w:sz w:val="24"/>
          <w:szCs w:val="24"/>
          <w:highlight w:val="none"/>
          <w:lang w:val="zh-CN"/>
        </w:rPr>
      </w:pPr>
    </w:p>
    <w:p w14:paraId="67D393A8">
      <w:pPr>
        <w:pStyle w:val="9"/>
        <w:rPr>
          <w:rFonts w:hint="eastAsia" w:ascii="黑体" w:hAnsi="宋体" w:eastAsia="黑体"/>
          <w:bCs/>
          <w:color w:val="auto"/>
          <w:sz w:val="24"/>
          <w:szCs w:val="24"/>
          <w:highlight w:val="none"/>
          <w:lang w:val="zh-CN"/>
        </w:rPr>
      </w:pPr>
    </w:p>
    <w:p w14:paraId="1916DAED">
      <w:pPr>
        <w:pStyle w:val="9"/>
        <w:rPr>
          <w:rFonts w:hint="eastAsia" w:ascii="黑体" w:hAnsi="宋体" w:eastAsia="黑体"/>
          <w:bCs/>
          <w:color w:val="auto"/>
          <w:sz w:val="24"/>
          <w:szCs w:val="24"/>
          <w:highlight w:val="none"/>
          <w:lang w:val="zh-CN"/>
        </w:rPr>
      </w:pPr>
    </w:p>
    <w:p w14:paraId="074C41E7">
      <w:pPr>
        <w:pStyle w:val="9"/>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太湖内源污染治理（太湖西岸宜兴近岸区域）一期工程涉航技术评价采购服务项目</w:t>
      </w:r>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YXGYJT202506020</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7D1AF90A">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1DD8B8A5">
      <w:pPr>
        <w:ind w:firstLine="367" w:firstLineChars="175"/>
        <w:rPr>
          <w:rFonts w:hint="eastAsia"/>
          <w:highlight w:val="none"/>
        </w:rPr>
      </w:pPr>
      <w:r>
        <w:rPr>
          <w:rFonts w:hint="eastAsia" w:ascii="宋体" w:hAnsi="宋体"/>
          <w:color w:val="auto"/>
          <w:highlight w:val="none"/>
        </w:rPr>
        <w:t>2.</w:t>
      </w:r>
      <w:r>
        <w:rPr>
          <w:rFonts w:hint="eastAsia" w:ascii="宋体" w:hAnsi="宋体"/>
          <w:highlight w:val="none"/>
        </w:rPr>
        <w:t>上表内容须按招标文件要求提供经社保部门确认的社保缴纳名单复印件（标注各人员所处位置）和相关证书复印件作为填列证明材料，证明材料请附在本表之后。</w:t>
      </w:r>
    </w:p>
    <w:p w14:paraId="095D230B">
      <w:pPr>
        <w:ind w:firstLine="420" w:firstLineChars="200"/>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658FA224">
      <w:pPr>
        <w:tabs>
          <w:tab w:val="left" w:pos="255"/>
        </w:tabs>
        <w:spacing w:line="360" w:lineRule="auto"/>
        <w:jc w:val="left"/>
        <w:rPr>
          <w:rFonts w:hint="eastAsia" w:ascii="黑体" w:hAnsi="宋体" w:eastAsia="黑体"/>
          <w:bCs/>
          <w:color w:val="auto"/>
          <w:sz w:val="24"/>
          <w:szCs w:val="24"/>
          <w:highlight w:val="none"/>
        </w:rPr>
      </w:pPr>
    </w:p>
    <w:p w14:paraId="7DCDE63A">
      <w:pPr>
        <w:rPr>
          <w:rFonts w:hint="eastAsia" w:ascii="黑体" w:hAnsi="宋体" w:eastAsia="黑体"/>
          <w:bCs/>
          <w:color w:val="auto"/>
          <w:sz w:val="24"/>
          <w:szCs w:val="24"/>
          <w:highlight w:val="none"/>
          <w:lang w:val="zh-CN"/>
        </w:rPr>
      </w:pPr>
    </w:p>
    <w:p w14:paraId="4695FD48">
      <w:pPr>
        <w:rPr>
          <w:rFonts w:hint="eastAsia" w:ascii="黑体" w:hAnsi="宋体" w:eastAsia="黑体"/>
          <w:bCs/>
          <w:color w:val="auto"/>
          <w:sz w:val="24"/>
          <w:szCs w:val="24"/>
          <w:highlight w:val="none"/>
          <w:lang w:val="zh-CN"/>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46E12175">
      <w:pPr>
        <w:rPr>
          <w:rFonts w:hint="eastAsia" w:ascii="黑体" w:hAnsi="宋体" w:eastAsia="黑体"/>
          <w:bCs/>
          <w:color w:val="auto"/>
          <w:sz w:val="24"/>
          <w:szCs w:val="24"/>
          <w:highlight w:val="none"/>
          <w:lang w:val="zh-CN"/>
        </w:rPr>
      </w:pPr>
    </w:p>
    <w:p w14:paraId="30FE0D1F">
      <w:pPr>
        <w:rPr>
          <w:rFonts w:hint="eastAsia" w:ascii="黑体" w:hAnsi="宋体" w:eastAsia="黑体"/>
          <w:bCs/>
          <w:color w:val="auto"/>
          <w:sz w:val="24"/>
          <w:szCs w:val="24"/>
          <w:highlight w:val="none"/>
          <w:lang w:val="zh-CN"/>
        </w:rPr>
      </w:pPr>
    </w:p>
    <w:p w14:paraId="4D078897">
      <w:pPr>
        <w:rPr>
          <w:rFonts w:hint="eastAsia" w:ascii="黑体" w:hAnsi="宋体" w:eastAsia="黑体"/>
          <w:bCs/>
          <w:color w:val="auto"/>
          <w:sz w:val="24"/>
          <w:szCs w:val="24"/>
          <w:highlight w:val="none"/>
          <w:lang w:val="zh-CN"/>
        </w:rPr>
      </w:pPr>
    </w:p>
    <w:p w14:paraId="4D08D8B0">
      <w:pPr>
        <w:tabs>
          <w:tab w:val="left" w:pos="255"/>
        </w:tabs>
        <w:spacing w:line="360" w:lineRule="auto"/>
        <w:jc w:val="left"/>
        <w:rPr>
          <w:rFonts w:hint="eastAsia" w:ascii="黑体" w:hAnsi="宋体" w:eastAsia="黑体"/>
          <w:bCs/>
          <w:sz w:val="24"/>
          <w:szCs w:val="24"/>
          <w:highlight w:val="none"/>
          <w:lang w:val="zh-CN"/>
        </w:rPr>
      </w:pPr>
    </w:p>
    <w:p w14:paraId="2DAF2F2E">
      <w:pPr>
        <w:tabs>
          <w:tab w:val="left" w:pos="255"/>
        </w:tabs>
        <w:spacing w:line="360" w:lineRule="auto"/>
        <w:jc w:val="left"/>
        <w:rPr>
          <w:rFonts w:hint="eastAsia" w:ascii="黑体" w:hAnsi="宋体" w:eastAsia="黑体"/>
          <w:bCs/>
          <w:sz w:val="24"/>
          <w:szCs w:val="24"/>
          <w:highlight w:val="none"/>
          <w:lang w:val="zh-CN"/>
        </w:rPr>
      </w:pPr>
    </w:p>
    <w:p w14:paraId="0EDB4745">
      <w:pPr>
        <w:tabs>
          <w:tab w:val="left" w:pos="255"/>
        </w:tabs>
        <w:spacing w:line="360" w:lineRule="auto"/>
        <w:jc w:val="left"/>
        <w:rPr>
          <w:rFonts w:hint="eastAsia" w:ascii="黑体" w:hAnsi="宋体" w:eastAsia="黑体"/>
          <w:bCs/>
          <w:sz w:val="24"/>
          <w:szCs w:val="24"/>
          <w:highlight w:val="none"/>
          <w:lang w:val="zh-CN"/>
        </w:rPr>
      </w:pPr>
    </w:p>
    <w:p w14:paraId="67A9D51A">
      <w:pPr>
        <w:tabs>
          <w:tab w:val="left" w:pos="255"/>
        </w:tabs>
        <w:spacing w:line="360" w:lineRule="auto"/>
        <w:jc w:val="left"/>
        <w:rPr>
          <w:rFonts w:hint="eastAsia" w:ascii="黑体" w:hAnsi="宋体" w:eastAsia="黑体"/>
          <w:bCs/>
          <w:sz w:val="24"/>
          <w:szCs w:val="24"/>
          <w:highlight w:val="none"/>
          <w:lang w:val="zh-CN"/>
        </w:rPr>
      </w:pPr>
    </w:p>
    <w:p w14:paraId="479CD091">
      <w:pPr>
        <w:tabs>
          <w:tab w:val="left" w:pos="255"/>
        </w:tabs>
        <w:spacing w:line="360" w:lineRule="auto"/>
        <w:jc w:val="left"/>
        <w:rPr>
          <w:rFonts w:hint="eastAsia" w:ascii="黑体" w:hAnsi="宋体" w:eastAsia="黑体"/>
          <w:bCs/>
          <w:sz w:val="24"/>
          <w:szCs w:val="24"/>
          <w:highlight w:val="none"/>
          <w:lang w:val="zh-CN"/>
        </w:rPr>
      </w:pPr>
    </w:p>
    <w:p w14:paraId="0E58FC1E">
      <w:pPr>
        <w:tabs>
          <w:tab w:val="left" w:pos="255"/>
        </w:tabs>
        <w:spacing w:line="360" w:lineRule="auto"/>
        <w:jc w:val="left"/>
        <w:rPr>
          <w:rFonts w:hint="eastAsia" w:ascii="黑体" w:hAnsi="宋体" w:eastAsia="黑体"/>
          <w:bCs/>
          <w:sz w:val="24"/>
          <w:szCs w:val="24"/>
          <w:highlight w:val="none"/>
          <w:lang w:val="zh-CN"/>
        </w:rPr>
      </w:pPr>
    </w:p>
    <w:p w14:paraId="0FB2353C">
      <w:pPr>
        <w:tabs>
          <w:tab w:val="left" w:pos="255"/>
        </w:tabs>
        <w:spacing w:line="360" w:lineRule="auto"/>
        <w:jc w:val="left"/>
        <w:rPr>
          <w:rFonts w:hint="eastAsia" w:ascii="黑体" w:hAnsi="宋体" w:eastAsia="黑体"/>
          <w:bCs/>
          <w:sz w:val="24"/>
          <w:szCs w:val="24"/>
          <w:highlight w:val="none"/>
          <w:lang w:val="zh-CN"/>
        </w:rPr>
      </w:pPr>
    </w:p>
    <w:p w14:paraId="78D5B8AC">
      <w:pPr>
        <w:tabs>
          <w:tab w:val="left" w:pos="255"/>
        </w:tabs>
        <w:spacing w:line="360" w:lineRule="auto"/>
        <w:jc w:val="left"/>
        <w:rPr>
          <w:rFonts w:hint="eastAsia" w:ascii="黑体" w:hAnsi="宋体" w:eastAsia="黑体"/>
          <w:bCs/>
          <w:sz w:val="24"/>
          <w:szCs w:val="24"/>
          <w:highlight w:val="none"/>
          <w:lang w:val="zh-CN"/>
        </w:rPr>
      </w:pPr>
    </w:p>
    <w:p w14:paraId="483A56C3">
      <w:pPr>
        <w:tabs>
          <w:tab w:val="left" w:pos="255"/>
        </w:tabs>
        <w:spacing w:line="360" w:lineRule="auto"/>
        <w:jc w:val="left"/>
        <w:rPr>
          <w:rFonts w:hint="eastAsia" w:ascii="黑体" w:hAnsi="宋体" w:eastAsia="黑体"/>
          <w:bCs/>
          <w:sz w:val="24"/>
          <w:szCs w:val="24"/>
          <w:highlight w:val="none"/>
          <w:lang w:val="zh-CN"/>
        </w:rPr>
      </w:pPr>
    </w:p>
    <w:p w14:paraId="2FA6194F">
      <w:pPr>
        <w:tabs>
          <w:tab w:val="left" w:pos="255"/>
        </w:tabs>
        <w:spacing w:line="360" w:lineRule="auto"/>
        <w:jc w:val="left"/>
        <w:rPr>
          <w:rFonts w:hint="eastAsia" w:ascii="黑体" w:hAnsi="宋体" w:eastAsia="黑体"/>
          <w:bCs/>
          <w:sz w:val="24"/>
          <w:szCs w:val="24"/>
          <w:highlight w:val="none"/>
          <w:lang w:val="zh-CN"/>
        </w:rPr>
      </w:pPr>
    </w:p>
    <w:p w14:paraId="4AAC9386">
      <w:pPr>
        <w:tabs>
          <w:tab w:val="left" w:pos="255"/>
        </w:tabs>
        <w:spacing w:line="360" w:lineRule="auto"/>
        <w:jc w:val="left"/>
        <w:rPr>
          <w:rFonts w:hint="eastAsia" w:ascii="黑体" w:hAnsi="宋体" w:eastAsia="黑体"/>
          <w:bCs/>
          <w:sz w:val="24"/>
          <w:szCs w:val="24"/>
          <w:highlight w:val="none"/>
          <w:lang w:val="zh-CN"/>
        </w:rPr>
      </w:pPr>
    </w:p>
    <w:p w14:paraId="0BB121DC">
      <w:pPr>
        <w:tabs>
          <w:tab w:val="left" w:pos="255"/>
        </w:tabs>
        <w:spacing w:line="360" w:lineRule="auto"/>
        <w:jc w:val="left"/>
        <w:rPr>
          <w:rFonts w:hint="eastAsia" w:ascii="黑体" w:hAnsi="宋体" w:eastAsia="黑体"/>
          <w:bCs/>
          <w:sz w:val="24"/>
          <w:szCs w:val="24"/>
          <w:highlight w:val="none"/>
          <w:lang w:val="zh-CN"/>
        </w:rPr>
      </w:pPr>
    </w:p>
    <w:p w14:paraId="5E93B46B">
      <w:pPr>
        <w:tabs>
          <w:tab w:val="left" w:pos="255"/>
        </w:tabs>
        <w:spacing w:line="360" w:lineRule="auto"/>
        <w:jc w:val="left"/>
        <w:rPr>
          <w:rFonts w:hint="eastAsia" w:ascii="黑体" w:hAnsi="宋体" w:eastAsia="黑体"/>
          <w:bCs/>
          <w:sz w:val="24"/>
          <w:szCs w:val="24"/>
          <w:highlight w:val="none"/>
          <w:lang w:val="zh-CN"/>
        </w:rPr>
      </w:pPr>
    </w:p>
    <w:p w14:paraId="67C53F58">
      <w:pPr>
        <w:tabs>
          <w:tab w:val="left" w:pos="255"/>
        </w:tabs>
        <w:spacing w:line="360" w:lineRule="auto"/>
        <w:jc w:val="left"/>
        <w:rPr>
          <w:rFonts w:hint="eastAsia" w:ascii="黑体" w:hAnsi="宋体" w:eastAsia="黑体"/>
          <w:bCs/>
          <w:sz w:val="24"/>
          <w:szCs w:val="24"/>
          <w:highlight w:val="none"/>
          <w:lang w:val="zh-CN"/>
        </w:rPr>
      </w:pPr>
    </w:p>
    <w:p w14:paraId="20B02B87">
      <w:pPr>
        <w:tabs>
          <w:tab w:val="left" w:pos="255"/>
        </w:tabs>
        <w:spacing w:line="360" w:lineRule="auto"/>
        <w:jc w:val="left"/>
        <w:rPr>
          <w:rFonts w:hint="eastAsia" w:ascii="黑体" w:hAnsi="宋体" w:eastAsia="黑体"/>
          <w:bCs/>
          <w:sz w:val="24"/>
          <w:szCs w:val="24"/>
          <w:highlight w:val="none"/>
          <w:lang w:val="zh-CN"/>
        </w:rPr>
      </w:pPr>
    </w:p>
    <w:p w14:paraId="36AE8924">
      <w:pPr>
        <w:tabs>
          <w:tab w:val="left" w:pos="255"/>
        </w:tabs>
        <w:spacing w:line="360" w:lineRule="auto"/>
        <w:jc w:val="left"/>
        <w:rPr>
          <w:rFonts w:hint="eastAsia" w:ascii="黑体" w:hAnsi="宋体" w:eastAsia="黑体"/>
          <w:bCs/>
          <w:sz w:val="24"/>
          <w:szCs w:val="24"/>
          <w:highlight w:val="none"/>
          <w:lang w:val="zh-CN"/>
        </w:rPr>
      </w:pPr>
    </w:p>
    <w:p w14:paraId="151EA234">
      <w:pPr>
        <w:tabs>
          <w:tab w:val="left" w:pos="255"/>
        </w:tabs>
        <w:spacing w:line="360" w:lineRule="auto"/>
        <w:jc w:val="left"/>
        <w:rPr>
          <w:rFonts w:hint="eastAsia" w:ascii="黑体" w:hAnsi="宋体" w:eastAsia="黑体"/>
          <w:bCs/>
          <w:sz w:val="24"/>
          <w:szCs w:val="24"/>
          <w:highlight w:val="none"/>
          <w:lang w:val="zh-CN"/>
        </w:rPr>
      </w:pPr>
    </w:p>
    <w:p w14:paraId="029C44F6">
      <w:pPr>
        <w:tabs>
          <w:tab w:val="left" w:pos="255"/>
        </w:tabs>
        <w:spacing w:line="360" w:lineRule="auto"/>
        <w:jc w:val="left"/>
        <w:rPr>
          <w:rFonts w:hint="eastAsia" w:ascii="黑体" w:hAnsi="宋体" w:eastAsia="黑体"/>
          <w:bCs/>
          <w:sz w:val="24"/>
          <w:szCs w:val="24"/>
          <w:highlight w:val="none"/>
          <w:lang w:val="zh-CN"/>
        </w:rPr>
      </w:pPr>
    </w:p>
    <w:p w14:paraId="1BD5F805">
      <w:pPr>
        <w:tabs>
          <w:tab w:val="left" w:pos="255"/>
        </w:tabs>
        <w:spacing w:line="360" w:lineRule="auto"/>
        <w:jc w:val="left"/>
        <w:rPr>
          <w:rFonts w:hint="eastAsia" w:ascii="黑体" w:hAnsi="宋体" w:eastAsia="黑体"/>
          <w:bCs/>
          <w:sz w:val="24"/>
          <w:szCs w:val="24"/>
          <w:highlight w:val="none"/>
          <w:lang w:val="zh-CN"/>
        </w:rPr>
      </w:pPr>
    </w:p>
    <w:p w14:paraId="022B8564">
      <w:pPr>
        <w:tabs>
          <w:tab w:val="left" w:pos="255"/>
        </w:tabs>
        <w:spacing w:line="360" w:lineRule="auto"/>
        <w:jc w:val="left"/>
        <w:rPr>
          <w:rFonts w:hint="eastAsia" w:ascii="黑体" w:hAnsi="宋体" w:eastAsia="黑体"/>
          <w:bCs/>
          <w:sz w:val="24"/>
          <w:szCs w:val="24"/>
          <w:highlight w:val="none"/>
          <w:lang w:val="zh-CN"/>
        </w:rPr>
      </w:pPr>
    </w:p>
    <w:p w14:paraId="4AE414E4">
      <w:pPr>
        <w:tabs>
          <w:tab w:val="left" w:pos="255"/>
        </w:tabs>
        <w:spacing w:line="360" w:lineRule="auto"/>
        <w:jc w:val="left"/>
        <w:rPr>
          <w:rFonts w:hint="eastAsia" w:ascii="黑体" w:hAnsi="宋体" w:eastAsia="黑体"/>
          <w:bCs/>
          <w:sz w:val="24"/>
          <w:szCs w:val="24"/>
          <w:highlight w:val="none"/>
          <w:lang w:val="zh-CN"/>
        </w:rPr>
      </w:pPr>
    </w:p>
    <w:p w14:paraId="2135F11A">
      <w:pPr>
        <w:tabs>
          <w:tab w:val="left" w:pos="255"/>
        </w:tabs>
        <w:spacing w:line="360" w:lineRule="auto"/>
        <w:jc w:val="left"/>
        <w:rPr>
          <w:rFonts w:hint="eastAsia" w:ascii="黑体" w:hAnsi="宋体" w:eastAsia="黑体"/>
          <w:bCs/>
          <w:sz w:val="24"/>
          <w:szCs w:val="24"/>
          <w:highlight w:val="none"/>
          <w:lang w:val="zh-CN"/>
        </w:rPr>
      </w:pPr>
    </w:p>
    <w:p w14:paraId="1E3B9E0A">
      <w:pPr>
        <w:tabs>
          <w:tab w:val="left" w:pos="255"/>
        </w:tabs>
        <w:spacing w:line="360" w:lineRule="auto"/>
        <w:jc w:val="left"/>
        <w:rPr>
          <w:rFonts w:hint="eastAsia" w:ascii="黑体" w:hAnsi="宋体" w:eastAsia="黑体"/>
          <w:bCs/>
          <w:sz w:val="24"/>
          <w:szCs w:val="24"/>
          <w:highlight w:val="none"/>
          <w:lang w:val="zh-CN"/>
        </w:rPr>
      </w:pPr>
    </w:p>
    <w:p w14:paraId="458919CC">
      <w:pPr>
        <w:tabs>
          <w:tab w:val="left" w:pos="255"/>
        </w:tabs>
        <w:spacing w:line="360" w:lineRule="auto"/>
        <w:jc w:val="left"/>
        <w:rPr>
          <w:rFonts w:hint="eastAsia" w:ascii="黑体" w:hAnsi="宋体" w:eastAsia="黑体"/>
          <w:bCs/>
          <w:sz w:val="24"/>
          <w:szCs w:val="24"/>
          <w:highlight w:val="none"/>
          <w:lang w:val="zh-CN"/>
        </w:rPr>
      </w:pPr>
    </w:p>
    <w:p w14:paraId="796A53E5">
      <w:pPr>
        <w:tabs>
          <w:tab w:val="left" w:pos="255"/>
        </w:tabs>
        <w:spacing w:line="360" w:lineRule="auto"/>
        <w:jc w:val="left"/>
        <w:rPr>
          <w:rFonts w:hint="eastAsia" w:ascii="黑体" w:hAnsi="宋体" w:eastAsia="黑体"/>
          <w:bCs/>
          <w:sz w:val="24"/>
          <w:szCs w:val="24"/>
          <w:highlight w:val="none"/>
          <w:lang w:val="zh-CN"/>
        </w:rPr>
      </w:pPr>
    </w:p>
    <w:p w14:paraId="71E87B84">
      <w:pPr>
        <w:tabs>
          <w:tab w:val="left" w:pos="255"/>
        </w:tabs>
        <w:spacing w:line="360" w:lineRule="auto"/>
        <w:jc w:val="left"/>
        <w:rPr>
          <w:rFonts w:hint="eastAsia" w:ascii="黑体" w:hAnsi="宋体" w:eastAsia="黑体"/>
          <w:bCs/>
          <w:sz w:val="24"/>
          <w:szCs w:val="24"/>
          <w:highlight w:val="none"/>
          <w:lang w:val="zh-CN"/>
        </w:rPr>
      </w:pPr>
    </w:p>
    <w:p w14:paraId="72BC6AB5">
      <w:pPr>
        <w:tabs>
          <w:tab w:val="left" w:pos="255"/>
        </w:tabs>
        <w:spacing w:line="360" w:lineRule="auto"/>
        <w:jc w:val="left"/>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0410E2B4">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4B40F42B">
      <w:pPr>
        <w:rPr>
          <w:rFonts w:hint="eastAsia" w:ascii="黑体" w:hAnsi="宋体" w:eastAsia="黑体"/>
          <w:bCs/>
          <w:color w:val="auto"/>
          <w:sz w:val="24"/>
          <w:szCs w:val="24"/>
          <w:highlight w:val="none"/>
          <w:lang w:val="zh-CN"/>
        </w:rPr>
      </w:pPr>
    </w:p>
    <w:p w14:paraId="2F7A3E4F">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022AFC57">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2A94DB68">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123C46C5">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highlight w:val="none"/>
        </w:rPr>
      </w:pPr>
    </w:p>
    <w:p w14:paraId="63FF7ED0">
      <w:pPr>
        <w:rPr>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7F7A"/>
    <w:rsid w:val="080B0BCA"/>
    <w:rsid w:val="177A6489"/>
    <w:rsid w:val="29164419"/>
    <w:rsid w:val="2AAF1DD1"/>
    <w:rsid w:val="304F6764"/>
    <w:rsid w:val="37D00C0F"/>
    <w:rsid w:val="3972278F"/>
    <w:rsid w:val="46885AD7"/>
    <w:rsid w:val="49FD0075"/>
    <w:rsid w:val="4EE1199D"/>
    <w:rsid w:val="54A01CD4"/>
    <w:rsid w:val="5BF05996"/>
    <w:rsid w:val="61C73F05"/>
    <w:rsid w:val="65B75CD2"/>
    <w:rsid w:val="666317B4"/>
    <w:rsid w:val="79F4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paragraph" w:styleId="9">
    <w:name w:val="Body Text First Indent"/>
    <w:basedOn w:val="1"/>
    <w:qFormat/>
    <w:uiPriority w:val="0"/>
    <w:pPr>
      <w:spacing w:after="120"/>
      <w:ind w:firstLine="420" w:firstLineChars="100"/>
    </w:p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61"/>
    <w:basedOn w:val="11"/>
    <w:qFormat/>
    <w:uiPriority w:val="0"/>
    <w:rPr>
      <w:rFonts w:hint="eastAsia" w:ascii="宋体" w:hAnsi="宋体" w:eastAsia="宋体" w:cs="宋体"/>
      <w:b/>
      <w:bCs/>
      <w:color w:val="000000"/>
      <w:sz w:val="20"/>
      <w:szCs w:val="20"/>
      <w:u w:val="none"/>
    </w:rPr>
  </w:style>
  <w:style w:type="character" w:customStyle="1" w:styleId="18">
    <w:name w:val="font5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0"/>
      <w:szCs w:val="20"/>
      <w:u w:val="none"/>
    </w:rPr>
  </w:style>
  <w:style w:type="character" w:customStyle="1" w:styleId="20">
    <w:name w:val="font21"/>
    <w:basedOn w:val="11"/>
    <w:qFormat/>
    <w:uiPriority w:val="0"/>
    <w:rPr>
      <w:rFonts w:hint="eastAsia" w:ascii="宋体" w:hAnsi="宋体" w:eastAsia="宋体" w:cs="宋体"/>
      <w:color w:val="000000"/>
      <w:sz w:val="20"/>
      <w:szCs w:val="20"/>
      <w:u w:val="none"/>
    </w:rPr>
  </w:style>
  <w:style w:type="character" w:customStyle="1" w:styleId="21">
    <w:name w:val="NormalCharacter"/>
    <w:qFormat/>
    <w:uiPriority w:val="0"/>
    <w:rPr>
      <w:kern w:val="2"/>
      <w:sz w:val="21"/>
      <w:lang w:val="en-US" w:eastAsia="zh-CN" w:bidi="ar-SA"/>
    </w:rPr>
  </w:style>
  <w:style w:type="paragraph" w:customStyle="1" w:styleId="22">
    <w:name w:val="报告文字"/>
    <w:basedOn w:val="1"/>
    <w:next w:val="1"/>
    <w:qFormat/>
    <w:uiPriority w:val="0"/>
    <w:pPr>
      <w:ind w:firstLine="480" w:firstLineChars="200"/>
      <w:jc w:val="left"/>
    </w:pPr>
    <w:rPr>
      <w:kern w:val="0"/>
      <w:sz w:val="24"/>
      <w:szCs w:val="24"/>
    </w:rPr>
  </w:style>
  <w:style w:type="paragraph" w:customStyle="1" w:styleId="23">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4">
    <w:name w:val="索引 11"/>
    <w:basedOn w:val="1"/>
    <w:next w:val="1"/>
    <w:qFormat/>
    <w:uiPriority w:val="0"/>
    <w:pPr>
      <w:spacing w:line="360" w:lineRule="auto"/>
    </w:pPr>
    <w:rPr>
      <w:rFonts w:ascii="仿宋_GB2312" w:eastAsia="仿宋_GB2312"/>
      <w:sz w:val="24"/>
    </w:rPr>
  </w:style>
  <w:style w:type="paragraph" w:customStyle="1" w:styleId="2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14625</Words>
  <Characters>15316</Characters>
  <Lines>0</Lines>
  <Paragraphs>0</Paragraphs>
  <TotalTime>8</TotalTime>
  <ScaleCrop>false</ScaleCrop>
  <LinksUpToDate>false</LinksUpToDate>
  <CharactersWithSpaces>15677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2025-05-28T13:49:00Z</dcterms:created>
  <dc:creator>Administrator</dc:creator>
  <cp:lastModifiedBy>RecluSive。</cp:lastModifiedBy>
  <dcterms:modified xsi:type="dcterms:W3CDTF">2025-06-12T12:08:17Z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eyJoZGlkIjoiMjk1YmIyYmZiMmVlYjU1ZWFhYjVmNWZkNTE1NTU0NGMiLCJ1c2VySWQiOiI0MDQxMjA3MDYifQ==</vt:lpwstr>
  </property>
  <property fmtid="{D5CDD505-2E9C-101B-9397-08002B2CF9AE}" pid="4" name="ICV">
    <vt:lpwstr>253B8C502CCA462EBF7D586CF8804959_12</vt:lpwstr>
  </property>
</Properties>
</file>