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宜兴市公用建环资源循环利用有限公司60吨地磅采购</w:t>
      </w:r>
    </w:p>
    <w:p>
      <w:pPr>
        <w:jc w:val="center"/>
        <w:rPr>
          <w:rFonts w:ascii="宋体" w:hAnsi="宋体"/>
          <w:b/>
          <w:bCs/>
          <w:sz w:val="44"/>
          <w:szCs w:val="44"/>
        </w:rPr>
      </w:pPr>
      <w:bookmarkStart w:id="105" w:name="_GoBack"/>
      <w:bookmarkEnd w:id="105"/>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hAns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YXGYJT202111004</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二一年十一月九日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60吨地磅</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270"/>
            </w:pPr>
            <w:bookmarkStart w:id="2" w:name="OLE_LINK192"/>
            <w:r>
              <w:rPr>
                <w:rFonts w:hint="eastAsia"/>
              </w:rPr>
              <w:t>采购人：宜兴市公用建环资源循环利用有限公司</w:t>
            </w:r>
          </w:p>
          <w:p>
            <w:pPr>
              <w:pStyle w:val="270"/>
            </w:pPr>
            <w:r>
              <w:rPr>
                <w:rFonts w:hint="eastAsia"/>
              </w:rPr>
              <w:t>项目名称：60吨地磅采购</w:t>
            </w:r>
          </w:p>
          <w:p>
            <w:pPr>
              <w:pStyle w:val="270"/>
            </w:pPr>
            <w:r>
              <w:rPr>
                <w:rFonts w:hint="eastAsia"/>
              </w:rPr>
              <w:t>项目编号</w:t>
            </w:r>
            <w:r>
              <w:t>: YXGYJT202111004</w:t>
            </w:r>
          </w:p>
          <w:p>
            <w:pPr>
              <w:pStyle w:val="270"/>
            </w:pPr>
            <w:r>
              <w:rPr>
                <w:rFonts w:hint="eastAsia"/>
              </w:rPr>
              <w:t>评标方法：最低价评标法</w:t>
            </w:r>
          </w:p>
          <w:p>
            <w:pPr>
              <w:pStyle w:val="270"/>
            </w:pPr>
            <w:r>
              <w:rPr>
                <w:rFonts w:hint="eastAsia"/>
              </w:rPr>
              <w:t>本项目最高限价为：</w:t>
            </w:r>
            <w:bookmarkEnd w:id="2"/>
            <w:r>
              <w:rPr>
                <w:rFonts w:hint="eastAsia"/>
              </w:rPr>
              <w:t>49万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270"/>
            </w:pPr>
            <w:r>
              <w:rPr>
                <w:rFonts w:hint="eastAsia"/>
              </w:rPr>
              <w:t>2.1投标人参加本次投标活动应具备下列资格条件：</w:t>
            </w:r>
          </w:p>
          <w:p>
            <w:pPr>
              <w:pStyle w:val="270"/>
            </w:pPr>
            <w:r>
              <w:rPr>
                <w:rFonts w:hint="eastAsia"/>
              </w:rPr>
              <w:t>①具有独立承担民事责任的能力；</w:t>
            </w:r>
          </w:p>
          <w:p>
            <w:pPr>
              <w:pStyle w:val="270"/>
            </w:pPr>
            <w:r>
              <w:rPr>
                <w:rFonts w:hint="eastAsia"/>
              </w:rPr>
              <w:t>②有依法缴纳税收和社会保障资金的良好记录；</w:t>
            </w:r>
          </w:p>
          <w:p>
            <w:pPr>
              <w:pStyle w:val="270"/>
            </w:pPr>
            <w:r>
              <w:rPr>
                <w:rFonts w:hint="eastAsia"/>
              </w:rPr>
              <w:t>③具有履行合同所必需的设备和专业技术能力；</w:t>
            </w:r>
          </w:p>
          <w:p>
            <w:pPr>
              <w:pStyle w:val="270"/>
            </w:pPr>
            <w:r>
              <w:rPr>
                <w:rFonts w:hint="eastAsia"/>
              </w:rPr>
              <w:t>④不接受联合体，不接受成交后分包；</w:t>
            </w:r>
          </w:p>
          <w:p>
            <w:pPr>
              <w:pStyle w:val="270"/>
              <w:rPr>
                <w:rFonts w:hint="eastAsia"/>
              </w:rPr>
            </w:pPr>
            <w:r>
              <w:rPr>
                <w:rFonts w:hint="eastAsia"/>
              </w:rPr>
              <w:t>⑤无不良信用记录；</w:t>
            </w:r>
          </w:p>
          <w:p>
            <w:pPr>
              <w:pStyle w:val="270"/>
              <w:rPr>
                <w:rFonts w:hint="eastAsia"/>
                <w:lang w:val="zh-CN"/>
              </w:rPr>
            </w:pPr>
            <w:r>
              <w:rPr>
                <w:rFonts w:hint="eastAsia" w:hAnsi="宋体"/>
                <w:bCs/>
                <w:color w:val="000000"/>
                <w:szCs w:val="24"/>
              </w:rPr>
              <w:t>⑥</w:t>
            </w:r>
            <w:r>
              <w:rPr>
                <w:rFonts w:hint="eastAsia"/>
                <w:lang w:val="zh-CN"/>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jc w:val="left"/>
              <w:rPr>
                <w:rFonts w:hint="eastAsia" w:ascii="宋体" w:hAnsi="宋体"/>
                <w:bCs/>
                <w:color w:val="000000"/>
                <w:sz w:val="24"/>
                <w:szCs w:val="24"/>
              </w:rPr>
            </w:pPr>
            <w:r>
              <w:rPr>
                <w:rFonts w:hint="eastAsia" w:ascii="宋体" w:hAnsi="宋体"/>
                <w:bCs/>
                <w:color w:val="000000"/>
                <w:sz w:val="24"/>
                <w:szCs w:val="24"/>
              </w:rPr>
              <w:t>⑦供应商须通过ISO9000系列质量管理体系，ISO14000系列环境管理体系认证，GB/T28001-2011系列职业健康安全管理体系认证，提供扫描件；</w:t>
            </w:r>
          </w:p>
          <w:p>
            <w:pPr>
              <w:pStyle w:val="270"/>
            </w:pPr>
            <w:r>
              <w:rPr>
                <w:rFonts w:hint="eastAsia" w:hAnsi="宋体"/>
                <w:bCs/>
                <w:color w:val="000000"/>
                <w:szCs w:val="24"/>
              </w:rPr>
              <w:t>⑧须提供汽车衡生产许可证、汽车衡传感器生产许可证、汽车衡仪表生产许可证扫描件；</w:t>
            </w:r>
            <w:r>
              <w:rPr>
                <w:rFonts w:hAnsi="宋体" w:cs="宋体"/>
                <w:szCs w:val="24"/>
              </w:rPr>
              <w:t>如为代理商，需提供</w:t>
            </w:r>
            <w:r>
              <w:rPr>
                <w:rFonts w:hint="eastAsia" w:hAnsi="宋体" w:cs="宋体"/>
                <w:szCs w:val="24"/>
              </w:rPr>
              <w:t>响应文件的</w:t>
            </w:r>
            <w:r>
              <w:rPr>
                <w:rFonts w:hAnsi="宋体" w:cs="宋体"/>
                <w:szCs w:val="24"/>
              </w:rPr>
              <w:t>响应品牌的生产许可证</w:t>
            </w:r>
            <w:r>
              <w:rPr>
                <w:rFonts w:hint="eastAsia" w:hAnsi="宋体" w:cs="宋体"/>
                <w:szCs w:val="24"/>
              </w:rPr>
              <w:t>，</w:t>
            </w:r>
            <w:r>
              <w:rPr>
                <w:rFonts w:hint="eastAsia" w:hAnsi="宋体"/>
                <w:bCs/>
                <w:color w:val="000000"/>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270"/>
              <w:spacing w:line="276" w:lineRule="auto"/>
              <w:rPr>
                <w:lang w:val="zh-CN"/>
              </w:rPr>
            </w:pPr>
            <w:r>
              <w:rPr>
                <w:rFonts w:hint="eastAsia"/>
                <w:lang w:val="zh-CN"/>
              </w:rPr>
              <w:t>2.2参照（或相当于）下列品牌：</w:t>
            </w:r>
          </w:p>
          <w:p>
            <w:pPr>
              <w:jc w:val="left"/>
              <w:rPr>
                <w:rFonts w:hint="eastAsia" w:ascii="宋体" w:hAnsi="宋体"/>
                <w:bCs/>
                <w:color w:val="000000"/>
                <w:sz w:val="24"/>
                <w:szCs w:val="24"/>
              </w:rPr>
            </w:pPr>
            <w:r>
              <w:rPr>
                <w:rFonts w:hint="eastAsia" w:ascii="宋体" w:hAnsi="宋体"/>
                <w:bCs/>
                <w:color w:val="000000"/>
                <w:sz w:val="24"/>
                <w:szCs w:val="24"/>
              </w:rPr>
              <w:t>台面钢材生产厂家：上海宝钢、马鞍山钢铁、舞阳钢铁（供货时</w:t>
            </w:r>
            <w:r>
              <w:rPr>
                <w:rFonts w:hint="eastAsia" w:ascii="宋体" w:hAnsi="宋体" w:cs="宋体"/>
                <w:b/>
                <w:sz w:val="24"/>
                <w:szCs w:val="22"/>
              </w:rPr>
              <w:t>提供秤体钢材原产地证明</w:t>
            </w:r>
            <w:r>
              <w:rPr>
                <w:rFonts w:hint="eastAsia" w:ascii="宋体" w:hAnsi="宋体"/>
                <w:bCs/>
                <w:color w:val="000000"/>
                <w:sz w:val="24"/>
                <w:szCs w:val="24"/>
              </w:rPr>
              <w:t>）</w:t>
            </w:r>
          </w:p>
          <w:p>
            <w:pPr>
              <w:jc w:val="left"/>
              <w:rPr>
                <w:rFonts w:hint="eastAsia" w:ascii="宋体" w:hAnsi="宋体"/>
                <w:bCs/>
                <w:color w:val="000000"/>
                <w:sz w:val="24"/>
                <w:szCs w:val="24"/>
              </w:rPr>
            </w:pPr>
            <w:r>
              <w:rPr>
                <w:rFonts w:hint="eastAsia" w:ascii="宋体" w:hAnsi="宋体"/>
                <w:bCs/>
                <w:color w:val="000000"/>
                <w:sz w:val="24"/>
                <w:szCs w:val="24"/>
              </w:rPr>
              <w:t>电脑配置：联想，惠普，戴尔（处理器不低于I5，内存不低于8G）</w:t>
            </w:r>
          </w:p>
          <w:p>
            <w:pPr>
              <w:jc w:val="left"/>
              <w:rPr>
                <w:rFonts w:hint="eastAsia" w:ascii="宋体" w:hAnsi="宋体"/>
                <w:bCs/>
                <w:color w:val="000000"/>
                <w:sz w:val="24"/>
                <w:szCs w:val="24"/>
              </w:rPr>
            </w:pPr>
            <w:r>
              <w:rPr>
                <w:rFonts w:hint="eastAsia" w:ascii="宋体" w:hAnsi="宋体"/>
                <w:bCs/>
                <w:color w:val="000000"/>
                <w:sz w:val="24"/>
                <w:szCs w:val="24"/>
              </w:rPr>
              <w:t>激光打印机：得实，惠普，爱普生</w:t>
            </w:r>
          </w:p>
          <w:p>
            <w:pPr>
              <w:jc w:val="left"/>
              <w:rPr>
                <w:rFonts w:hint="eastAsia" w:ascii="宋体" w:hAnsi="宋体"/>
                <w:bCs/>
                <w:sz w:val="24"/>
                <w:szCs w:val="24"/>
              </w:rPr>
            </w:pPr>
            <w:r>
              <w:rPr>
                <w:rFonts w:hint="eastAsia" w:ascii="宋体" w:hAnsi="宋体"/>
                <w:bCs/>
                <w:sz w:val="24"/>
                <w:szCs w:val="24"/>
              </w:rPr>
              <w:t>传感器:SCHENCK（申克），FLINTEC(富林泰克)，METTLER-TOLEDO(梅特勒-托利多)，HBM。</w:t>
            </w:r>
          </w:p>
          <w:p>
            <w:pPr>
              <w:pStyle w:val="270"/>
              <w:rPr>
                <w:rFonts w:hint="eastAsia"/>
              </w:rPr>
            </w:pPr>
            <w:r>
              <w:rPr>
                <w:rFonts w:hAnsi="宋体" w:cs="宋体"/>
                <w:szCs w:val="24"/>
                <w:lang w:bidi="ar"/>
              </w:rPr>
              <w:t>注：除以上明确的品牌外，欢迎其他在品牌知名度、信誉度、质量、性能、技术指标等方面不低于上述品牌的产品参加，但必须在</w:t>
            </w:r>
            <w:r>
              <w:rPr>
                <w:rFonts w:hAnsi="宋体" w:cs="宋体"/>
                <w:color w:val="FF0000"/>
                <w:szCs w:val="24"/>
                <w:lang w:bidi="ar"/>
              </w:rPr>
              <w:t>开标</w:t>
            </w:r>
            <w:r>
              <w:rPr>
                <w:rFonts w:hAnsi="宋体" w:cs="宋体"/>
                <w:szCs w:val="24"/>
                <w:lang w:bidi="ar"/>
              </w:rPr>
              <w:t>前三天，以书面形式（加盖公章）向</w:t>
            </w:r>
            <w:r>
              <w:rPr>
                <w:rFonts w:hint="eastAsia" w:hAnsi="宋体" w:cs="宋体"/>
                <w:szCs w:val="24"/>
                <w:lang w:bidi="ar"/>
              </w:rPr>
              <w:t>采购人</w:t>
            </w:r>
            <w:r>
              <w:rPr>
                <w:rFonts w:hAnsi="宋体" w:cs="宋体"/>
                <w:szCs w:val="24"/>
                <w:lang w:bidi="ar"/>
              </w:rPr>
              <w:t>提出，并附产品详细技术参数，并证明所投品牌的技术需求和性能与参照品牌同档次或高于参照品牌档次，征得</w:t>
            </w:r>
            <w:r>
              <w:rPr>
                <w:rFonts w:hint="eastAsia" w:hAnsi="宋体" w:cs="宋体"/>
                <w:szCs w:val="24"/>
                <w:lang w:bidi="ar"/>
              </w:rPr>
              <w:t>采购人</w:t>
            </w:r>
            <w:r>
              <w:rPr>
                <w:rFonts w:hAnsi="宋体" w:cs="宋体"/>
                <w:szCs w:val="24"/>
                <w:lang w:bidi="ar"/>
              </w:rPr>
              <w:t>的认可并在答疑中公布后才可参加本次</w:t>
            </w:r>
            <w:r>
              <w:rPr>
                <w:rFonts w:hint="eastAsia" w:hAnsi="宋体" w:cs="宋体"/>
                <w:szCs w:val="24"/>
                <w:lang w:bidi="ar"/>
              </w:rPr>
              <w:t>采购</w:t>
            </w:r>
            <w:r>
              <w:rPr>
                <w:rFonts w:hAnsi="宋体" w:cs="宋体"/>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270"/>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ascii="宋体" w:hAnsi="宋体"/>
                <w:bCs/>
                <w:sz w:val="24"/>
                <w:szCs w:val="24"/>
              </w:rPr>
              <w:t>集中考察或答疑：</w:t>
            </w:r>
            <w:r>
              <w:rPr>
                <w:rFonts w:ascii="宋体" w:hAnsi="宋体"/>
                <w:bCs/>
                <w:sz w:val="24"/>
                <w:szCs w:val="24"/>
              </w:rPr>
              <w:t>无</w:t>
            </w:r>
            <w:r>
              <w:rPr>
                <w:rFonts w:ascii="宋体" w:hAnsi="宋体"/>
                <w:color w:val="000000"/>
                <w:sz w:val="24"/>
                <w:szCs w:val="24"/>
              </w:rPr>
              <w:t xml:space="preserve"> </w:t>
            </w:r>
          </w:p>
          <w:p>
            <w:pPr>
              <w:autoSpaceDE w:val="0"/>
              <w:autoSpaceDN w:val="0"/>
              <w:adjustRightInd w:val="0"/>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4</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hint="eastAsia" w:ascii="宋体" w:hAnsi="宋体"/>
                <w:bCs/>
                <w:sz w:val="24"/>
                <w:szCs w:val="21"/>
              </w:rPr>
            </w:pPr>
            <w:r>
              <w:rPr>
                <w:rFonts w:hint="eastAsia" w:ascii="宋体" w:hAnsi="宋体"/>
                <w:bCs/>
                <w:sz w:val="24"/>
                <w:szCs w:val="21"/>
              </w:rPr>
              <w:t>投标截止时间及开标时间：2021年11月16日9:00</w:t>
            </w:r>
          </w:p>
          <w:p>
            <w:pPr>
              <w:rPr>
                <w:rFonts w:hint="eastAsia" w:ascii="宋体" w:hAnsi="宋体"/>
                <w:bCs/>
                <w:sz w:val="24"/>
                <w:szCs w:val="24"/>
                <w:highlight w:val="yellow"/>
              </w:rPr>
            </w:pPr>
            <w:r>
              <w:rPr>
                <w:rFonts w:hint="eastAsia" w:ascii="宋体" w:hAnsi="宋体"/>
                <w:bCs/>
                <w:sz w:val="24"/>
                <w:szCs w:val="24"/>
                <w:highlight w:val="yellow"/>
                <w:lang w:val="zh-CN"/>
              </w:rPr>
              <w:t>投标地点及开标地点</w:t>
            </w:r>
            <w:r>
              <w:rPr>
                <w:rFonts w:hint="eastAsia" w:ascii="宋体" w:hAnsi="宋体"/>
                <w:bCs/>
                <w:sz w:val="24"/>
                <w:szCs w:val="24"/>
                <w:highlight w:val="yellow"/>
              </w:rPr>
              <w:t>：</w:t>
            </w:r>
            <w:r>
              <w:rPr>
                <w:rFonts w:hint="eastAsia" w:ascii="宋体" w:hAnsi="宋体"/>
                <w:bCs/>
                <w:sz w:val="24"/>
                <w:szCs w:val="24"/>
                <w:highlight w:val="yellow"/>
                <w:lang w:val="zh-CN"/>
              </w:rPr>
              <w:t>供应商须递交符合招标文件要求的电子标书</w:t>
            </w:r>
            <w:r>
              <w:rPr>
                <w:rFonts w:hint="eastAsia" w:ascii="宋体" w:hAnsi="宋体"/>
                <w:bCs/>
                <w:sz w:val="24"/>
                <w:szCs w:val="24"/>
                <w:highlight w:val="yellow"/>
              </w:rPr>
              <w:t>，</w:t>
            </w:r>
            <w:r>
              <w:rPr>
                <w:rFonts w:hint="eastAsia" w:ascii="宋体" w:hAnsi="宋体"/>
                <w:bCs/>
                <w:sz w:val="24"/>
                <w:szCs w:val="24"/>
                <w:highlight w:val="yellow"/>
                <w:lang w:val="zh-CN"/>
              </w:rPr>
              <w:t>于开标前</w:t>
            </w:r>
            <w:r>
              <w:rPr>
                <w:rFonts w:hint="eastAsia" w:ascii="宋体" w:hAnsi="宋体"/>
                <w:bCs/>
                <w:sz w:val="24"/>
                <w:szCs w:val="24"/>
                <w:highlight w:val="yellow"/>
              </w:rPr>
              <w:t>30</w:t>
            </w:r>
            <w:r>
              <w:rPr>
                <w:rFonts w:hint="eastAsia" w:ascii="宋体" w:hAnsi="宋体"/>
                <w:bCs/>
                <w:sz w:val="24"/>
                <w:szCs w:val="24"/>
                <w:highlight w:val="yellow"/>
                <w:lang w:val="zh-CN"/>
              </w:rPr>
              <w:t>分钟发送到指定邮箱</w:t>
            </w:r>
            <w:r>
              <w:rPr>
                <w:rFonts w:hint="eastAsia" w:ascii="宋体" w:hAnsi="宋体"/>
                <w:bCs/>
                <w:sz w:val="24"/>
                <w:szCs w:val="24"/>
                <w:highlight w:val="yellow"/>
              </w:rPr>
              <w:t>，</w:t>
            </w:r>
            <w:r>
              <w:rPr>
                <w:rFonts w:hint="eastAsia" w:ascii="宋体" w:hAnsi="宋体"/>
                <w:bCs/>
                <w:sz w:val="24"/>
                <w:szCs w:val="24"/>
                <w:lang w:val="zh-CN"/>
              </w:rPr>
              <w:t>邮件主题、标题中需标明所投标段名称</w:t>
            </w:r>
            <w:r>
              <w:rPr>
                <w:rFonts w:hint="eastAsia" w:ascii="宋体" w:hAnsi="宋体"/>
                <w:bCs/>
                <w:sz w:val="24"/>
                <w:szCs w:val="24"/>
              </w:rPr>
              <w:t>，</w:t>
            </w:r>
            <w:r>
              <w:rPr>
                <w:rFonts w:hint="eastAsia" w:ascii="宋体" w:hAnsi="宋体"/>
                <w:bCs/>
                <w:sz w:val="24"/>
                <w:szCs w:val="24"/>
                <w:highlight w:val="yellow"/>
                <w:lang w:val="zh-CN"/>
              </w:rPr>
              <w:t>由评委在开标时间截止后现场开启。</w:t>
            </w:r>
            <w:r>
              <w:rPr>
                <w:rFonts w:hint="eastAsia" w:ascii="宋体" w:hAnsi="宋体"/>
                <w:bCs/>
                <w:sz w:val="24"/>
                <w:szCs w:val="24"/>
                <w:highlight w:val="yellow"/>
              </w:rPr>
              <w:t>（</w:t>
            </w:r>
            <w:r>
              <w:rPr>
                <w:rFonts w:hint="eastAsia" w:ascii="宋体" w:hAnsi="宋体"/>
                <w:bCs/>
                <w:sz w:val="24"/>
                <w:szCs w:val="24"/>
                <w:highlight w:val="yellow"/>
                <w:lang w:val="zh-CN"/>
              </w:rPr>
              <w:t>标书必须每页加盖单位公章并由法人签字</w:t>
            </w:r>
            <w:r>
              <w:rPr>
                <w:rFonts w:hint="eastAsia" w:ascii="宋体" w:hAnsi="宋体"/>
                <w:bCs/>
                <w:sz w:val="24"/>
                <w:szCs w:val="24"/>
                <w:highlight w:val="yellow"/>
              </w:rPr>
              <w:t>）</w:t>
            </w:r>
          </w:p>
          <w:p>
            <w:pPr>
              <w:rPr>
                <w:rFonts w:ascii="宋体" w:hAnsi="宋体"/>
                <w:bCs/>
                <w:sz w:val="24"/>
                <w:szCs w:val="21"/>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hint="eastAsia" w:ascii="宋体" w:hAnsi="宋体"/>
                <w:bCs/>
                <w:sz w:val="24"/>
                <w:szCs w:val="21"/>
              </w:rPr>
            </w:pPr>
            <w:r>
              <w:rPr>
                <w:rFonts w:hint="eastAsia" w:ascii="宋体" w:hAnsi="宋体"/>
                <w:bCs/>
                <w:sz w:val="24"/>
                <w:szCs w:val="21"/>
              </w:rPr>
              <w:t>联系人：刘先生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7</w:t>
            </w:r>
          </w:p>
        </w:tc>
        <w:tc>
          <w:tcPr>
            <w:tcW w:w="8962" w:type="dxa"/>
            <w:noWrap w:val="0"/>
            <w:vAlign w:val="top"/>
          </w:tcPr>
          <w:p>
            <w:pPr>
              <w:pStyle w:val="270"/>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叁仟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Ansi="宋体"/>
                      <w:bCs/>
                      <w:szCs w:val="21"/>
                      <w:lang w:val="zh-CN"/>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10010188000011841</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黑体" w:hAnsi="黑体" w:eastAsia="黑体"/>
                <w:bCs/>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6"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宜兴市公用建环资源循环利用有限公司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widowControl/>
        <w:jc w:val="center"/>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jc w:val="center"/>
        <w:rPr>
          <w:rFonts w:hint="eastAsia" w:ascii="黑体" w:hAnsi="黑体" w:eastAsia="黑体"/>
          <w:sz w:val="32"/>
          <w:szCs w:val="32"/>
        </w:rPr>
      </w:pPr>
      <w:r>
        <w:rPr>
          <w:rFonts w:hint="eastAsia" w:ascii="黑体" w:hAnsi="黑体" w:eastAsia="黑体"/>
          <w:sz w:val="32"/>
          <w:szCs w:val="32"/>
        </w:rPr>
        <w:t>二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sz w:val="24"/>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2" w:name="OLE_LINK115"/>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供应商须通过ISO9000系列质量管理体系，ISO14000系列环境管理体系认证，GB/T28001-2011系列职业健康安全管理体系认证，提供扫描件；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项投标人必须按要求全部提供，否则投标无效（因本次项目为不见面开标，需要的原件均为中标后备查，若发现作假行为，按投标虚假响应处理）。</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w:t>
      </w:r>
      <w:r>
        <w:rPr>
          <w:rFonts w:hint="eastAsia" w:ascii="宋体"/>
          <w:sz w:val="24"/>
        </w:rPr>
        <w:t>宜兴市公用建环资源循环利用有限公司</w:t>
      </w:r>
      <w:r>
        <w:rPr>
          <w:rFonts w:hint="eastAsia" w:ascii="宋体" w:hAnsi="宋体"/>
          <w:bCs/>
          <w:sz w:val="24"/>
        </w:rPr>
        <w:t>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pPr>
        <w:spacing w:line="360" w:lineRule="auto"/>
        <w:ind w:firstLine="480" w:firstLineChars="200"/>
        <w:rPr>
          <w:rFonts w:hint="eastAsia" w:ascii="宋体" w:hAnsi="宋体"/>
          <w:bCs/>
          <w:sz w:val="24"/>
          <w:szCs w:val="24"/>
          <w:highlight w:val="yellow"/>
        </w:rPr>
      </w:pPr>
      <w:bookmarkStart w:id="38" w:name="OLE_LINK95"/>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pacing w:line="360" w:lineRule="auto"/>
        <w:ind w:firstLine="482" w:firstLineChars="200"/>
        <w:rPr>
          <w:rFonts w:ascii="宋体" w:hAnsi="宋体"/>
          <w:b/>
          <w:sz w:val="24"/>
        </w:rPr>
      </w:pPr>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w:t>
      </w:r>
      <w:r>
        <w:rPr>
          <w:rFonts w:hint="eastAsia" w:ascii="宋体"/>
          <w:sz w:val="24"/>
        </w:rPr>
        <w:t>宜兴市公用建环资源循环利用有限公司</w:t>
      </w:r>
      <w:r>
        <w:rPr>
          <w:rFonts w:hint="eastAsia" w:ascii="宋体" w:hAnsi="宋体"/>
          <w:bCs/>
          <w:sz w:val="24"/>
        </w:rPr>
        <w:t>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hint="eastAsia" w:ascii="黑体" w:hAnsi="黑体" w:eastAsia="黑体"/>
          <w:sz w:val="32"/>
          <w:szCs w:val="32"/>
        </w:rPr>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376165139"/>
      <w:bookmarkStart w:id="70" w:name="_Toc15017"/>
      <w:bookmarkStart w:id="71" w:name="_Toc372018550"/>
      <w:bookmarkStart w:id="72" w:name="_Toc24341"/>
      <w:bookmarkStart w:id="73" w:name="_Toc372018970"/>
      <w:bookmarkStart w:id="74" w:name="_Toc26921"/>
      <w:bookmarkStart w:id="75" w:name="_Toc374078452"/>
    </w:p>
    <w:p>
      <w:pPr>
        <w:spacing w:line="360" w:lineRule="auto"/>
        <w:ind w:firstLine="480" w:firstLineChars="200"/>
        <w:rPr>
          <w:rFonts w:hint="eastAsia" w:ascii="宋体" w:hAnsi="宋体" w:cs="宋体"/>
          <w:sz w:val="24"/>
          <w:szCs w:val="24"/>
        </w:rPr>
      </w:pPr>
    </w:p>
    <w:p>
      <w:pPr>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ind w:firstLine="480" w:firstLineChars="200"/>
        <w:rPr>
          <w:rFonts w:hint="eastAsia" w:ascii="宋体" w:hAnsi="宋体"/>
          <w:color w:val="000000"/>
          <w:sz w:val="24"/>
          <w:szCs w:val="24"/>
        </w:rPr>
      </w:pPr>
      <w:r>
        <w:rPr>
          <w:rFonts w:hint="eastAsia" w:ascii="宋体" w:hAnsi="宋体"/>
          <w:color w:val="000000"/>
          <w:sz w:val="24"/>
          <w:szCs w:val="24"/>
        </w:rPr>
        <w:t>本项目为</w:t>
      </w:r>
      <w:r>
        <w:rPr>
          <w:rFonts w:hint="eastAsia" w:ascii="宋体"/>
          <w:sz w:val="24"/>
        </w:rPr>
        <w:t>宜兴市公用建环资源循环利用有限公司</w:t>
      </w:r>
      <w:r>
        <w:rPr>
          <w:rFonts w:hint="eastAsia" w:ascii="宋体" w:hAnsi="宋体"/>
          <w:bCs/>
          <w:color w:val="000000"/>
          <w:sz w:val="24"/>
          <w:szCs w:val="24"/>
        </w:rPr>
        <w:t>60吨</w:t>
      </w:r>
      <w:r>
        <w:rPr>
          <w:rFonts w:hint="eastAsia" w:ascii="宋体" w:hAnsi="宋体"/>
          <w:color w:val="000000"/>
          <w:sz w:val="24"/>
          <w:szCs w:val="24"/>
        </w:rPr>
        <w:t>地磅。</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二、技术要求：</w:t>
      </w:r>
    </w:p>
    <w:tbl>
      <w:tblPr>
        <w:tblStyle w:val="75"/>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9"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5316"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1"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p>
        </w:tc>
        <w:tc>
          <w:tcPr>
            <w:tcW w:w="5316"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1、最大称量≥60吨；</w:t>
            </w:r>
          </w:p>
          <w:p>
            <w:pPr>
              <w:rPr>
                <w:rFonts w:hint="eastAsia" w:ascii="仿宋_GB2312" w:eastAsia="仿宋_GB2312"/>
                <w:sz w:val="24"/>
                <w:szCs w:val="32"/>
              </w:rPr>
            </w:pPr>
            <w:r>
              <w:rPr>
                <w:rFonts w:hint="eastAsia" w:ascii="仿宋_GB2312" w:eastAsia="仿宋_GB2312"/>
                <w:sz w:val="24"/>
                <w:szCs w:val="32"/>
              </w:rPr>
              <w:t>2、台面规格（长*宽）12m*3m；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p>
            <w:pPr>
              <w:rPr>
                <w:rFonts w:hint="eastAsia" w:ascii="仿宋_GB2312" w:eastAsia="仿宋_GB2312"/>
                <w:sz w:val="24"/>
                <w:szCs w:val="32"/>
              </w:rPr>
            </w:pPr>
            <w:r>
              <w:rPr>
                <w:rFonts w:hint="eastAsia" w:ascii="仿宋_GB2312" w:eastAsia="仿宋_GB2312"/>
                <w:sz w:val="24"/>
                <w:szCs w:val="32"/>
              </w:rPr>
              <w:t>6、双向道闸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highlight w:val="yellow"/>
              </w:rPr>
              <w:t>双向</w:t>
            </w:r>
            <w:r>
              <w:rPr>
                <w:rFonts w:hint="eastAsia" w:ascii="宋体" w:hAnsi="宋体"/>
                <w:color w:val="000000"/>
                <w:sz w:val="24"/>
                <w:szCs w:val="24"/>
              </w:rPr>
              <w:t>无人值守系统(含控制计算机、打印机)</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p>
        </w:tc>
        <w:tc>
          <w:tcPr>
            <w:tcW w:w="5316" w:type="dxa"/>
            <w:vMerge w:val="continue"/>
            <w:noWrap w:val="0"/>
            <w:vAlign w:val="top"/>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915" w:type="dxa"/>
            <w:noWrap w:val="0"/>
            <w:vAlign w:val="center"/>
          </w:tcPr>
          <w:p>
            <w:pPr>
              <w:jc w:val="center"/>
              <w:rPr>
                <w:rFonts w:ascii="仿宋_GB2312" w:eastAsia="仿宋_GB2312"/>
                <w:sz w:val="28"/>
                <w:szCs w:val="28"/>
              </w:rPr>
            </w:pPr>
            <w:r>
              <w:rPr>
                <w:rFonts w:hint="eastAsia" w:ascii="仿宋_GB2312" w:eastAsia="仿宋_GB2312"/>
                <w:sz w:val="28"/>
                <w:szCs w:val="28"/>
              </w:rPr>
              <w:t>3</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钢制基础</w:t>
            </w:r>
          </w:p>
        </w:tc>
        <w:tc>
          <w:tcPr>
            <w:tcW w:w="1345" w:type="dxa"/>
            <w:noWrap w:val="0"/>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p>
        </w:tc>
        <w:tc>
          <w:tcPr>
            <w:tcW w:w="5316" w:type="dxa"/>
            <w:noWrap w:val="0"/>
            <w:vAlign w:val="top"/>
          </w:tcPr>
          <w:p>
            <w:pPr>
              <w:rPr>
                <w:rFonts w:ascii="仿宋_GB2312" w:eastAsia="仿宋_GB2312"/>
                <w:color w:val="FF0000"/>
                <w:sz w:val="24"/>
                <w:szCs w:val="32"/>
              </w:rPr>
            </w:pPr>
            <w:r>
              <w:rPr>
                <w:rFonts w:hint="eastAsia" w:ascii="仿宋_GB2312" w:eastAsia="仿宋_GB2312"/>
                <w:color w:val="FF0000"/>
                <w:sz w:val="24"/>
                <w:szCs w:val="32"/>
              </w:rPr>
              <w:t>包含地面基础及钢制引坡，引坡面板厚10米，上面焊防滑条，引坡长3米，宽度为3米。高440mm，内有6根8mm加强筋。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地磅迁移（提供专业预埋件）</w:t>
            </w:r>
          </w:p>
        </w:tc>
        <w:tc>
          <w:tcPr>
            <w:tcW w:w="1345" w:type="dxa"/>
            <w:noWrap w:val="0"/>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p>
        </w:tc>
        <w:tc>
          <w:tcPr>
            <w:tcW w:w="5316" w:type="dxa"/>
            <w:noWrap w:val="0"/>
            <w:vAlign w:val="top"/>
          </w:tcPr>
          <w:p>
            <w:pPr>
              <w:rPr>
                <w:rFonts w:hint="eastAsia" w:ascii="仿宋_GB2312" w:eastAsia="仿宋_GB2312"/>
                <w:sz w:val="24"/>
                <w:szCs w:val="32"/>
              </w:rPr>
            </w:pPr>
            <w:r>
              <w:rPr>
                <w:rFonts w:hint="eastAsia" w:ascii="仿宋_GB2312" w:eastAsia="仿宋_GB2312"/>
                <w:color w:val="FF0000"/>
                <w:sz w:val="24"/>
                <w:szCs w:val="32"/>
              </w:rPr>
              <w:t>提供迁移位置的专业预埋件，并且指导土建施工和预埋。负责在得到甲方通知后一周内将本次标的物迁移安装并且计量鉴定。地磅迁移的预埋件指导预埋，土建指导施工、吊装、运输费用、线缆及敷设费用、计量鉴定费用等所有费用均包含在内。</w:t>
            </w:r>
          </w:p>
        </w:tc>
      </w:tr>
    </w:tbl>
    <w:p>
      <w:pPr>
        <w:rPr>
          <w:rFonts w:hint="eastAsia" w:ascii="仿宋_GB2312" w:eastAsia="仿宋_GB2312"/>
          <w:b/>
          <w:color w:val="FF0000"/>
          <w:sz w:val="32"/>
          <w:szCs w:val="32"/>
        </w:rPr>
      </w:pPr>
      <w:r>
        <w:rPr>
          <w:rFonts w:hint="eastAsia" w:ascii="仿宋_GB2312" w:eastAsia="仿宋_GB2312"/>
          <w:b/>
          <w:sz w:val="32"/>
          <w:szCs w:val="32"/>
        </w:rPr>
        <w:t>注：本次采购地磅包含</w:t>
      </w:r>
      <w:r>
        <w:rPr>
          <w:rFonts w:hint="eastAsia" w:ascii="仿宋_GB2312" w:eastAsia="仿宋_GB2312"/>
          <w:b/>
          <w:color w:val="FF0000"/>
          <w:sz w:val="32"/>
          <w:szCs w:val="32"/>
        </w:rPr>
        <w:t>首次安装地面基础、预埋件等内容。供应商在响应文件中需提供专业清单及图纸。</w:t>
      </w:r>
    </w:p>
    <w:p>
      <w:pPr>
        <w:rPr>
          <w:rFonts w:hint="eastAsia" w:ascii="仿宋_GB2312" w:eastAsia="仿宋_GB2312"/>
          <w:b/>
          <w:sz w:val="32"/>
          <w:szCs w:val="32"/>
        </w:rPr>
      </w:pPr>
      <w:r>
        <w:rPr>
          <w:rFonts w:hint="eastAsia" w:ascii="仿宋_GB2312" w:eastAsia="仿宋_GB2312"/>
          <w:b/>
          <w:sz w:val="32"/>
          <w:szCs w:val="32"/>
        </w:rPr>
        <w:t xml:space="preserve">    二、系统功能要求：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1、称重计量系统采用</w:t>
      </w:r>
      <w:r>
        <w:rPr>
          <w:rFonts w:hint="eastAsia" w:ascii="宋体" w:hAnsi="宋体"/>
          <w:color w:val="000000"/>
          <w:sz w:val="24"/>
          <w:szCs w:val="24"/>
          <w:highlight w:val="yellow"/>
        </w:rPr>
        <w:t>双向</w:t>
      </w:r>
      <w:r>
        <w:rPr>
          <w:rFonts w:hint="eastAsia" w:ascii="宋体" w:hAnsi="宋体"/>
          <w:color w:val="000000"/>
          <w:sz w:val="24"/>
          <w:szCs w:val="24"/>
        </w:rPr>
        <w:t>静态电子汽车衡，对进出站垃圾收集车辆进行称重。</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2、静态电子汽车衡由视频监控子系统、语音提示子系统、红外卡位系统、汽车衡称重子系统和车号识别子系统、道阀控制子系统等组成。</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自动化：采用射频卡感应车辆过磅，称重系统便可收集识别收集车的车号、自重、单位，并称出重量，将以上信息及过称时间等信息记录到数据库中，以便进行数据汇总、统计、查询和比较分析，形成各种报表。</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4、网络化：可与转运站监控系统联网，用以整个转运站的统一调度；还可其他设备单独远传联网，将数据信息远程传送给管理中心。</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5、数据输出：配备打印机，可随时打印日期，车号和称重数据。</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6、设备工作流程</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车辆智能称重系统工作流程</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（1）初始状态：秤前道闸关闭状态；</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（2）进场车辆驶过读卡器前面地感线圈后，读卡器开启并开始自动读取卡号；读卡成功，秤前道闸抬起；如果读卡失败，秤前道闸不动作，系统转入手工处理状态；</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（3）车辆驶上秤台，系统自动抓拍图片保存；</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（4）车辆停5秒通过秤台，系统检测到车辆下秤信号，系统自动采集毛重数据并保存于临时库中后，秤台后的道闸抬起，车辆通过秤台后的道闸的地感线圈后，秤台后的道闸放下，系统回到初始状态。</w:t>
      </w:r>
    </w:p>
    <w:p>
      <w:pPr>
        <w:rPr>
          <w:rFonts w:hint="eastAsia" w:ascii="仿宋_GB2312" w:eastAsia="仿宋_GB2312"/>
          <w:b/>
          <w:sz w:val="32"/>
          <w:szCs w:val="32"/>
        </w:rPr>
      </w:pPr>
      <w:r>
        <w:rPr>
          <w:rFonts w:hint="eastAsia" w:ascii="仿宋_GB2312" w:eastAsia="仿宋_GB2312"/>
          <w:b/>
          <w:sz w:val="32"/>
          <w:szCs w:val="32"/>
        </w:rPr>
        <w:t xml:space="preserve">    三、相关要求：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1、基础形式：本次采购包含地面等内容，请供应商将相关成本纳入响应文件的报价中，成交后基坑位置需由采购人指定，</w:t>
      </w:r>
      <w:r>
        <w:rPr>
          <w:rFonts w:hint="eastAsia" w:ascii="宋体" w:hAnsi="宋体"/>
          <w:sz w:val="24"/>
          <w:szCs w:val="24"/>
        </w:rPr>
        <w:t>提交响应文件截止时间前</w:t>
      </w:r>
      <w:r>
        <w:rPr>
          <w:rFonts w:hint="eastAsia" w:ascii="宋体" w:hAnsi="宋体"/>
          <w:color w:val="000000"/>
          <w:sz w:val="24"/>
          <w:szCs w:val="24"/>
        </w:rPr>
        <w:t>供应商应联系采购人安排现场踏勘了解安装地点，响应文件中需提供完全响应采购人安装地点要求，并已将基础等费用核算在报价内的承诺书。</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2、供应商严格按照国家有关标准及招标方要求制造，提供全套确保正常运行的设备及随机备件。</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3、供应商负责设备的现场安装及调试，确保设备正常运行并达到设计要求。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4、确保称体的强度和刚度。</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5、整个系统要求称量迅速准确、操作使用方便、安装维护简单。</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6、钢结构称台要求整体刚度、抗扭性能等达到相关规定并满足使用要求，整机质量稳定可靠，称体强度高、稳定性好。</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7、汽车衡称体安全限位性能强，称体限位方式要便于观察和调整限位，要求维护方便。</w:t>
      </w:r>
    </w:p>
    <w:p>
      <w:pPr>
        <w:spacing w:line="360" w:lineRule="auto"/>
        <w:ind w:left="479" w:leftChars="228"/>
        <w:rPr>
          <w:rFonts w:hint="eastAsia" w:ascii="宋体" w:hAnsi="宋体"/>
          <w:color w:val="000000"/>
          <w:sz w:val="24"/>
          <w:szCs w:val="24"/>
        </w:rPr>
      </w:pPr>
      <w:r>
        <w:rPr>
          <w:rFonts w:hint="eastAsia" w:ascii="宋体" w:hAnsi="宋体"/>
          <w:color w:val="000000"/>
          <w:sz w:val="24"/>
          <w:szCs w:val="24"/>
        </w:rPr>
        <w:t>8、汽车衡称体承重主梁采用U形梁结构，数量不少于7根；且有横向筋板和底板加固。9、称体整体刚性应优于1/1200以满足高频次和重载的使用，满足高精度的计量要求。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10、称体强度应不小于2.5.钢材预处理：所有钢材在焊前应进行喷丸处理，去除表面氧化皮衣确保焊接质量。焊后称体模块整体抛丸。消除焊接内应力，去除氧化皮，提高油漆附着力。（设备生产过程中需提供照片证明，采购人将视情况安排生产现场查看）</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11、供应商提供的称重管理软件需保证功能齐全、能满足采购人使用要求，同时操作简单。</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12、无人值守系统中配套电脑与打印机。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电脑配置要求：处理器不低于I5，内存不低于8G，品牌联想，惠普，戴尔。</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激光打印机要求：</w:t>
      </w:r>
      <w:r>
        <w:rPr>
          <w:rFonts w:hint="eastAsia" w:ascii="宋体" w:hAnsi="宋体"/>
          <w:bCs/>
          <w:sz w:val="24"/>
          <w:szCs w:val="24"/>
        </w:rPr>
        <w:t>得实，惠普，爱普生</w:t>
      </w:r>
      <w:r>
        <w:rPr>
          <w:rFonts w:hint="eastAsia" w:ascii="宋体" w:hAnsi="宋体"/>
          <w:color w:val="000000"/>
          <w:sz w:val="24"/>
          <w:szCs w:val="24"/>
        </w:rPr>
        <w:t>。</w:t>
      </w:r>
    </w:p>
    <w:p>
      <w:pPr>
        <w:rPr>
          <w:rFonts w:hint="eastAsia" w:ascii="仿宋_GB2312" w:eastAsia="仿宋_GB2312"/>
          <w:b/>
          <w:sz w:val="32"/>
          <w:szCs w:val="32"/>
        </w:rPr>
      </w:pPr>
      <w:r>
        <w:rPr>
          <w:rFonts w:hint="eastAsia" w:ascii="仿宋_GB2312" w:eastAsia="仿宋_GB2312"/>
          <w:b/>
          <w:sz w:val="32"/>
          <w:szCs w:val="32"/>
        </w:rPr>
        <w:t xml:space="preserve">   四、技术指标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1、称台技术指标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1.1汽车衡承重台台面设计应为一个整体平面，表面不留有开槽及开孔。称重传感器安装于承重台下部，安装维修方便。承重台下部应留有较大空间，基础两侧设有污水排放沟，便于污水流出，便于清理。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1.2承重台材料选用优质型钢及板材，其化学成分和力学性能符合GB700-2006《普通碳素结构钢技术条件》的规定，除锈达到GB8923.1-2011《涂装前钢材表面锈蚀等级和除锈等级》</w:t>
      </w:r>
      <w:r>
        <w:rPr>
          <w:rFonts w:ascii="宋体" w:hAnsi="宋体"/>
          <w:color w:val="000000"/>
          <w:sz w:val="24"/>
          <w:szCs w:val="24"/>
        </w:rPr>
        <w:t>Sa</w:t>
      </w:r>
      <w:r>
        <w:rPr>
          <w:rFonts w:hint="eastAsia" w:ascii="宋体" w:hAnsi="宋体"/>
          <w:color w:val="000000"/>
          <w:sz w:val="24"/>
          <w:szCs w:val="24"/>
        </w:rPr>
        <w:t>2.5级。所有材料预处理后喷涂一层环氧富锌底漆，整机鉴定完毕后再涂覆一层环氧富锌底漆和三层钢结构系列氟碳面漆。总漆膜厚度不小于140μm，同种油漆色差不超过一个色差。台面钢材生产厂家：上海宝钢、马鞍山钢铁、舞阳钢铁等同档次品牌。</w:t>
      </w:r>
      <w:r>
        <w:rPr>
          <w:rFonts w:hint="eastAsia" w:ascii="宋体" w:hAnsi="宋体" w:cs="宋体"/>
          <w:b/>
          <w:sz w:val="24"/>
          <w:szCs w:val="22"/>
        </w:rPr>
        <w:t>（供货时提供秤体钢材原产地证明</w:t>
      </w:r>
      <w:r>
        <w:rPr>
          <w:rFonts w:hint="eastAsia" w:ascii="宋体" w:hAnsi="宋体"/>
          <w:color w:val="000000"/>
          <w:sz w:val="24"/>
          <w:szCs w:val="24"/>
        </w:rPr>
        <w:t>）</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1.3汽车衡承重台的设计要进行称体刚度、强度受力分析计算，保证承重台受力合理，具有良好的钢度、强度、承重台的最大安全荷载额为130%最大称量。 并通过百万次疲劳试验(供货时提供省级及以上第三方检测单位检测报告证明)。</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1.4称台工作环境温度-40℃-+55℃</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1.5</w:t>
      </w:r>
    </w:p>
    <w:p>
      <w:pPr>
        <w:tabs>
          <w:tab w:val="left" w:pos="5400"/>
        </w:tabs>
        <w:adjustRightInd w:val="0"/>
        <w:spacing w:line="360" w:lineRule="auto"/>
        <w:jc w:val="center"/>
        <w:textAlignment w:val="baseline"/>
        <w:rPr>
          <w:kern w:val="0"/>
          <w:sz w:val="24"/>
          <w:szCs w:val="24"/>
        </w:rPr>
      </w:pPr>
      <w:r>
        <w:rPr>
          <w:kern w:val="0"/>
          <w:sz w:val="24"/>
          <w:szCs w:val="24"/>
        </w:rPr>
        <w:t>金属防腐氟碳涂料技术指标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项目</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指标</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耐人工老化</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5000小时无粉化、无龟裂</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1865-2009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附着力</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一级</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1720-1979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铅笔硬度</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2H-3H</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耐刷洗性</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12000次漆膜无破损</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柔韧性</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1mm</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耐冲击强度</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50</w:t>
            </w:r>
            <w:r>
              <w:rPr>
                <w:rFonts w:hint="eastAsia"/>
                <w:kern w:val="0"/>
                <w:sz w:val="24"/>
                <w:szCs w:val="24"/>
              </w:rPr>
              <w:t>kg</w:t>
            </w:r>
            <w:r>
              <w:rPr>
                <w:kern w:val="0"/>
                <w:sz w:val="24"/>
                <w:szCs w:val="24"/>
              </w:rPr>
              <w:t>/cm</w:t>
            </w:r>
            <w:r>
              <w:rPr>
                <w:kern w:val="0"/>
                <w:sz w:val="24"/>
                <w:szCs w:val="24"/>
                <w:vertAlign w:val="superscript"/>
              </w:rPr>
              <w:t>2</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涂膜耐冻融性</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20次不起泡、不剥落、无裂纹</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耐水性</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288小时，不起泡、不脱落</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耐酸雾实验</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2000小时，漆膜不起泡，不脱落</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1732-1991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耐化学药品性</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10%硫酸、10%氢氧化钠、10%氨水、甲苯浸泡14天，漆膜无变化</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使用温度</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-40OC-140OC可正常使用</w:t>
            </w:r>
          </w:p>
        </w:tc>
        <w:tc>
          <w:tcPr>
            <w:tcW w:w="2160" w:type="dxa"/>
            <w:noWrap w:val="0"/>
            <w:vAlign w:val="center"/>
          </w:tcPr>
          <w:p>
            <w:pPr>
              <w:adjustRightInd w:val="0"/>
              <w:snapToGrid w:val="0"/>
              <w:spacing w:line="360" w:lineRule="auto"/>
              <w:jc w:val="center"/>
              <w:textAlignment w:val="baseline"/>
              <w:rPr>
                <w:kern w:val="0"/>
                <w:sz w:val="24"/>
                <w:szCs w:val="24"/>
              </w:rPr>
            </w:pPr>
            <w:r>
              <w:rPr>
                <w:kern w:val="0"/>
                <w:sz w:val="24"/>
                <w:szCs w:val="24"/>
              </w:rPr>
              <w:t>GB/T 1735-2009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spacing w:line="360" w:lineRule="auto"/>
              <w:jc w:val="center"/>
              <w:textAlignment w:val="baseline"/>
              <w:rPr>
                <w:kern w:val="0"/>
                <w:sz w:val="24"/>
                <w:szCs w:val="24"/>
              </w:rPr>
            </w:pPr>
            <w:r>
              <w:rPr>
                <w:kern w:val="0"/>
                <w:sz w:val="24"/>
                <w:szCs w:val="24"/>
              </w:rPr>
              <w:t>符合指标</w:t>
            </w:r>
          </w:p>
        </w:tc>
        <w:tc>
          <w:tcPr>
            <w:tcW w:w="4140" w:type="dxa"/>
            <w:noWrap w:val="0"/>
            <w:vAlign w:val="center"/>
          </w:tcPr>
          <w:p>
            <w:pPr>
              <w:adjustRightInd w:val="0"/>
              <w:snapToGrid w:val="0"/>
              <w:spacing w:line="360" w:lineRule="auto"/>
              <w:jc w:val="center"/>
              <w:textAlignment w:val="baseline"/>
              <w:rPr>
                <w:kern w:val="0"/>
                <w:sz w:val="24"/>
                <w:szCs w:val="24"/>
              </w:rPr>
            </w:pPr>
            <w:r>
              <w:rPr>
                <w:kern w:val="0"/>
                <w:sz w:val="24"/>
                <w:szCs w:val="24"/>
              </w:rPr>
              <w:t>Q/DF.J.01-1997</w:t>
            </w:r>
          </w:p>
        </w:tc>
        <w:tc>
          <w:tcPr>
            <w:tcW w:w="2160" w:type="dxa"/>
            <w:noWrap w:val="0"/>
            <w:vAlign w:val="center"/>
          </w:tcPr>
          <w:p>
            <w:pPr>
              <w:adjustRightInd w:val="0"/>
              <w:snapToGrid w:val="0"/>
              <w:spacing w:line="360" w:lineRule="auto"/>
              <w:jc w:val="center"/>
              <w:textAlignment w:val="baseline"/>
              <w:rPr>
                <w:kern w:val="0"/>
                <w:sz w:val="24"/>
                <w:szCs w:val="24"/>
              </w:rPr>
            </w:pPr>
          </w:p>
        </w:tc>
      </w:tr>
    </w:tbl>
    <w:p>
      <w:pPr>
        <w:rPr>
          <w:rFonts w:hint="eastAsia" w:ascii="仿宋_GB2312" w:eastAsia="仿宋_GB2312"/>
          <w:sz w:val="32"/>
          <w:szCs w:val="32"/>
        </w:rPr>
      </w:pPr>
    </w:p>
    <w:p>
      <w:pPr>
        <w:rPr>
          <w:rFonts w:hint="eastAsia" w:ascii="仿宋_GB2312" w:eastAsia="仿宋_GB2312"/>
          <w:b/>
          <w:sz w:val="32"/>
          <w:szCs w:val="32"/>
        </w:rPr>
      </w:pPr>
      <w:r>
        <w:rPr>
          <w:rFonts w:hint="eastAsia" w:ascii="仿宋_GB2312" w:eastAsia="仿宋_GB2312"/>
          <w:b/>
          <w:sz w:val="32"/>
          <w:szCs w:val="32"/>
        </w:rPr>
        <w:t>2、传感器技术指标：</w:t>
      </w:r>
    </w:p>
    <w:p>
      <w:pPr>
        <w:rPr>
          <w:rFonts w:hint="eastAsia" w:ascii="仿宋_GB2312" w:eastAsia="仿宋_GB2312"/>
          <w:b/>
          <w:sz w:val="32"/>
          <w:szCs w:val="32"/>
        </w:rPr>
      </w:pPr>
      <w:r>
        <w:rPr>
          <w:rFonts w:hint="eastAsia" w:ascii="仿宋_GB2312" w:eastAsia="仿宋_GB2312"/>
          <w:b/>
          <w:sz w:val="32"/>
          <w:szCs w:val="32"/>
        </w:rPr>
        <w:t>2.1相关技术指标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传感器规格型号</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制造厂家</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SCHENCK（申克），FLINTEC(富林泰克)，METTLER-TOLEDO(梅特勒-托利多)，HBM</w:t>
            </w:r>
          </w:p>
          <w:p>
            <w:pPr>
              <w:spacing w:line="360" w:lineRule="auto"/>
              <w:ind w:firstLine="482" w:firstLineChars="200"/>
              <w:jc w:val="center"/>
              <w:rPr>
                <w:rFonts w:hint="eastAsia" w:ascii="宋体" w:hAnsi="宋体"/>
                <w:color w:val="000000"/>
                <w:sz w:val="24"/>
                <w:szCs w:val="24"/>
              </w:rPr>
            </w:pPr>
            <w:r>
              <w:rPr>
                <w:rFonts w:hint="eastAsia" w:ascii="宋体" w:hAnsi="宋体" w:cs="宋体"/>
                <w:b/>
                <w:sz w:val="24"/>
                <w:szCs w:val="22"/>
              </w:rPr>
              <w:t>供货时提供进口报关单证明</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数量</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≥6只/套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准确等级</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OIML R60 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工作温度范围（℃）</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-40到55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通讯接口</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RS 485/4线制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防护等级</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传感器材质</w:t>
            </w:r>
          </w:p>
        </w:tc>
        <w:tc>
          <w:tcPr>
            <w:tcW w:w="4261" w:type="dxa"/>
            <w:noWrap w:val="0"/>
            <w:vAlign w:val="center"/>
          </w:tcPr>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不锈钢</w:t>
            </w:r>
          </w:p>
        </w:tc>
      </w:tr>
    </w:tbl>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2.2、传感器需通过百万次疲劳试验</w:t>
      </w:r>
      <w:r>
        <w:rPr>
          <w:rFonts w:hint="eastAsia" w:ascii="宋体" w:hAnsi="宋体" w:cs="宋体"/>
          <w:b/>
          <w:sz w:val="24"/>
          <w:szCs w:val="22"/>
        </w:rPr>
        <w:t>(提供省级及以上第三方检测单位检测报告证明，</w:t>
      </w:r>
      <w:r>
        <w:rPr>
          <w:rFonts w:hint="eastAsia" w:ascii="宋体" w:hAnsi="宋体" w:cs="宋体"/>
          <w:b/>
          <w:sz w:val="24"/>
        </w:rPr>
        <w:t>原件或公证</w:t>
      </w:r>
      <w:r>
        <w:rPr>
          <w:rFonts w:hint="eastAsia" w:ascii="宋体" w:hAnsi="宋体" w:cs="宋体"/>
          <w:b/>
          <w:sz w:val="24"/>
          <w:szCs w:val="22"/>
        </w:rPr>
        <w:t>件提交响应文件截止时间前一并</w:t>
      </w:r>
      <w:r>
        <w:rPr>
          <w:rFonts w:hint="eastAsia" w:ascii="宋体" w:hAnsi="宋体" w:cs="宋体"/>
          <w:b/>
          <w:sz w:val="24"/>
        </w:rPr>
        <w:t>递交，否则询价小组不予认可。</w:t>
      </w:r>
      <w:r>
        <w:rPr>
          <w:rFonts w:hint="eastAsia" w:ascii="宋体" w:hAnsi="宋体"/>
          <w:color w:val="000000"/>
          <w:sz w:val="24"/>
          <w:szCs w:val="24"/>
        </w:rPr>
        <w:t>)</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3、电子称重仪表技术指标：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3.1工作环境温度-20℃-+60℃.</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3.2具有良好的人机对话界面，功能齐全，性能稳定。抗干扰试验符合IEC61000-4：1995的有关规定，称重显示仪表符合GB7724-2008《电子称重仪表》中相关要求.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 仪表防护等级IP65以上</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4、图像抓拍与视频监控子系统</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每个称重现场配置2个摄像头（要求300万像素，数字高清），分别安放在电子汽车衡前后两端，监视相关计量区域，摄像机安放在电子汽车衡的前端，可监视驾驶室人员上下车情况，摄像机安放在电子汽车衡的后端，可监视汽车在电子汽车衡前后两端是否有压边、靠边等情况。</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监控系统配置硬盘录像机具有RJ45网络接口，可通过该接口连接监控网络，实现网络监控等功能。</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配置硬盘录像机可实现以下功能：</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录像：</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定时录像、手动录像、移动侦测录像等多种录像方式。</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硬盘上文件可以选择循环记录和非循环记录。</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U</w:t>
      </w:r>
      <w:r>
        <w:rPr>
          <w:rFonts w:hint="eastAsia" w:ascii="宋体" w:hAnsi="宋体"/>
          <w:color w:val="000000"/>
          <w:sz w:val="24"/>
          <w:szCs w:val="24"/>
        </w:rPr>
        <w:t>盘、</w:t>
      </w:r>
      <w:r>
        <w:rPr>
          <w:rFonts w:ascii="宋体" w:hAnsi="宋体"/>
          <w:color w:val="000000"/>
          <w:sz w:val="24"/>
          <w:szCs w:val="24"/>
        </w:rPr>
        <w:t>USB</w:t>
      </w:r>
      <w:r>
        <w:rPr>
          <w:rFonts w:hint="eastAsia" w:ascii="宋体" w:hAnsi="宋体"/>
          <w:color w:val="000000"/>
          <w:sz w:val="24"/>
          <w:szCs w:val="24"/>
        </w:rPr>
        <w:t>硬盘、</w:t>
      </w:r>
      <w:r>
        <w:rPr>
          <w:rFonts w:ascii="宋体" w:hAnsi="宋体"/>
          <w:color w:val="000000"/>
          <w:sz w:val="24"/>
          <w:szCs w:val="24"/>
        </w:rPr>
        <w:t>USB CDRW</w:t>
      </w:r>
      <w:r>
        <w:rPr>
          <w:rFonts w:hint="eastAsia" w:ascii="宋体" w:hAnsi="宋体"/>
          <w:color w:val="000000"/>
          <w:sz w:val="24"/>
          <w:szCs w:val="24"/>
        </w:rPr>
        <w:t>及</w:t>
      </w:r>
      <w:r>
        <w:rPr>
          <w:rFonts w:ascii="宋体" w:hAnsi="宋体"/>
          <w:color w:val="000000"/>
          <w:sz w:val="24"/>
          <w:szCs w:val="24"/>
        </w:rPr>
        <w:t>IDE CDRW</w:t>
      </w:r>
      <w:r>
        <w:rPr>
          <w:rFonts w:hint="eastAsia" w:ascii="宋体" w:hAnsi="宋体"/>
          <w:color w:val="000000"/>
          <w:sz w:val="24"/>
          <w:szCs w:val="24"/>
        </w:rPr>
        <w:t>备份设备。</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预览与回放</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支持监视器或</w:t>
      </w:r>
      <w:r>
        <w:rPr>
          <w:rFonts w:ascii="宋体" w:hAnsi="宋体"/>
          <w:color w:val="000000"/>
          <w:sz w:val="24"/>
          <w:szCs w:val="24"/>
        </w:rPr>
        <w:t>VGA</w:t>
      </w:r>
      <w:r>
        <w:rPr>
          <w:rFonts w:hint="eastAsia" w:ascii="宋体" w:hAnsi="宋体"/>
          <w:color w:val="000000"/>
          <w:sz w:val="24"/>
          <w:szCs w:val="24"/>
        </w:rPr>
        <w:t>输出连接。</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支持图像局部遮盖。</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支持快放、慢放、单帧等回放模式，按录像类型、按时间进行检索。</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网络功能</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TCP/IP</w:t>
      </w:r>
      <w:r>
        <w:rPr>
          <w:rFonts w:hint="eastAsia" w:ascii="宋体" w:hAnsi="宋体"/>
          <w:color w:val="000000"/>
          <w:sz w:val="24"/>
          <w:szCs w:val="24"/>
        </w:rPr>
        <w:t>协议。</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可通过网络下载网络硬盘录像机上的录像文件，也可通过网络远程回放网络硬盘录像机上记录的录像文件。</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具备</w:t>
      </w:r>
      <w:r>
        <w:rPr>
          <w:rFonts w:ascii="宋体" w:hAnsi="宋体"/>
          <w:color w:val="000000"/>
          <w:sz w:val="24"/>
          <w:szCs w:val="24"/>
        </w:rPr>
        <w:t>WEB SERVER</w:t>
      </w:r>
      <w:r>
        <w:rPr>
          <w:rFonts w:hint="eastAsia" w:ascii="宋体" w:hAnsi="宋体"/>
          <w:color w:val="000000"/>
          <w:sz w:val="24"/>
          <w:szCs w:val="24"/>
        </w:rPr>
        <w:t>功能，可通过浏览器访问网络硬盘录像机。</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提供日志（操作日志、报警日志、系统日志）记录与查询。</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rPr>
        <w:t></w:t>
      </w:r>
      <w:r>
        <w:rPr>
          <w:rFonts w:ascii="宋体" w:hAnsi="宋体"/>
          <w:color w:val="000000"/>
          <w:sz w:val="24"/>
          <w:szCs w:val="24"/>
        </w:rPr>
        <w:tab/>
      </w:r>
      <w:r>
        <w:rPr>
          <w:rFonts w:hint="eastAsia" w:ascii="宋体" w:hAnsi="宋体"/>
          <w:color w:val="000000"/>
          <w:sz w:val="24"/>
          <w:szCs w:val="24"/>
        </w:rPr>
        <w:t>硬盘数据储存至少应满足半年的时间要求。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在称重软件界面上既能实时显示汽车衡称重过程的画面，又能抓拍读取称重数据瞬间的即时图像并保存到硬盘，实现称重数据和图像同步存储。该功能与称重软件紧密集成，图片数据和称重数据存储在本地同一数据库中，可实现历史称重数据和图片的共同关联调用，查询某一过磅车辆的历史信息时，图片和数据一一对应。</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四、交货期、地点</w:t>
      </w:r>
    </w:p>
    <w:p>
      <w:pPr>
        <w:pStyle w:val="516"/>
        <w:spacing w:line="380" w:lineRule="exact"/>
        <w:ind w:firstLine="490"/>
        <w:rPr>
          <w:rFonts w:hint="eastAsia" w:ascii="宋体" w:hAnsi="宋体"/>
          <w:color w:val="000000"/>
          <w:sz w:val="24"/>
        </w:rPr>
      </w:pPr>
      <w:r>
        <w:rPr>
          <w:rFonts w:hint="eastAsia" w:ascii="宋体" w:hAnsi="宋体"/>
          <w:color w:val="000000"/>
          <w:sz w:val="24"/>
        </w:rPr>
        <w:t>1.交货时间：因工程项目紧急，中标人需在中标结果确定后20日内将</w:t>
      </w:r>
      <w:r>
        <w:rPr>
          <w:rFonts w:hint="eastAsia" w:ascii="宋体" w:hAnsi="宋体" w:cs="宋体"/>
          <w:sz w:val="24"/>
          <w:szCs w:val="22"/>
        </w:rPr>
        <w:t>本次采购的地磅等设备安装调试完毕。否则按违约处理，合同取消，履约保证金扣除。</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2、交货地点：甲方指定地点。</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五、售后服务</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1、质保期内，成交供应商在接到售后通知后，应在1小时内响应，并在1个工作日内负责修复到位。</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2、本项目质保期为一年，从设备移机完成调试验收合格之日起算起。</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六、付款方式</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（1）设备送抵需方指定的施工现场并完成设备的安装调试运行正常，并经供需双方检查合格后签署设备运行验收单，供方须于当月25日前开具所供货物的全额税务发票，需方在30天内支付发票金额的80%货款；</w:t>
      </w:r>
    </w:p>
    <w:p>
      <w:pPr>
        <w:spacing w:line="360" w:lineRule="auto"/>
        <w:ind w:firstLine="480" w:firstLineChars="200"/>
        <w:rPr>
          <w:rFonts w:hint="eastAsia" w:ascii="宋体" w:hAnsi="宋体" w:cs="宋体"/>
          <w:kern w:val="0"/>
          <w:sz w:val="24"/>
        </w:rPr>
      </w:pPr>
      <w:r>
        <w:rPr>
          <w:rFonts w:hint="eastAsia" w:ascii="宋体" w:hAnsi="宋体"/>
          <w:color w:val="000000"/>
          <w:sz w:val="24"/>
          <w:szCs w:val="24"/>
        </w:rPr>
        <w:t>（2）</w:t>
      </w:r>
      <w:r>
        <w:rPr>
          <w:rFonts w:ascii="宋体" w:hAnsi="宋体" w:cs="宋体"/>
          <w:kern w:val="0"/>
          <w:sz w:val="24"/>
        </w:rPr>
        <w:t>设备移机</w:t>
      </w:r>
      <w:r>
        <w:rPr>
          <w:rFonts w:hint="eastAsia" w:ascii="宋体" w:hAnsi="宋体"/>
          <w:color w:val="000000"/>
          <w:sz w:val="24"/>
          <w:szCs w:val="24"/>
        </w:rPr>
        <w:t>后并完成设备的安装调试运行</w:t>
      </w:r>
      <w:r>
        <w:rPr>
          <w:rFonts w:ascii="宋体" w:hAnsi="宋体" w:cs="宋体"/>
          <w:kern w:val="0"/>
          <w:sz w:val="24"/>
        </w:rPr>
        <w:t>，设备运行良好</w:t>
      </w:r>
      <w:r>
        <w:rPr>
          <w:rFonts w:hint="eastAsia" w:ascii="宋体" w:hAnsi="宋体"/>
          <w:color w:val="000000"/>
          <w:sz w:val="24"/>
          <w:szCs w:val="24"/>
        </w:rPr>
        <w:t>，经供需双方检查合格后签署设备移机运行验收单</w:t>
      </w:r>
      <w:r>
        <w:rPr>
          <w:rFonts w:ascii="宋体" w:hAnsi="宋体" w:cs="宋体"/>
          <w:kern w:val="0"/>
          <w:sz w:val="24"/>
        </w:rPr>
        <w:t>并完成所供货物的结算审计后30天内支付所供货物发票金额的</w:t>
      </w:r>
      <w:r>
        <w:rPr>
          <w:rFonts w:hint="eastAsia" w:ascii="宋体" w:hAnsi="宋体" w:cs="宋体"/>
          <w:kern w:val="0"/>
          <w:sz w:val="24"/>
        </w:rPr>
        <w:t>10</w:t>
      </w:r>
      <w:r>
        <w:rPr>
          <w:rFonts w:ascii="宋体" w:hAnsi="宋体" w:cs="宋体"/>
          <w:kern w:val="0"/>
          <w:sz w:val="24"/>
        </w:rPr>
        <w:t>%；</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质保期（本项目质保期为一年，从设备移机完成调试验收合格之日起算起）满并完成所供货物的结算审计后，提供符合标书要求的售后服务巡检记录，完成所供货物结算抽复审计后30天内支付所供货物发票金额的10%</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（由于财政结算等流程设计问题，特殊情况结算会滞后）</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highlight w:val="yellow"/>
          <w:u w:val="none" w:color="000000"/>
        </w:rPr>
        <w:t>1、 成交供应商逾期无法在规定时间内完成货物安装调试的视为乙方不履行合同。采购人有权终止合同，扣除履约保证金，并在3年内不得参与甲方组织的招投标活动。投标人在履约过程中产生的一切费用由投标人自行承担，甲方不再支付。</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ind w:firstLine="643" w:firstLineChars="200"/>
        <w:rPr>
          <w:rFonts w:hint="eastAsia" w:ascii="黑体" w:hAnsi="黑体" w:eastAsia="黑体"/>
          <w:b/>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outlineLvl w:val="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sz w:val="24"/>
        </w:rPr>
        <w:t>宜兴市公用建环资源循环利用有限公司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ascii="宋体" w:hAnsi="宋体" w:cs="宋体"/>
          <w:bCs/>
          <w:sz w:val="24"/>
          <w:szCs w:val="24"/>
        </w:rPr>
        <w:t xml:space="preserve"> </w:t>
      </w:r>
      <w:r>
        <w:rPr>
          <w:rFonts w:hint="eastAsia" w:ascii="宋体" w:hAnsi="宋体"/>
          <w:sz w:val="24"/>
          <w:szCs w:val="24"/>
        </w:rPr>
        <w:t>根据需方要求。</w:t>
      </w:r>
    </w:p>
    <w:p>
      <w:pPr>
        <w:pStyle w:val="262"/>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62"/>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已全部考虑了包括所有服务、安装、调试、人力、机械、运输、仓储、各种税费、劳保、专利技术、质保、政策性文件规定及合同包含的所有风险、责任等各项所有费用。</w:t>
      </w:r>
    </w:p>
    <w:p>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（1）设备送抵需方指定的施工现场并完成设备的安装调试运行正常，并经供需双方检查合格后签署设备运行验收单，供方须于当月25日前开具所供货物的全额税务发票，需方在30天内支付发票金额的80%货款；</w:t>
      </w:r>
    </w:p>
    <w:p>
      <w:pPr>
        <w:spacing w:line="360" w:lineRule="auto"/>
        <w:ind w:firstLine="480" w:firstLineChars="200"/>
        <w:rPr>
          <w:rFonts w:hint="eastAsia" w:ascii="宋体" w:hAnsi="宋体" w:cs="宋体"/>
          <w:kern w:val="0"/>
          <w:sz w:val="24"/>
        </w:rPr>
      </w:pPr>
      <w:r>
        <w:rPr>
          <w:rFonts w:hint="eastAsia" w:ascii="宋体" w:hAnsi="宋体"/>
          <w:color w:val="000000"/>
          <w:sz w:val="24"/>
          <w:szCs w:val="24"/>
        </w:rPr>
        <w:t>（2）</w:t>
      </w:r>
      <w:r>
        <w:rPr>
          <w:rFonts w:ascii="宋体" w:hAnsi="宋体" w:cs="宋体"/>
          <w:kern w:val="0"/>
          <w:sz w:val="24"/>
        </w:rPr>
        <w:t>设备移机</w:t>
      </w:r>
      <w:r>
        <w:rPr>
          <w:rFonts w:hint="eastAsia" w:ascii="宋体" w:hAnsi="宋体"/>
          <w:color w:val="000000"/>
          <w:sz w:val="24"/>
          <w:szCs w:val="24"/>
        </w:rPr>
        <w:t>后并完成设备的安装调试运行</w:t>
      </w:r>
      <w:r>
        <w:rPr>
          <w:rFonts w:ascii="宋体" w:hAnsi="宋体" w:cs="宋体"/>
          <w:kern w:val="0"/>
          <w:sz w:val="24"/>
        </w:rPr>
        <w:t>，设备运行良好</w:t>
      </w:r>
      <w:r>
        <w:rPr>
          <w:rFonts w:hint="eastAsia" w:ascii="宋体" w:hAnsi="宋体"/>
          <w:color w:val="000000"/>
          <w:sz w:val="24"/>
          <w:szCs w:val="24"/>
        </w:rPr>
        <w:t>，经供需双方检查合格后签署设备移机运行验收单</w:t>
      </w:r>
      <w:r>
        <w:rPr>
          <w:rFonts w:ascii="宋体" w:hAnsi="宋体" w:cs="宋体"/>
          <w:kern w:val="0"/>
          <w:sz w:val="24"/>
        </w:rPr>
        <w:t>并完成所供货物的结算审计后30天内支付所供货物发票金额的</w:t>
      </w:r>
      <w:r>
        <w:rPr>
          <w:rFonts w:hint="eastAsia" w:ascii="宋体" w:hAnsi="宋体" w:cs="宋体"/>
          <w:kern w:val="0"/>
          <w:sz w:val="24"/>
        </w:rPr>
        <w:t>10</w:t>
      </w:r>
      <w:r>
        <w:rPr>
          <w:rFonts w:ascii="宋体" w:hAnsi="宋体" w:cs="宋体"/>
          <w:kern w:val="0"/>
          <w:sz w:val="24"/>
        </w:rPr>
        <w:t>%；</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质保期（本项目质保期为一年，从设备移机完成调试验收合格之日起算起）满并完成所供货物的结算审计后，提供符合标书要求的售后服务巡检记录，完成所供货物结算抽复审计后30天内支付所供货物发票金额的10%</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（由于财政结算等流程设计问题，特殊情况结算会滞后）</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w:t>
      </w:r>
      <w:r>
        <w:rPr>
          <w:rFonts w:hint="eastAsia" w:ascii="宋体" w:hAnsi="宋体"/>
          <w:color w:val="000000"/>
          <w:kern w:val="0"/>
          <w:sz w:val="24"/>
          <w:szCs w:val="24"/>
          <w:u w:val="none" w:color="000000"/>
        </w:rPr>
        <w:t>4</w:t>
      </w:r>
      <w:r>
        <w:rPr>
          <w:rFonts w:ascii="宋体" w:hAnsi="宋体"/>
          <w:color w:val="000000"/>
          <w:kern w:val="0"/>
          <w:sz w:val="24"/>
          <w:szCs w:val="24"/>
          <w:u w:val="none" w:color="000000"/>
        </w:rPr>
        <w:t>）</w:t>
      </w:r>
      <w:r>
        <w:rPr>
          <w:rFonts w:hint="eastAsia" w:ascii="宋体" w:hAnsi="宋体"/>
          <w:color w:val="000000"/>
          <w:kern w:val="0"/>
          <w:sz w:val="24"/>
          <w:szCs w:val="24"/>
          <w:u w:val="none" w:color="000000"/>
        </w:rPr>
        <w:t>履约保证金的退还：</w:t>
      </w:r>
      <w:r>
        <w:rPr>
          <w:rFonts w:hint="eastAsia" w:ascii="宋体" w:hAnsi="宋体"/>
          <w:color w:val="000000"/>
          <w:kern w:val="0"/>
          <w:sz w:val="24"/>
          <w:szCs w:val="24"/>
          <w:highlight w:val="yellow"/>
          <w:u w:val="none" w:color="000000"/>
        </w:rPr>
        <w:t>履约保证金于验收合格之日起三十个工作日内无息退还。</w:t>
      </w:r>
    </w:p>
    <w:p>
      <w:pPr>
        <w:spacing w:line="360" w:lineRule="auto"/>
        <w:jc w:val="left"/>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 xml:space="preserve">    （5）付款方式：银行汇票或转帐支票。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pStyle w:val="516"/>
        <w:spacing w:line="380" w:lineRule="exact"/>
        <w:ind w:firstLine="490"/>
        <w:rPr>
          <w:rFonts w:ascii="宋体" w:hAnsi="宋体"/>
          <w:color w:val="000000"/>
          <w:sz w:val="24"/>
        </w:rPr>
      </w:pPr>
      <w:r>
        <w:rPr>
          <w:rFonts w:hint="eastAsia" w:ascii="宋体" w:hAnsi="宋体"/>
          <w:color w:val="000000"/>
          <w:kern w:val="0"/>
          <w:sz w:val="24"/>
          <w:u w:val="none" w:color="000000"/>
        </w:rPr>
        <w:t>1、交货日期：</w:t>
      </w:r>
      <w:r>
        <w:rPr>
          <w:rFonts w:hint="eastAsia" w:ascii="宋体" w:hAnsi="宋体"/>
          <w:color w:val="000000"/>
          <w:sz w:val="24"/>
        </w:rPr>
        <w:t>交货时间：因工程项目紧急，中标人需在中标结果确定后20日内将</w:t>
      </w:r>
      <w:r>
        <w:rPr>
          <w:rFonts w:hint="eastAsia" w:ascii="宋体" w:hAnsi="宋体" w:cs="宋体"/>
          <w:sz w:val="24"/>
          <w:szCs w:val="22"/>
        </w:rPr>
        <w:t>本次采购的地磅等设备安装调试完毕。否则按违约处理，合同取消，履约保证金扣除。</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highlight w:val="yellow"/>
          <w:u w:val="none" w:color="000000"/>
        </w:rPr>
        <w:t>1、 成交供应商逾期无法在规定时间内完成货物安装调试的视为乙方不履行合同。采购人有权终止合同，扣除履约保证金，并在3年内不得参与甲方组织的招投标活动。投标人在履约过程中产生的一切费用由投标人自行承担，甲方不再支付。</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9"/>
    <w:bookmarkEnd w:id="70"/>
    <w:bookmarkEnd w:id="71"/>
    <w:bookmarkEnd w:id="72"/>
    <w:bookmarkEnd w:id="73"/>
    <w:bookmarkEnd w:id="74"/>
    <w:bookmarkEnd w:id="75"/>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hint="eastAsia" w:ascii="宋体" w:hAnsi="宋体"/>
          <w:b/>
          <w:sz w:val="32"/>
          <w:szCs w:val="32"/>
        </w:rPr>
      </w:pPr>
      <w:bookmarkStart w:id="82" w:name="_Toc2400"/>
      <w:r>
        <w:rPr>
          <w:rFonts w:hint="eastAsia" w:ascii="宋体" w:hAnsi="宋体"/>
          <w:b/>
          <w:sz w:val="32"/>
          <w:szCs w:val="32"/>
        </w:rPr>
        <w:t>项目编号：</w:t>
      </w:r>
      <w:bookmarkEnd w:id="82"/>
      <w:r>
        <w:rPr>
          <w:rFonts w:ascii="仿宋_GB2312" w:eastAsia="仿宋_GB2312"/>
          <w:sz w:val="28"/>
          <w:szCs w:val="28"/>
        </w:rPr>
        <w:t>YXGYJT202111004</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宜兴市公用建环资源循环利用有限公司60吨地磅采购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sz w:val="24"/>
          <w:u w:val="single"/>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60吨地磅</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pPr>
        <w:numPr>
          <w:ilvl w:val="0"/>
          <w:numId w:val="24"/>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156" w:beforeLines="50" w:after="156" w:afterLines="50"/>
        <w:jc w:val="center"/>
        <w:rPr>
          <w:rFonts w:hint="eastAsia" w:ascii="黑体" w:eastAsia="黑体"/>
          <w:bCs/>
          <w:sz w:val="30"/>
          <w:szCs w:val="30"/>
        </w:rPr>
      </w:pPr>
      <w:bookmarkStart w:id="95" w:name="_Toc32423"/>
      <w:bookmarkStart w:id="96" w:name="OLE_LINK4"/>
      <w:bookmarkStart w:id="97" w:name="OLE_LINK32"/>
      <w:r>
        <w:rPr>
          <w:rFonts w:hint="eastAsia" w:ascii="黑体" w:eastAsia="黑体"/>
          <w:bCs/>
          <w:sz w:val="30"/>
          <w:szCs w:val="30"/>
        </w:rPr>
        <w:t>开标一览表</w:t>
      </w:r>
      <w:bookmarkEnd w:id="95"/>
      <w:bookmarkEnd w:id="96"/>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225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2252"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单价</w:t>
            </w:r>
          </w:p>
        </w:tc>
        <w:tc>
          <w:tcPr>
            <w:tcW w:w="2126"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1"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p>
        </w:tc>
        <w:tc>
          <w:tcPr>
            <w:tcW w:w="2252" w:type="dxa"/>
            <w:noWrap w:val="0"/>
            <w:vAlign w:val="center"/>
          </w:tcPr>
          <w:p>
            <w:pPr>
              <w:rPr>
                <w:rFonts w:hint="eastAsia" w:ascii="仿宋_GB2312" w:eastAsia="仿宋_GB2312"/>
                <w:sz w:val="24"/>
                <w:szCs w:val="32"/>
              </w:rPr>
            </w:pPr>
          </w:p>
        </w:tc>
        <w:tc>
          <w:tcPr>
            <w:tcW w:w="2126"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highlight w:val="yellow"/>
              </w:rPr>
              <w:t>双向</w:t>
            </w:r>
            <w:r>
              <w:rPr>
                <w:rFonts w:hint="eastAsia" w:ascii="宋体" w:hAnsi="宋体"/>
                <w:color w:val="000000"/>
                <w:sz w:val="24"/>
                <w:szCs w:val="24"/>
              </w:rPr>
              <w:t>无人值守系统(含控制计算机、打印机)</w:t>
            </w:r>
          </w:p>
        </w:tc>
        <w:tc>
          <w:tcPr>
            <w:tcW w:w="1345"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p>
        </w:tc>
        <w:tc>
          <w:tcPr>
            <w:tcW w:w="2252" w:type="dxa"/>
            <w:noWrap w:val="0"/>
            <w:vAlign w:val="top"/>
          </w:tcPr>
          <w:p>
            <w:pPr>
              <w:rPr>
                <w:rFonts w:hint="eastAsia" w:ascii="仿宋_GB2312" w:eastAsia="仿宋_GB2312"/>
                <w:sz w:val="24"/>
                <w:szCs w:val="32"/>
              </w:rPr>
            </w:pPr>
          </w:p>
        </w:tc>
        <w:tc>
          <w:tcPr>
            <w:tcW w:w="2126" w:type="dxa"/>
            <w:noWrap w:val="0"/>
            <w:vAlign w:val="top"/>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915" w:type="dxa"/>
            <w:noWrap w:val="0"/>
            <w:vAlign w:val="center"/>
          </w:tcPr>
          <w:p>
            <w:pPr>
              <w:jc w:val="center"/>
              <w:rPr>
                <w:rFonts w:ascii="仿宋_GB2312" w:eastAsia="仿宋_GB2312"/>
                <w:sz w:val="28"/>
                <w:szCs w:val="28"/>
              </w:rPr>
            </w:pPr>
            <w:r>
              <w:rPr>
                <w:rFonts w:hint="eastAsia" w:ascii="仿宋_GB2312" w:eastAsia="仿宋_GB2312"/>
                <w:sz w:val="28"/>
                <w:szCs w:val="28"/>
              </w:rPr>
              <w:t>3</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钢制基础</w:t>
            </w:r>
          </w:p>
        </w:tc>
        <w:tc>
          <w:tcPr>
            <w:tcW w:w="1345" w:type="dxa"/>
            <w:noWrap w:val="0"/>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p>
        </w:tc>
        <w:tc>
          <w:tcPr>
            <w:tcW w:w="2252" w:type="dxa"/>
            <w:noWrap w:val="0"/>
            <w:vAlign w:val="top"/>
          </w:tcPr>
          <w:p>
            <w:pPr>
              <w:rPr>
                <w:rFonts w:ascii="仿宋_GB2312" w:eastAsia="仿宋_GB2312"/>
                <w:color w:val="FF0000"/>
                <w:sz w:val="24"/>
                <w:szCs w:val="32"/>
              </w:rPr>
            </w:pPr>
          </w:p>
        </w:tc>
        <w:tc>
          <w:tcPr>
            <w:tcW w:w="2126" w:type="dxa"/>
            <w:noWrap w:val="0"/>
            <w:vAlign w:val="top"/>
          </w:tcPr>
          <w:p>
            <w:pPr>
              <w:rPr>
                <w:rFonts w:ascii="仿宋_GB2312" w:eastAsia="仿宋_GB2312"/>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64" w:hRule="atLeast"/>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684" w:type="dxa"/>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rPr>
              <w:t>地磅迁移（提供专业预埋件）</w:t>
            </w:r>
          </w:p>
        </w:tc>
        <w:tc>
          <w:tcPr>
            <w:tcW w:w="1345" w:type="dxa"/>
            <w:noWrap w:val="0"/>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p>
        </w:tc>
        <w:tc>
          <w:tcPr>
            <w:tcW w:w="2252" w:type="dxa"/>
            <w:noWrap w:val="0"/>
            <w:vAlign w:val="top"/>
          </w:tcPr>
          <w:p>
            <w:pPr>
              <w:rPr>
                <w:rFonts w:hint="eastAsia" w:ascii="仿宋_GB2312" w:eastAsia="仿宋_GB2312"/>
                <w:sz w:val="24"/>
                <w:szCs w:val="32"/>
              </w:rPr>
            </w:pPr>
          </w:p>
        </w:tc>
        <w:tc>
          <w:tcPr>
            <w:tcW w:w="2126" w:type="dxa"/>
            <w:noWrap w:val="0"/>
            <w:vAlign w:val="top"/>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944" w:type="dxa"/>
            <w:gridSpan w:val="3"/>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总计</w:t>
            </w:r>
          </w:p>
        </w:tc>
        <w:tc>
          <w:tcPr>
            <w:tcW w:w="4378" w:type="dxa"/>
            <w:gridSpan w:val="2"/>
            <w:noWrap w:val="0"/>
            <w:vAlign w:val="top"/>
          </w:tcPr>
          <w:p>
            <w:pPr>
              <w:rPr>
                <w:rFonts w:hint="eastAsia" w:ascii="仿宋_GB2312" w:eastAsia="仿宋_GB2312"/>
                <w:color w:val="FF0000"/>
                <w:sz w:val="24"/>
                <w:szCs w:val="32"/>
              </w:rPr>
            </w:pPr>
          </w:p>
        </w:tc>
      </w:tr>
    </w:tbl>
    <w:p>
      <w:pPr>
        <w:ind w:left="1"/>
        <w:jc w:val="center"/>
        <w:rPr>
          <w:rFonts w:hint="eastAsia" w:ascii="宋体" w:hAnsi="宋体"/>
          <w:sz w:val="24"/>
          <w:szCs w:val="24"/>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7"/>
      <w:bookmarkStart w:id="98" w:name="OLE_LINK147"/>
    </w:p>
    <w:p>
      <w:pPr>
        <w:ind w:left="1"/>
        <w:jc w:val="center"/>
        <w:rPr>
          <w:rFonts w:ascii="宋体" w:hAnsi="宋体"/>
          <w:bCs/>
          <w:sz w:val="24"/>
        </w:rPr>
      </w:pPr>
    </w:p>
    <w:bookmarkEnd w:id="98"/>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9" w:name="OLE_LINK151"/>
      <w:bookmarkStart w:id="100" w:name="_Toc8000"/>
      <w:r>
        <w:rPr>
          <w:rFonts w:hint="eastAsia" w:ascii="黑体" w:hAnsi="宋体" w:eastAsia="黑体"/>
          <w:bCs/>
          <w:sz w:val="28"/>
          <w:szCs w:val="28"/>
        </w:rPr>
        <w:t>（三）资格证明文件</w:t>
      </w:r>
      <w:bookmarkEnd w:id="99"/>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0"/>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仿宋_GB2312" w:eastAsia="仿宋_GB2312"/>
          <w:sz w:val="28"/>
          <w:szCs w:val="28"/>
        </w:rPr>
        <w:t>YXGYJT202111004</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sz w:val="24"/>
          <w:u w:val="single"/>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 ）采购活动前三年内，在经营活动中没有重大违法记录，且具备履行合同所必需的设备和专业技术能力。我公司（单位）愿针对本次项目进行投标，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仿宋_GB2312" w:eastAsia="仿宋_GB2312"/>
          <w:sz w:val="28"/>
          <w:szCs w:val="28"/>
        </w:rPr>
        <w:t>YXGYJT202111004</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sz w:val="24"/>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仿宋_GB2312" w:eastAsia="仿宋_GB2312"/>
          <w:sz w:val="28"/>
          <w:szCs w:val="28"/>
        </w:rPr>
        <w:t>YXGYJT202111004</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5、投标保证金转账记录；</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6、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cs="宋体"/>
          <w:sz w:val="24"/>
          <w:szCs w:val="24"/>
        </w:rPr>
        <w:t>7、供应商须通过ISO9000系列质量管理体系，ISO14000系列环境管理体系认证，GB/T28001-2011系列职业健康安全管理体系认证，提供扫描件；</w:t>
      </w:r>
    </w:p>
    <w:p>
      <w:pPr>
        <w:tabs>
          <w:tab w:val="left" w:pos="0"/>
          <w:tab w:val="left" w:pos="945"/>
          <w:tab w:val="left" w:pos="1155"/>
        </w:tabs>
        <w:spacing w:line="360" w:lineRule="auto"/>
        <w:rPr>
          <w:rFonts w:hint="eastAsia" w:ascii="宋体" w:hAnsi="宋体" w:cs="宋体"/>
          <w:sz w:val="24"/>
          <w:szCs w:val="24"/>
        </w:rPr>
      </w:pPr>
      <w:r>
        <w:rPr>
          <w:rFonts w:hint="eastAsia" w:ascii="宋体" w:hAnsi="宋体" w:cs="宋体"/>
          <w:sz w:val="24"/>
          <w:szCs w:val="24"/>
        </w:rPr>
        <w:t xml:space="preserve">    8、须提供汽车衡生产许可证、汽车衡传感器生产许可证、汽车衡仪表生产许可证；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142"/>
          <w:tab w:val="left" w:pos="945"/>
          <w:tab w:val="left" w:pos="1155"/>
        </w:tabs>
        <w:spacing w:line="360" w:lineRule="auto"/>
        <w:ind w:firstLine="426" w:firstLineChars="177"/>
        <w:rPr>
          <w:rFonts w:hint="eastAsia" w:ascii="宋体" w:hAnsi="宋体" w:cs="宋体"/>
          <w:sz w:val="24"/>
          <w:szCs w:val="24"/>
        </w:rPr>
      </w:pPr>
      <w:r>
        <w:rPr>
          <w:rFonts w:hint="eastAsia" w:ascii="宋体" w:hAnsi="宋体"/>
          <w:b/>
          <w:sz w:val="24"/>
        </w:rPr>
        <w:t>（因本次项目为不见面开标，需要的原件均为中标后备查，若发现作假行为，按投标虚假响应处理）</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1"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仿宋_GB2312" w:eastAsia="仿宋_GB2312"/>
          <w:sz w:val="28"/>
          <w:szCs w:val="28"/>
        </w:rPr>
        <w:t>YXGYJT202111004</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1"/>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rPr>
          <w:rFonts w:hint="eastAsia" w:ascii="宋体" w:hAnsi="宋体"/>
          <w:sz w:val="24"/>
          <w:szCs w:val="21"/>
        </w:rPr>
      </w:pPr>
    </w:p>
    <w:p>
      <w:pPr>
        <w:rPr>
          <w:rFonts w:hint="eastAsia" w:ascii="黑体" w:hAnsi="宋体" w:eastAsia="黑体"/>
          <w:bCs/>
          <w:sz w:val="24"/>
          <w:szCs w:val="24"/>
          <w:lang w:val="zh-CN"/>
        </w:rPr>
      </w:pPr>
      <w:r>
        <w:rPr>
          <w:rFonts w:hint="eastAsia" w:ascii="黑体" w:hAnsi="宋体" w:eastAsia="黑体"/>
          <w:bCs/>
          <w:sz w:val="24"/>
          <w:szCs w:val="24"/>
          <w:lang w:val="zh-CN"/>
        </w:rPr>
        <w:t>（五）材料设备品牌承诺表（格式）：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材料设备品牌承诺表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szCs w:val="24"/>
        </w:rPr>
        <w:t xml:space="preserve"> </w:t>
      </w:r>
      <w:r>
        <w:rPr>
          <w:rFonts w:hint="eastAsia" w:ascii="宋体" w:hAnsi="宋体"/>
          <w:sz w:val="24"/>
          <w:szCs w:val="21"/>
          <w:lang w:val="zh-CN"/>
        </w:rPr>
        <w:t xml:space="preserve"> </w:t>
      </w:r>
      <w:r>
        <w:rPr>
          <w:rFonts w:ascii="仿宋_GB2312" w:eastAsia="仿宋_GB2312"/>
          <w:sz w:val="28"/>
          <w:szCs w:val="28"/>
        </w:rPr>
        <w:t>YXGYJT202111004</w:t>
      </w:r>
    </w:p>
    <w:tbl>
      <w:tblPr>
        <w:tblStyle w:val="7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402"/>
        <w:gridCol w:w="13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材料设备名称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参照（或相当于）品牌（型号）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投标人承诺</w:t>
            </w:r>
          </w:p>
          <w:p>
            <w:pPr>
              <w:pStyle w:val="522"/>
              <w:spacing w:line="320" w:lineRule="exact"/>
              <w:jc w:val="center"/>
              <w:rPr>
                <w:rFonts w:ascii="宋体" w:hAnsi="宋体"/>
                <w:bCs/>
                <w:szCs w:val="21"/>
              </w:rPr>
            </w:pPr>
            <w:r>
              <w:rPr>
                <w:rFonts w:hint="eastAsia" w:ascii="宋体" w:hAnsi="宋体"/>
                <w:bCs/>
                <w:szCs w:val="21"/>
              </w:rPr>
              <w:t>品牌(型号)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r>
              <w:rPr>
                <w:rFonts w:hint="eastAsi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台面钢材生产厂家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上海宝钢、马鞍山钢铁、舞阳钢铁</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电脑配置</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color w:val="000000"/>
                <w:sz w:val="24"/>
                <w:szCs w:val="24"/>
              </w:rPr>
            </w:pPr>
            <w:r>
              <w:rPr>
                <w:rFonts w:hint="eastAsia" w:ascii="宋体" w:hAnsi="宋体"/>
                <w:bCs/>
                <w:color w:val="000000"/>
                <w:sz w:val="24"/>
                <w:szCs w:val="24"/>
              </w:rPr>
              <w:t>联想，惠普，戴尔（处理器不低于I5，内存不低于8G）</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针式打印机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得实，惠普，爱普生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传感器</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sz w:val="24"/>
              </w:rPr>
              <w:t>SCHENCK（申克），FLINTEC(富林泰克)，METTLER-TOLEDO(梅特勒-托利多)，HBM。</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bl>
    <w:p>
      <w:pPr>
        <w:tabs>
          <w:tab w:val="left" w:pos="255"/>
        </w:tabs>
        <w:spacing w:line="360" w:lineRule="auto"/>
        <w:ind w:firstLine="600" w:firstLineChars="250"/>
        <w:jc w:val="left"/>
        <w:rPr>
          <w:rFonts w:hint="eastAsia" w:ascii="黑体" w:hAnsi="宋体" w:eastAsia="黑体"/>
          <w:bCs/>
          <w:sz w:val="24"/>
          <w:szCs w:val="24"/>
        </w:rPr>
      </w:pPr>
    </w:p>
    <w:p>
      <w:pPr>
        <w:rPr>
          <w:rFonts w:ascii="宋体" w:hAnsi="宋体"/>
          <w:color w:val="000000"/>
          <w:szCs w:val="21"/>
        </w:rPr>
      </w:pPr>
      <w:r>
        <w:rPr>
          <w:rFonts w:hint="eastAsia" w:ascii="宋体" w:hAnsi="宋体"/>
          <w:color w:val="000000"/>
          <w:szCs w:val="21"/>
        </w:rPr>
        <w:t>注：</w:t>
      </w:r>
      <w:bookmarkStart w:id="102" w:name="_Toc448822646"/>
      <w:bookmarkStart w:id="103"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w:t>
      </w:r>
      <w:r>
        <w:rPr>
          <w:rFonts w:hint="eastAsia" w:ascii="宋体" w:hAnsi="宋体" w:cs="宋体"/>
          <w:kern w:val="0"/>
          <w:sz w:val="24"/>
          <w:szCs w:val="22"/>
        </w:rPr>
        <w:t>采购</w:t>
      </w:r>
      <w:r>
        <w:rPr>
          <w:rFonts w:hint="eastAsia" w:ascii="宋体" w:hAnsi="宋体"/>
          <w:color w:val="000000"/>
          <w:szCs w:val="21"/>
        </w:rPr>
        <w:t>人提出，并提供相应的证明材料，</w:t>
      </w:r>
      <w:r>
        <w:rPr>
          <w:rFonts w:hint="eastAsia" w:ascii="宋体" w:hAnsi="宋体" w:cs="宋体"/>
          <w:kern w:val="0"/>
          <w:sz w:val="24"/>
          <w:szCs w:val="22"/>
        </w:rPr>
        <w:t>采购</w:t>
      </w:r>
      <w:r>
        <w:rPr>
          <w:rFonts w:hint="eastAsia" w:ascii="宋体" w:hAnsi="宋体"/>
          <w:color w:val="000000"/>
          <w:szCs w:val="21"/>
        </w:rPr>
        <w:t>人认为合理的，将以招标文件答疑方式告知所有投标人予以增加。投标人必须按上述要求在以上承诺表中进行承诺，否则视为未响应招标文件的实质性要求。</w:t>
      </w:r>
      <w:bookmarkEnd w:id="102"/>
      <w:bookmarkEnd w:id="103"/>
    </w:p>
    <w:p>
      <w:pPr>
        <w:rPr>
          <w:rFonts w:ascii="宋体" w:hAnsi="宋体"/>
          <w:color w:val="000000"/>
          <w:szCs w:val="21"/>
        </w:rPr>
      </w:pPr>
    </w:p>
    <w:p>
      <w:pPr>
        <w:jc w:val="center"/>
        <w:rPr>
          <w:rFonts w:hint="eastAsia" w:ascii="宋体" w:hAnsi="宋体"/>
          <w:sz w:val="24"/>
          <w:szCs w:val="21"/>
          <w:lang w:val="zh-CN"/>
        </w:rPr>
      </w:pPr>
      <w:r>
        <w:rPr>
          <w:rFonts w:hint="eastAsia" w:ascii="宋体" w:hAnsi="宋体"/>
          <w:sz w:val="24"/>
          <w:szCs w:val="21"/>
          <w:lang w:val="zh-CN"/>
        </w:rPr>
        <w:t>投标人签名（盖章）：                               日期：</w:t>
      </w: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黑体" w:hAnsi="宋体" w:eastAsia="黑体"/>
          <w:sz w:val="32"/>
          <w:szCs w:val="32"/>
        </w:rPr>
      </w:pPr>
    </w:p>
    <w:p>
      <w:pPr>
        <w:jc w:val="center"/>
        <w:rPr>
          <w:rFonts w:hint="eastAsia" w:ascii="宋体" w:hAnsi="宋体"/>
          <w:b/>
          <w:bCs/>
          <w:sz w:val="44"/>
          <w:szCs w:val="44"/>
        </w:rPr>
      </w:pPr>
      <w:r>
        <w:rPr>
          <w:rFonts w:hint="eastAsia" w:ascii="黑体" w:hAnsi="黑体" w:eastAsia="黑体"/>
          <w:bCs/>
          <w:sz w:val="44"/>
          <w:szCs w:val="44"/>
        </w:rPr>
        <w:t>宜兴市公用建环资源循环利用有限公司60吨地磅采购招标公告</w:t>
      </w:r>
    </w:p>
    <w:p>
      <w:pP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因工作需要，现组织宜兴市公用建环资源循环利用有限公司对60吨地磅采购进行招标。现欢迎符合相关条件的供应商参加投标。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YXGYJT202111004</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60吨地磅</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70"/>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④本项目预算为：49</w:t>
      </w:r>
      <w:r>
        <w:rPr>
          <w:rFonts w:hint="eastAsia" w:ascii="仿宋_GB2312" w:eastAsia="仿宋_GB2312"/>
          <w:kern w:val="2"/>
          <w:sz w:val="28"/>
          <w:szCs w:val="28"/>
          <w:u w:val="none" w:color="auto"/>
        </w:rPr>
        <w:t>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hint="eastAsia" w:ascii="仿宋_GB2312" w:eastAsia="仿宋_GB2312"/>
          <w:sz w:val="28"/>
          <w:szCs w:val="28"/>
        </w:rPr>
      </w:pPr>
      <w:r>
        <w:rPr>
          <w:rFonts w:hint="eastAsia" w:ascii="仿宋_GB2312" w:eastAsia="仿宋_GB2312"/>
          <w:sz w:val="28"/>
          <w:szCs w:val="28"/>
        </w:rPr>
        <w:t xml:space="preserve">    ⑥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rPr>
          <w:rFonts w:hint="eastAsia" w:ascii="仿宋_GB2312" w:eastAsia="仿宋_GB2312"/>
          <w:sz w:val="28"/>
          <w:szCs w:val="28"/>
        </w:rPr>
      </w:pPr>
      <w:r>
        <w:rPr>
          <w:rFonts w:hint="eastAsia" w:ascii="仿宋_GB2312" w:eastAsia="仿宋_GB2312"/>
          <w:sz w:val="28"/>
          <w:szCs w:val="28"/>
        </w:rPr>
        <w:t xml:space="preserve">    ⑦供应商须通过ISO9000系列质量管理体系，ISO14000系列环境管理体系认证，GB/T28001-2011系列职业健康安全管理体系认证，提供扫描件；</w:t>
      </w:r>
    </w:p>
    <w:p>
      <w:pPr>
        <w:rPr>
          <w:rFonts w:hint="eastAsia" w:ascii="仿宋_GB2312" w:eastAsia="仿宋_GB2312"/>
          <w:sz w:val="28"/>
          <w:szCs w:val="28"/>
        </w:rPr>
      </w:pPr>
      <w:r>
        <w:rPr>
          <w:rFonts w:hint="eastAsia" w:ascii="仿宋_GB2312" w:eastAsia="仿宋_GB2312"/>
          <w:sz w:val="28"/>
          <w:szCs w:val="28"/>
        </w:rPr>
        <w:t xml:space="preserve">    ⑧须提供汽车衡生产许可证、汽车衡传感器生产许可证、汽车衡仪表生产许可证扫描件；</w:t>
      </w:r>
      <w:r>
        <w:rPr>
          <w:rFonts w:ascii="仿宋_GB2312" w:eastAsia="仿宋_GB2312"/>
          <w:sz w:val="28"/>
          <w:szCs w:val="28"/>
        </w:rPr>
        <w:t>如为代理商，需提供</w:t>
      </w:r>
      <w:r>
        <w:rPr>
          <w:rFonts w:hint="eastAsia" w:ascii="仿宋_GB2312" w:eastAsia="仿宋_GB2312"/>
          <w:sz w:val="28"/>
          <w:szCs w:val="28"/>
        </w:rPr>
        <w:t>响应文件的</w:t>
      </w:r>
      <w:r>
        <w:rPr>
          <w:rFonts w:ascii="仿宋_GB2312" w:eastAsia="仿宋_GB2312"/>
          <w:sz w:val="28"/>
          <w:szCs w:val="28"/>
        </w:rPr>
        <w:t>响应品牌的生产许可证</w:t>
      </w:r>
      <w:r>
        <w:rPr>
          <w:rFonts w:hint="eastAsia" w:ascii="仿宋_GB2312" w:eastAsia="仿宋_GB2312"/>
          <w:sz w:val="28"/>
          <w:szCs w:val="28"/>
        </w:rPr>
        <w:t xml:space="preserve">，提供扫描件。    </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 2021年11月16日9:00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开标地点：供应商须递交符合招标文件要求的电子标书，于开标前30分钟发送到指定邮箱，由评委在开标时间截止后现场开启,邮件主题、标题中需标明所投标段名称。（标书必须每页加盖单位公章并由法人签字）邮箱为：yxgycyjtztb@126.com</w:t>
      </w:r>
    </w:p>
    <w:p>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四、公告期限：2021年11月9日至2021年11月12日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4" w:name="OLE_LINK29"/>
            <w:bookmarkEnd w:id="104"/>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2021年11月9日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10" w:usb1="19DF7CF8" w:usb2="00000033" w:usb3="00000000" w:csb0="0008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30</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23"/>
  </w:num>
  <w:num w:numId="3">
    <w:abstractNumId w:val="14"/>
  </w:num>
  <w:num w:numId="4">
    <w:abstractNumId w:val="16"/>
  </w:num>
  <w:num w:numId="5">
    <w:abstractNumId w:val="17"/>
  </w:num>
  <w:num w:numId="6">
    <w:abstractNumId w:val="1"/>
  </w:num>
  <w:num w:numId="7">
    <w:abstractNumId w:val="6"/>
  </w:num>
  <w:num w:numId="8">
    <w:abstractNumId w:val="2"/>
  </w:num>
  <w:num w:numId="9">
    <w:abstractNumId w:val="3"/>
  </w:num>
  <w:num w:numId="10">
    <w:abstractNumId w:val="15"/>
  </w:num>
  <w:num w:numId="11">
    <w:abstractNumId w:val="5"/>
  </w:num>
  <w:num w:numId="12">
    <w:abstractNumId w:val="4"/>
  </w:num>
  <w:num w:numId="13">
    <w:abstractNumId w:val="0"/>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3AF8"/>
    <w:rsid w:val="000255A4"/>
    <w:rsid w:val="00027A8A"/>
    <w:rsid w:val="00027DC2"/>
    <w:rsid w:val="0003761F"/>
    <w:rsid w:val="00042A9C"/>
    <w:rsid w:val="00042CC3"/>
    <w:rsid w:val="00047327"/>
    <w:rsid w:val="00047392"/>
    <w:rsid w:val="000520B0"/>
    <w:rsid w:val="00063081"/>
    <w:rsid w:val="00063887"/>
    <w:rsid w:val="0007007A"/>
    <w:rsid w:val="00072E0D"/>
    <w:rsid w:val="000770C1"/>
    <w:rsid w:val="00077B4D"/>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0C1F"/>
    <w:rsid w:val="00152E50"/>
    <w:rsid w:val="00156D11"/>
    <w:rsid w:val="00157204"/>
    <w:rsid w:val="00157916"/>
    <w:rsid w:val="0016057A"/>
    <w:rsid w:val="00162D73"/>
    <w:rsid w:val="00163B02"/>
    <w:rsid w:val="00171AA6"/>
    <w:rsid w:val="00173360"/>
    <w:rsid w:val="00173521"/>
    <w:rsid w:val="0017472D"/>
    <w:rsid w:val="0017588E"/>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335F"/>
    <w:rsid w:val="00284CC6"/>
    <w:rsid w:val="00284E4B"/>
    <w:rsid w:val="00290405"/>
    <w:rsid w:val="00296193"/>
    <w:rsid w:val="002A1E2E"/>
    <w:rsid w:val="002A24D8"/>
    <w:rsid w:val="002B08FF"/>
    <w:rsid w:val="002B39BB"/>
    <w:rsid w:val="002B52A0"/>
    <w:rsid w:val="002C70BA"/>
    <w:rsid w:val="002D28BF"/>
    <w:rsid w:val="002D5406"/>
    <w:rsid w:val="002E4B6B"/>
    <w:rsid w:val="002E51F7"/>
    <w:rsid w:val="0030271C"/>
    <w:rsid w:val="0032060A"/>
    <w:rsid w:val="00325CA3"/>
    <w:rsid w:val="00342F5B"/>
    <w:rsid w:val="0034450C"/>
    <w:rsid w:val="003451BB"/>
    <w:rsid w:val="00350D55"/>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A43"/>
    <w:rsid w:val="00533CEB"/>
    <w:rsid w:val="00537CEA"/>
    <w:rsid w:val="00543359"/>
    <w:rsid w:val="00547EB7"/>
    <w:rsid w:val="00552B9D"/>
    <w:rsid w:val="00554A82"/>
    <w:rsid w:val="0056381F"/>
    <w:rsid w:val="00563CCD"/>
    <w:rsid w:val="00572186"/>
    <w:rsid w:val="00575902"/>
    <w:rsid w:val="00584C7A"/>
    <w:rsid w:val="005928AC"/>
    <w:rsid w:val="005A35C4"/>
    <w:rsid w:val="005B3469"/>
    <w:rsid w:val="005B4FA7"/>
    <w:rsid w:val="005B6B3B"/>
    <w:rsid w:val="005C1367"/>
    <w:rsid w:val="005C176E"/>
    <w:rsid w:val="005C2860"/>
    <w:rsid w:val="005C6322"/>
    <w:rsid w:val="005E19DD"/>
    <w:rsid w:val="005F2DB3"/>
    <w:rsid w:val="005F73AF"/>
    <w:rsid w:val="0060445B"/>
    <w:rsid w:val="006052C9"/>
    <w:rsid w:val="00611F53"/>
    <w:rsid w:val="00612EEF"/>
    <w:rsid w:val="006170A3"/>
    <w:rsid w:val="006177D6"/>
    <w:rsid w:val="00624DB0"/>
    <w:rsid w:val="006256BA"/>
    <w:rsid w:val="00636A45"/>
    <w:rsid w:val="00641E38"/>
    <w:rsid w:val="00657F7E"/>
    <w:rsid w:val="006626C6"/>
    <w:rsid w:val="00667851"/>
    <w:rsid w:val="0067075C"/>
    <w:rsid w:val="00673B42"/>
    <w:rsid w:val="0068506B"/>
    <w:rsid w:val="00685FBB"/>
    <w:rsid w:val="0068693F"/>
    <w:rsid w:val="006901A0"/>
    <w:rsid w:val="00690980"/>
    <w:rsid w:val="0069511D"/>
    <w:rsid w:val="00697679"/>
    <w:rsid w:val="00697BBB"/>
    <w:rsid w:val="006B51C4"/>
    <w:rsid w:val="006B55B4"/>
    <w:rsid w:val="006B5974"/>
    <w:rsid w:val="006C2FFD"/>
    <w:rsid w:val="006C55FF"/>
    <w:rsid w:val="006C5913"/>
    <w:rsid w:val="006D196A"/>
    <w:rsid w:val="006E1EAA"/>
    <w:rsid w:val="006E3C6F"/>
    <w:rsid w:val="006E72CE"/>
    <w:rsid w:val="006E7E63"/>
    <w:rsid w:val="006F04E8"/>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36776"/>
    <w:rsid w:val="00742FE1"/>
    <w:rsid w:val="007448E3"/>
    <w:rsid w:val="007477BC"/>
    <w:rsid w:val="0075098A"/>
    <w:rsid w:val="00751B1C"/>
    <w:rsid w:val="00760775"/>
    <w:rsid w:val="00773E58"/>
    <w:rsid w:val="00776638"/>
    <w:rsid w:val="0078335A"/>
    <w:rsid w:val="00794980"/>
    <w:rsid w:val="00795C42"/>
    <w:rsid w:val="007A376A"/>
    <w:rsid w:val="007A70D9"/>
    <w:rsid w:val="007C3291"/>
    <w:rsid w:val="007C5599"/>
    <w:rsid w:val="007C7CDD"/>
    <w:rsid w:val="007D20CA"/>
    <w:rsid w:val="007D420B"/>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5E7"/>
    <w:rsid w:val="008648EB"/>
    <w:rsid w:val="008734F3"/>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8F7DC8"/>
    <w:rsid w:val="0090199D"/>
    <w:rsid w:val="00901CE3"/>
    <w:rsid w:val="00904D0F"/>
    <w:rsid w:val="00905D4E"/>
    <w:rsid w:val="00910AA7"/>
    <w:rsid w:val="00916FFD"/>
    <w:rsid w:val="00922A8A"/>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A0FB8"/>
    <w:rsid w:val="009A6F5A"/>
    <w:rsid w:val="009B033D"/>
    <w:rsid w:val="009B3CF3"/>
    <w:rsid w:val="009B4C20"/>
    <w:rsid w:val="009C1577"/>
    <w:rsid w:val="009C298E"/>
    <w:rsid w:val="009C45FD"/>
    <w:rsid w:val="009C513C"/>
    <w:rsid w:val="009C5527"/>
    <w:rsid w:val="009C7C3F"/>
    <w:rsid w:val="009E74DE"/>
    <w:rsid w:val="00A01868"/>
    <w:rsid w:val="00A15A3D"/>
    <w:rsid w:val="00A211D5"/>
    <w:rsid w:val="00A2421A"/>
    <w:rsid w:val="00A24A80"/>
    <w:rsid w:val="00A24DED"/>
    <w:rsid w:val="00A2544B"/>
    <w:rsid w:val="00A254E6"/>
    <w:rsid w:val="00A307E7"/>
    <w:rsid w:val="00A36160"/>
    <w:rsid w:val="00A52BEF"/>
    <w:rsid w:val="00A5785A"/>
    <w:rsid w:val="00A678FA"/>
    <w:rsid w:val="00A72C5E"/>
    <w:rsid w:val="00A73DFD"/>
    <w:rsid w:val="00A76493"/>
    <w:rsid w:val="00A91BD7"/>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AF2F27"/>
    <w:rsid w:val="00B00209"/>
    <w:rsid w:val="00B02D95"/>
    <w:rsid w:val="00B032CC"/>
    <w:rsid w:val="00B03D5D"/>
    <w:rsid w:val="00B17D9D"/>
    <w:rsid w:val="00B24081"/>
    <w:rsid w:val="00B254B9"/>
    <w:rsid w:val="00B301BE"/>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23DA"/>
    <w:rsid w:val="00BA350D"/>
    <w:rsid w:val="00BA3969"/>
    <w:rsid w:val="00BA5309"/>
    <w:rsid w:val="00BB1B29"/>
    <w:rsid w:val="00BB7ACA"/>
    <w:rsid w:val="00BC6F59"/>
    <w:rsid w:val="00BC7918"/>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4EE9"/>
    <w:rsid w:val="00CE67CC"/>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6166"/>
    <w:rsid w:val="00D57E88"/>
    <w:rsid w:val="00D63A42"/>
    <w:rsid w:val="00D66B2E"/>
    <w:rsid w:val="00D66C6F"/>
    <w:rsid w:val="00D67BC6"/>
    <w:rsid w:val="00D74B01"/>
    <w:rsid w:val="00D82781"/>
    <w:rsid w:val="00D8328E"/>
    <w:rsid w:val="00D87318"/>
    <w:rsid w:val="00D922A2"/>
    <w:rsid w:val="00DA06C5"/>
    <w:rsid w:val="00DA259C"/>
    <w:rsid w:val="00DC7154"/>
    <w:rsid w:val="00DC7F06"/>
    <w:rsid w:val="00DD0194"/>
    <w:rsid w:val="00DD0C97"/>
    <w:rsid w:val="00DD7C73"/>
    <w:rsid w:val="00DF3557"/>
    <w:rsid w:val="00DF662D"/>
    <w:rsid w:val="00E01CC0"/>
    <w:rsid w:val="00E05E02"/>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2838"/>
    <w:rsid w:val="00F13507"/>
    <w:rsid w:val="00F16BF2"/>
    <w:rsid w:val="00F20AD4"/>
    <w:rsid w:val="00F23886"/>
    <w:rsid w:val="00F26171"/>
    <w:rsid w:val="00F34194"/>
    <w:rsid w:val="00F368BC"/>
    <w:rsid w:val="00F373AB"/>
    <w:rsid w:val="00F37D08"/>
    <w:rsid w:val="00F42E6C"/>
    <w:rsid w:val="00F4434A"/>
    <w:rsid w:val="00F507DE"/>
    <w:rsid w:val="00F50CB1"/>
    <w:rsid w:val="00F51DCC"/>
    <w:rsid w:val="00F55979"/>
    <w:rsid w:val="00F57D25"/>
    <w:rsid w:val="00F63BB0"/>
    <w:rsid w:val="00F70ABE"/>
    <w:rsid w:val="00F73FDD"/>
    <w:rsid w:val="00F751C5"/>
    <w:rsid w:val="00F81AF0"/>
    <w:rsid w:val="00F822F0"/>
    <w:rsid w:val="00F84BF8"/>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1BC5A23"/>
    <w:rsid w:val="088C2CFA"/>
    <w:rsid w:val="0A3B412B"/>
    <w:rsid w:val="0E6024DC"/>
    <w:rsid w:val="1009308B"/>
    <w:rsid w:val="168A3D2C"/>
    <w:rsid w:val="1908229C"/>
    <w:rsid w:val="1A7B546E"/>
    <w:rsid w:val="20A36209"/>
    <w:rsid w:val="215A19BE"/>
    <w:rsid w:val="23EC2F12"/>
    <w:rsid w:val="2AED2CDD"/>
    <w:rsid w:val="2BC11C46"/>
    <w:rsid w:val="2D161B30"/>
    <w:rsid w:val="30D41037"/>
    <w:rsid w:val="312E356C"/>
    <w:rsid w:val="31497D8B"/>
    <w:rsid w:val="319E5533"/>
    <w:rsid w:val="32044185"/>
    <w:rsid w:val="33060EBA"/>
    <w:rsid w:val="3CEA44D4"/>
    <w:rsid w:val="3E9876E2"/>
    <w:rsid w:val="3E987883"/>
    <w:rsid w:val="3EE424B4"/>
    <w:rsid w:val="40574364"/>
    <w:rsid w:val="420B6FB7"/>
    <w:rsid w:val="42EC32E2"/>
    <w:rsid w:val="43443D9B"/>
    <w:rsid w:val="437171AF"/>
    <w:rsid w:val="44601381"/>
    <w:rsid w:val="45156357"/>
    <w:rsid w:val="45ED31E3"/>
    <w:rsid w:val="46D51EE4"/>
    <w:rsid w:val="4A032880"/>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5A153FD"/>
    <w:rsid w:val="76961D80"/>
    <w:rsid w:val="787539A8"/>
    <w:rsid w:val="78AC29C7"/>
    <w:rsid w:val="7E0056FB"/>
    <w:rsid w:val="7E743158"/>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rPr>
      <w:rFonts w:ascii="Calibri" w:hAnsi="Calibri"/>
    </w:r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rFonts w:ascii="Calibri" w:hAnsi="Calibri"/>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rPr>
      <w:rFonts w:ascii="Calibri" w:hAnsi="Calibri"/>
    </w:r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1 悬挂缩进: 4 字符 段前: 0.1 行，小五 Char Char"/>
    <w:link w:val="128"/>
    <w:uiPriority w:val="0"/>
    <w:rPr>
      <w:kern w:val="2"/>
      <w:sz w:val="18"/>
    </w:rPr>
  </w:style>
  <w:style w:type="paragraph" w:customStyle="1" w:styleId="128">
    <w:name w:val="样式1 悬挂缩进: 4 字符 段前: 0.1 行，小五"/>
    <w:basedOn w:val="1"/>
    <w:link w:val="127"/>
    <w:uiPriority w:val="0"/>
    <w:pPr>
      <w:spacing w:beforeLines="10" w:line="312" w:lineRule="auto"/>
      <w:ind w:left="400" w:leftChars="400"/>
    </w:pPr>
    <w:rPr>
      <w:rFonts w:ascii="Calibri" w:hAnsi="Calibri"/>
      <w:sz w:val="18"/>
    </w:rPr>
  </w:style>
  <w:style w:type="character" w:customStyle="1" w:styleId="129">
    <w:name w:val="样式1 正文（首行缩进2字） Char + 首行缩进:  2 字符 段前: 0 行 Char Char"/>
    <w:link w:val="130"/>
    <w:uiPriority w:val="0"/>
    <w:rPr>
      <w:rFonts w:hAnsi="Arial"/>
      <w:kern w:val="2"/>
      <w:sz w:val="21"/>
    </w:rPr>
  </w:style>
  <w:style w:type="paragraph" w:customStyle="1" w:styleId="130">
    <w:name w:val="样式1 正文（首行缩进2字） Char + 首行缩进:  2 字符 段前: 0 行"/>
    <w:basedOn w:val="1"/>
    <w:next w:val="1"/>
    <w:link w:val="129"/>
    <w:uiPriority w:val="0"/>
    <w:pPr>
      <w:spacing w:line="276" w:lineRule="auto"/>
      <w:ind w:firstLine="420" w:firstLineChars="200"/>
    </w:pPr>
    <w:rPr>
      <w:rFonts w:ascii="Calibri" w:hAnsi="Arial"/>
    </w:rPr>
  </w:style>
  <w:style w:type="character" w:customStyle="1" w:styleId="131">
    <w:name w:val="hps"/>
    <w:uiPriority w:val="0"/>
  </w:style>
  <w:style w:type="character" w:customStyle="1" w:styleId="132">
    <w:name w:val="纯文本 Char1"/>
    <w:semiHidden/>
    <w:uiPriority w:val="99"/>
    <w:rPr>
      <w:rFonts w:ascii="宋体" w:hAnsi="Courier New" w:cs="Courier New"/>
      <w:kern w:val="2"/>
      <w:sz w:val="21"/>
      <w:szCs w:val="21"/>
    </w:rPr>
  </w:style>
  <w:style w:type="character" w:customStyle="1" w:styleId="133">
    <w:name w:val="正文文本 3 Char1"/>
    <w:semiHidden/>
    <w:uiPriority w:val="99"/>
    <w:rPr>
      <w:rFonts w:ascii="Times New Roman" w:hAnsi="Times New Roman"/>
      <w:kern w:val="2"/>
      <w:sz w:val="16"/>
      <w:szCs w:val="16"/>
    </w:rPr>
  </w:style>
  <w:style w:type="character" w:customStyle="1" w:styleId="134">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35">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36">
    <w:name w:val="样式 正文（首行缩进两字） Char + 加粗 Char Char"/>
    <w:uiPriority w:val="0"/>
    <w:rPr>
      <w:rFonts w:eastAsia="宋体"/>
      <w:b/>
      <w:kern w:val="2"/>
      <w:sz w:val="21"/>
      <w:lang w:val="en-US" w:eastAsia="zh-CN"/>
    </w:rPr>
  </w:style>
  <w:style w:type="character" w:customStyle="1" w:styleId="137">
    <w:name w:val="style251"/>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uiPriority w:val="0"/>
    <w:rPr>
      <w:kern w:val="2"/>
      <w:sz w:val="21"/>
    </w:rPr>
  </w:style>
  <w:style w:type="paragraph" w:customStyle="1" w:styleId="139">
    <w:name w:val="样式 正文缩进正文缩进 Char正文（首行缩进两字） Char Char正文（首行缩进两字） Char1正文（首行缩进两...1"/>
    <w:basedOn w:val="1"/>
    <w:link w:val="138"/>
    <w:uiPriority w:val="0"/>
    <w:pPr>
      <w:spacing w:beforeLines="10" w:line="312" w:lineRule="auto"/>
      <w:ind w:firstLine="200" w:firstLineChars="200"/>
    </w:pPr>
    <w:rPr>
      <w:rFonts w:ascii="Calibri" w:hAnsi="Calibri"/>
    </w:rPr>
  </w:style>
  <w:style w:type="character" w:customStyle="1" w:styleId="140">
    <w:name w:val="样式 样式 Times New Roman 首行缩进:  0.74 厘米 段前: 0行 行距1.15 + (符号) Tim... Char Char"/>
    <w:link w:val="141"/>
    <w:uiPriority w:val="0"/>
  </w:style>
  <w:style w:type="paragraph" w:customStyle="1" w:styleId="141">
    <w:name w:val="样式 样式 Times New Roman 首行缩进:  0.74 厘米 段前: 0行 行距1.15 + (符号) Tim..."/>
    <w:basedOn w:val="142"/>
    <w:link w:val="140"/>
    <w:uiPriority w:val="0"/>
  </w:style>
  <w:style w:type="paragraph" w:customStyle="1" w:styleId="142">
    <w:name w:val="样式 Times New Roman 首行缩进:  0.74 厘米 段前: 0.1 行 行距1.15"/>
    <w:basedOn w:val="1"/>
    <w:link w:val="143"/>
    <w:uiPriority w:val="0"/>
    <w:pPr>
      <w:spacing w:line="276" w:lineRule="auto"/>
      <w:ind w:firstLine="420"/>
    </w:pPr>
    <w:rPr>
      <w:rFonts w:ascii="Calibri" w:hAnsi="宋体"/>
    </w:rPr>
  </w:style>
  <w:style w:type="character" w:customStyle="1" w:styleId="143">
    <w:name w:val="样式 Times New Roman 首行缩进:  0.74 厘米 段前: 0.1 行 行距1.15 Char Char"/>
    <w:link w:val="142"/>
    <w:uiPriority w:val="0"/>
    <w:rPr>
      <w:rFonts w:hAnsi="宋体"/>
      <w:kern w:val="2"/>
      <w:sz w:val="21"/>
    </w:rPr>
  </w:style>
  <w:style w:type="character" w:customStyle="1" w:styleId="144">
    <w:name w:val="个人撰写风格"/>
    <w:uiPriority w:val="0"/>
    <w:rPr>
      <w:rFonts w:ascii="Arial" w:hAnsi="Arial" w:eastAsia="宋体"/>
      <w:color w:val="auto"/>
      <w:sz w:val="20"/>
    </w:rPr>
  </w:style>
  <w:style w:type="character" w:customStyle="1" w:styleId="145">
    <w:name w:val="着重强调"/>
    <w:uiPriority w:val="0"/>
    <w:rPr>
      <w:rFonts w:ascii="Arial" w:hAnsi="Arial"/>
      <w:b/>
      <w:spacing w:val="-4"/>
    </w:rPr>
  </w:style>
  <w:style w:type="character" w:customStyle="1" w:styleId="146">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47">
    <w:name w:val="样式 a) Char Char"/>
    <w:link w:val="148"/>
    <w:uiPriority w:val="0"/>
    <w:rPr>
      <w:kern w:val="2"/>
      <w:sz w:val="21"/>
    </w:rPr>
  </w:style>
  <w:style w:type="paragraph" w:customStyle="1" w:styleId="148">
    <w:name w:val="样式 a)"/>
    <w:basedOn w:val="1"/>
    <w:next w:val="1"/>
    <w:link w:val="147"/>
    <w:uiPriority w:val="0"/>
    <w:pPr>
      <w:tabs>
        <w:tab w:val="left" w:pos="780"/>
      </w:tabs>
      <w:spacing w:beforeLines="10" w:line="312" w:lineRule="auto"/>
      <w:ind w:firstLine="200" w:firstLineChars="200"/>
    </w:pPr>
    <w:rPr>
      <w:rFonts w:ascii="Calibri" w:hAnsi="Calibri"/>
    </w:rPr>
  </w:style>
  <w:style w:type="character" w:customStyle="1" w:styleId="149">
    <w:name w:val="Reference"/>
    <w:uiPriority w:val="0"/>
    <w:rPr>
      <w:rFonts w:ascii="Arial" w:hAnsi="Arial"/>
      <w:sz w:val="20"/>
      <w:lang w:val="en-US" w:eastAsia="zh-CN"/>
    </w:rPr>
  </w:style>
  <w:style w:type="character" w:customStyle="1" w:styleId="150">
    <w:name w:val="Lincer表格样式 Char Char"/>
    <w:link w:val="151"/>
    <w:uiPriority w:val="0"/>
    <w:rPr>
      <w:kern w:val="2"/>
      <w:sz w:val="21"/>
    </w:rPr>
  </w:style>
  <w:style w:type="paragraph" w:customStyle="1" w:styleId="151">
    <w:name w:val="Lincer表格样式"/>
    <w:basedOn w:val="1"/>
    <w:link w:val="150"/>
    <w:uiPriority w:val="0"/>
    <w:pPr>
      <w:ind w:left="344" w:hanging="344" w:hangingChars="164"/>
    </w:pPr>
    <w:rPr>
      <w:rFonts w:ascii="Calibri" w:hAnsi="Calibri"/>
    </w:rPr>
  </w:style>
  <w:style w:type="character" w:customStyle="1" w:styleId="152">
    <w:name w:val="SoDA Field"/>
    <w:uiPriority w:val="0"/>
    <w:rPr>
      <w:color w:val="0000FF"/>
    </w:rPr>
  </w:style>
  <w:style w:type="character" w:customStyle="1" w:styleId="153">
    <w:name w:val="short_text1"/>
    <w:uiPriority w:val="0"/>
    <w:rPr>
      <w:sz w:val="29"/>
    </w:rPr>
  </w:style>
  <w:style w:type="character" w:customStyle="1" w:styleId="154">
    <w:name w:val="样式 样式 样式 标题 2 + 段前: 0.1 行 + 段前: 0.1 行 + Times New Roman Char Char"/>
    <w:link w:val="155"/>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uiPriority w:val="0"/>
    <w:pPr>
      <w:tabs>
        <w:tab w:val="left" w:pos="500"/>
      </w:tabs>
      <w:spacing w:beforeLines="50" w:afterLines="50" w:line="240" w:lineRule="auto"/>
    </w:pPr>
    <w:rPr>
      <w:rFonts w:ascii="Calibri" w:hAnsi="Calibri" w:eastAsia="黑体"/>
      <w:lang w:val="en-US" w:eastAsia="zh-CN"/>
    </w:rPr>
  </w:style>
  <w:style w:type="paragraph" w:customStyle="1" w:styleId="15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uiPriority w:val="0"/>
    <w:rPr>
      <w:rFonts w:eastAsia="黑体"/>
      <w:b/>
      <w:kern w:val="2"/>
      <w:sz w:val="21"/>
      <w:lang w:val="en-US" w:eastAsia="zh-CN"/>
    </w:rPr>
  </w:style>
  <w:style w:type="character" w:customStyle="1" w:styleId="159">
    <w:name w:val="表头 Char Char"/>
    <w:uiPriority w:val="0"/>
    <w:rPr>
      <w:rFonts w:eastAsia="黑体"/>
      <w:kern w:val="2"/>
      <w:sz w:val="21"/>
      <w:szCs w:val="21"/>
      <w:lang w:val="en-US" w:eastAsia="zh-CN" w:bidi="ar-SA"/>
    </w:rPr>
  </w:style>
  <w:style w:type="character" w:customStyle="1" w:styleId="160">
    <w:name w:val="样式 标题 2 + 五号 Char Char"/>
    <w:uiPriority w:val="0"/>
    <w:rPr>
      <w:rFonts w:eastAsia="黑体"/>
      <w:bCs/>
      <w:kern w:val="2"/>
      <w:sz w:val="21"/>
      <w:szCs w:val="21"/>
      <w:lang w:val="en-US" w:eastAsia="zh-CN" w:bidi="ar-SA"/>
    </w:rPr>
  </w:style>
  <w:style w:type="character" w:customStyle="1" w:styleId="161">
    <w:name w:val="表头 Char"/>
    <w:link w:val="162"/>
    <w:uiPriority w:val="0"/>
    <w:rPr>
      <w:rFonts w:ascii="Times New Roman" w:hAnsi="Times New Roman" w:eastAsia="黑体"/>
      <w:kern w:val="2"/>
      <w:sz w:val="21"/>
      <w:szCs w:val="21"/>
    </w:rPr>
  </w:style>
  <w:style w:type="paragraph" w:customStyle="1" w:styleId="162">
    <w:name w:val="表头"/>
    <w:basedOn w:val="1"/>
    <w:link w:val="161"/>
    <w:uiPriority w:val="0"/>
    <w:pPr>
      <w:topLinePunct/>
      <w:spacing w:before="160" w:after="60"/>
      <w:jc w:val="center"/>
    </w:pPr>
    <w:rPr>
      <w:rFonts w:eastAsia="黑体"/>
      <w:szCs w:val="21"/>
    </w:rPr>
  </w:style>
  <w:style w:type="character" w:customStyle="1" w:styleId="163">
    <w:name w:val="样式1 Char"/>
    <w:link w:val="164"/>
    <w:locked/>
    <w:uiPriority w:val="0"/>
    <w:rPr>
      <w:rFonts w:ascii="Times New Roman" w:hAnsi="Times New Roman"/>
      <w:kern w:val="2"/>
      <w:sz w:val="28"/>
      <w:szCs w:val="24"/>
    </w:rPr>
  </w:style>
  <w:style w:type="paragraph" w:customStyle="1" w:styleId="164">
    <w:name w:val="样式1"/>
    <w:basedOn w:val="1"/>
    <w:link w:val="163"/>
    <w:uiPriority w:val="0"/>
    <w:rPr>
      <w:sz w:val="28"/>
      <w:szCs w:val="24"/>
    </w:rPr>
  </w:style>
  <w:style w:type="character" w:customStyle="1" w:styleId="165">
    <w:name w:val="发布"/>
    <w:uiPriority w:val="0"/>
    <w:rPr>
      <w:rFonts w:ascii="黑体" w:eastAsia="黑体"/>
      <w:spacing w:val="22"/>
      <w:w w:val="100"/>
      <w:position w:val="3"/>
      <w:sz w:val="28"/>
    </w:rPr>
  </w:style>
  <w:style w:type="character" w:customStyle="1" w:styleId="166">
    <w:name w:val="表格条文首行缩进 Char Char"/>
    <w:link w:val="167"/>
    <w:uiPriority w:val="0"/>
    <w:rPr>
      <w:rFonts w:ascii="宋体" w:hAnsi="宋体"/>
      <w:sz w:val="24"/>
    </w:rPr>
  </w:style>
  <w:style w:type="paragraph" w:customStyle="1" w:styleId="167">
    <w:name w:val="表格条文首行缩进"/>
    <w:basedOn w:val="1"/>
    <w:link w:val="166"/>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uiPriority w:val="0"/>
    <w:rPr>
      <w:kern w:val="2"/>
      <w:sz w:val="21"/>
    </w:rPr>
  </w:style>
  <w:style w:type="paragraph" w:customStyle="1" w:styleId="169">
    <w:name w:val="样式1正文（首行缩进两字） Char"/>
    <w:basedOn w:val="1"/>
    <w:next w:val="1"/>
    <w:link w:val="168"/>
    <w:uiPriority w:val="0"/>
    <w:pPr>
      <w:topLinePunct/>
      <w:snapToGrid w:val="0"/>
      <w:spacing w:before="40" w:after="40"/>
      <w:ind w:firstLine="396" w:firstLineChars="200"/>
    </w:pPr>
    <w:rPr>
      <w:rFonts w:ascii="Calibri" w:hAnsi="Calibri"/>
    </w:rPr>
  </w:style>
  <w:style w:type="character" w:customStyle="1" w:styleId="170">
    <w:name w:val="Char Char2"/>
    <w:uiPriority w:val="0"/>
    <w:rPr>
      <w:rFonts w:ascii="Arial" w:hAnsi="Arial" w:eastAsia="宋体"/>
      <w:kern w:val="2"/>
      <w:sz w:val="21"/>
      <w:lang w:val="en-US" w:eastAsia="zh-CN"/>
    </w:rPr>
  </w:style>
  <w:style w:type="character" w:customStyle="1" w:styleId="171">
    <w:name w:val="样式 a首行缩进:  2 字符 段前: 0 行 Char Char"/>
    <w:link w:val="172"/>
    <w:uiPriority w:val="0"/>
    <w:rPr>
      <w:sz w:val="21"/>
    </w:rPr>
  </w:style>
  <w:style w:type="paragraph" w:customStyle="1" w:styleId="172">
    <w:name w:val="样式 a首行缩进:  2 字符 段前: 0 行"/>
    <w:basedOn w:val="1"/>
    <w:link w:val="171"/>
    <w:uiPriority w:val="0"/>
    <w:pPr>
      <w:adjustRightInd w:val="0"/>
      <w:spacing w:afterLines="50"/>
      <w:jc w:val="left"/>
      <w:textAlignment w:val="baseline"/>
    </w:pPr>
    <w:rPr>
      <w:rFonts w:ascii="Calibri" w:hAnsi="Calibri"/>
      <w:kern w:val="0"/>
    </w:rPr>
  </w:style>
  <w:style w:type="character" w:customStyle="1" w:styleId="173">
    <w:name w:val="朱2 Char Char"/>
    <w:link w:val="174"/>
    <w:uiPriority w:val="0"/>
  </w:style>
  <w:style w:type="paragraph" w:customStyle="1" w:styleId="174">
    <w:name w:val="朱2"/>
    <w:basedOn w:val="175"/>
    <w:link w:val="173"/>
    <w:uiPriority w:val="0"/>
    <w:pPr>
      <w:topLinePunct/>
      <w:adjustRightInd w:val="0"/>
      <w:spacing w:line="312" w:lineRule="exact"/>
    </w:pPr>
  </w:style>
  <w:style w:type="paragraph" w:customStyle="1" w:styleId="175">
    <w:name w:val="样式2"/>
    <w:basedOn w:val="164"/>
    <w:link w:val="176"/>
    <w:uiPriority w:val="0"/>
  </w:style>
  <w:style w:type="character" w:customStyle="1" w:styleId="176">
    <w:name w:val="样式2 Char Char"/>
    <w:link w:val="175"/>
    <w:uiPriority w:val="0"/>
    <w:rPr>
      <w:rFonts w:ascii="Times New Roman" w:hAnsi="Times New Roman"/>
      <w:kern w:val="2"/>
      <w:sz w:val="28"/>
      <w:szCs w:val="24"/>
    </w:rPr>
  </w:style>
  <w:style w:type="character" w:customStyle="1" w:styleId="177">
    <w:name w:val="样式 正文（首行缩进两字） Char + Times New Roman Char Char"/>
    <w:link w:val="178"/>
    <w:uiPriority w:val="0"/>
  </w:style>
  <w:style w:type="paragraph" w:customStyle="1" w:styleId="178">
    <w:name w:val="样式 正文（首行缩进两字） Char + Times New Roman"/>
    <w:basedOn w:val="169"/>
    <w:link w:val="177"/>
    <w:uiPriority w:val="0"/>
    <w:pPr>
      <w:ind w:firstLine="0" w:firstLineChars="0"/>
      <w:jc w:val="center"/>
    </w:pPr>
    <w:rPr>
      <w:rFonts w:ascii="Calibri" w:hAnsi="Calibri"/>
    </w:rPr>
  </w:style>
  <w:style w:type="character" w:customStyle="1" w:styleId="179">
    <w:name w:val="_标准条文 Char Char"/>
    <w:link w:val="180"/>
    <w:uiPriority w:val="0"/>
    <w:rPr>
      <w:rFonts w:ascii="Arial" w:hAnsi="Arial"/>
      <w:kern w:val="2"/>
      <w:sz w:val="21"/>
    </w:rPr>
  </w:style>
  <w:style w:type="paragraph" w:customStyle="1" w:styleId="180">
    <w:name w:val="_标准条文"/>
    <w:basedOn w:val="1"/>
    <w:link w:val="179"/>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uiPriority w:val="0"/>
    <w:rPr>
      <w:rFonts w:eastAsia="黑体"/>
      <w:sz w:val="21"/>
    </w:rPr>
  </w:style>
  <w:style w:type="paragraph" w:customStyle="1" w:styleId="182">
    <w:name w:val="样式 a首行缩进:  0 字符 段前: 0 行 + 黑体"/>
    <w:basedOn w:val="172"/>
    <w:link w:val="181"/>
    <w:uiPriority w:val="0"/>
    <w:rPr>
      <w:rFonts w:eastAsia="黑体"/>
    </w:rPr>
  </w:style>
  <w:style w:type="character" w:customStyle="1" w:styleId="183">
    <w:name w:val="个人答复风格"/>
    <w:uiPriority w:val="0"/>
    <w:rPr>
      <w:rFonts w:ascii="Arial" w:hAnsi="Arial" w:eastAsia="宋体"/>
      <w:color w:val="auto"/>
      <w:sz w:val="20"/>
    </w:rPr>
  </w:style>
  <w:style w:type="character" w:customStyle="1" w:styleId="184">
    <w:name w:val="上标"/>
    <w:uiPriority w:val="0"/>
    <w:rPr>
      <w:b/>
      <w:vertAlign w:val="superscript"/>
    </w:rPr>
  </w:style>
  <w:style w:type="character" w:customStyle="1" w:styleId="185">
    <w:name w:val="msoins"/>
    <w:uiPriority w:val="0"/>
    <w:rPr>
      <w:u w:val="single"/>
    </w:rPr>
  </w:style>
  <w:style w:type="character" w:customStyle="1" w:styleId="186">
    <w:name w:val="样式 宋体"/>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39"/>
    <w:link w:val="187"/>
    <w:uiPriority w:val="0"/>
    <w:pPr>
      <w:spacing w:line="300" w:lineRule="auto"/>
    </w:pPr>
    <w:rPr>
      <w:rFonts w:ascii="Calibri" w:hAnsi="Calibri"/>
    </w:rPr>
  </w:style>
  <w:style w:type="character" w:customStyle="1" w:styleId="189">
    <w:name w:val="列表编号 2 Char Char"/>
    <w:uiPriority w:val="0"/>
    <w:rPr>
      <w:rFonts w:ascii="Arial" w:hAnsi="Arial" w:eastAsia="宋体"/>
      <w:sz w:val="18"/>
      <w:lang w:val="en-US" w:eastAsia="zh-CN"/>
    </w:rPr>
  </w:style>
  <w:style w:type="character" w:customStyle="1" w:styleId="190">
    <w:name w:val="标语"/>
    <w:uiPriority w:val="0"/>
    <w:rPr>
      <w:i/>
      <w:spacing w:val="-6"/>
      <w:sz w:val="24"/>
    </w:rPr>
  </w:style>
  <w:style w:type="character" w:customStyle="1" w:styleId="191">
    <w:name w:val="附录三 Char Char"/>
    <w:link w:val="192"/>
    <w:uiPriority w:val="0"/>
    <w:rPr>
      <w:rFonts w:ascii="E-F1" w:eastAsia="黑体"/>
      <w:kern w:val="21"/>
      <w:sz w:val="21"/>
    </w:rPr>
  </w:style>
  <w:style w:type="paragraph" w:customStyle="1" w:styleId="192">
    <w:name w:val="附录三"/>
    <w:basedOn w:val="1"/>
    <w:link w:val="191"/>
    <w:uiPriority w:val="0"/>
    <w:pPr>
      <w:tabs>
        <w:tab w:val="center" w:pos="4706"/>
        <w:tab w:val="right" w:pos="9072"/>
      </w:tabs>
      <w:spacing w:before="120" w:after="60" w:line="312" w:lineRule="exact"/>
    </w:pPr>
    <w:rPr>
      <w:rFonts w:ascii="E-F1" w:hAnsi="Calibri" w:eastAsia="黑体"/>
      <w:kern w:val="21"/>
    </w:rPr>
  </w:style>
  <w:style w:type="character" w:customStyle="1" w:styleId="193">
    <w:name w:val="标题 1 Char Char"/>
    <w:uiPriority w:val="0"/>
    <w:rPr>
      <w:rFonts w:eastAsia="黑体"/>
      <w:kern w:val="44"/>
      <w:sz w:val="28"/>
      <w:szCs w:val="28"/>
      <w:lang w:val="en-US" w:eastAsia="zh-CN" w:bidi="ar-SA"/>
    </w:rPr>
  </w:style>
  <w:style w:type="character" w:customStyle="1" w:styleId="194">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95"/>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uiPriority w:val="0"/>
    <w:rPr>
      <w:rFonts w:ascii="Arial" w:hAnsi="Arial" w:eastAsia="黑体"/>
      <w:kern w:val="2"/>
      <w:sz w:val="21"/>
    </w:rPr>
  </w:style>
  <w:style w:type="paragraph" w:customStyle="1" w:styleId="197">
    <w:name w:val="附录标题2"/>
    <w:basedOn w:val="4"/>
    <w:next w:val="73"/>
    <w:link w:val="196"/>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99">
    <w:name w:val="样式 标题 1 + 加粗 Char Char"/>
    <w:uiPriority w:val="0"/>
    <w:rPr>
      <w:rFonts w:eastAsia="黑体"/>
      <w:b/>
      <w:bCs/>
      <w:kern w:val="44"/>
      <w:sz w:val="28"/>
      <w:szCs w:val="28"/>
      <w:lang w:val="en-US" w:eastAsia="zh-CN" w:bidi="ar-SA"/>
    </w:rPr>
  </w:style>
  <w:style w:type="character" w:customStyle="1" w:styleId="200">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1">
    <w:name w:val="段 Char Char"/>
    <w:link w:val="202"/>
    <w:uiPriority w:val="0"/>
    <w:rPr>
      <w:rFonts w:ascii="宋体" w:hAnsi="Times New Roman"/>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sz w:val="21"/>
      <w:lang w:val="en-US" w:eastAsia="zh-CN" w:bidi="ar-SA"/>
    </w:rPr>
  </w:style>
  <w:style w:type="character" w:customStyle="1" w:styleId="203">
    <w:name w:val="样式 标题 2 + 段前: 0.1 行 Char Char"/>
    <w:link w:val="204"/>
    <w:uiPriority w:val="0"/>
    <w:rPr>
      <w:b/>
      <w:kern w:val="2"/>
      <w:sz w:val="21"/>
    </w:rPr>
  </w:style>
  <w:style w:type="paragraph" w:customStyle="1" w:styleId="204">
    <w:name w:val="样式 标题 2 + 段前: 0.1 行"/>
    <w:basedOn w:val="4"/>
    <w:link w:val="203"/>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short_text"/>
    <w:uiPriority w:val="0"/>
  </w:style>
  <w:style w:type="character" w:customStyle="1" w:styleId="208">
    <w:name w:val="样式2 Char"/>
    <w:uiPriority w:val="0"/>
    <w:rPr>
      <w:rFonts w:ascii="EU-F1" w:eastAsia="黑体"/>
      <w:color w:val="000000"/>
      <w:kern w:val="44"/>
      <w:sz w:val="21"/>
      <w:szCs w:val="21"/>
      <w:lang w:val="en-US" w:eastAsia="zh-CN" w:bidi="ar-SA"/>
    </w:rPr>
  </w:style>
  <w:style w:type="character" w:customStyle="1" w:styleId="209">
    <w:name w:val="样式1 Char Char"/>
    <w:uiPriority w:val="0"/>
    <w:rPr>
      <w:rFonts w:ascii="Times New Roman" w:hAnsi="Times New Roman" w:eastAsia="宋体" w:cs="宋体"/>
      <w:b/>
      <w:kern w:val="44"/>
      <w:sz w:val="52"/>
      <w:szCs w:val="52"/>
    </w:rPr>
  </w:style>
  <w:style w:type="character" w:customStyle="1" w:styleId="210">
    <w:name w:val="批注文字 Char1"/>
    <w:uiPriority w:val="0"/>
    <w:rPr>
      <w:sz w:val="24"/>
    </w:rPr>
  </w:style>
  <w:style w:type="paragraph" w:customStyle="1" w:styleId="211">
    <w:name w:val="三级无标题条"/>
    <w:basedOn w:val="1"/>
    <w:uiPriority w:val="0"/>
    <w:pPr>
      <w:numPr>
        <w:ilvl w:val="4"/>
        <w:numId w:val="1"/>
      </w:numPr>
    </w:pPr>
    <w:rPr>
      <w:b/>
    </w:rPr>
  </w:style>
  <w:style w:type="paragraph" w:customStyle="1" w:styleId="212">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213">
    <w:name w:val="表文"/>
    <w:basedOn w:val="1"/>
    <w:uiPriority w:val="0"/>
    <w:pPr>
      <w:topLinePunct/>
      <w:spacing w:before="40" w:after="40"/>
    </w:pPr>
    <w:rPr>
      <w:sz w:val="18"/>
      <w:szCs w:val="18"/>
    </w:rPr>
  </w:style>
  <w:style w:type="paragraph" w:customStyle="1" w:styleId="214">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uiPriority w:val="0"/>
    <w:pPr>
      <w:topLinePunct/>
      <w:snapToGrid w:val="0"/>
      <w:spacing w:before="160" w:after="60"/>
      <w:jc w:val="center"/>
    </w:pPr>
  </w:style>
  <w:style w:type="paragraph" w:customStyle="1" w:styleId="216">
    <w:name w:val="发布部门"/>
    <w:next w:val="202"/>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17">
    <w:name w:val="样式3"/>
    <w:basedOn w:val="164"/>
    <w:uiPriority w:val="0"/>
  </w:style>
  <w:style w:type="paragraph" w:customStyle="1" w:styleId="218">
    <w:name w:val="样式 样式 首行缩进:  0.77 厘米 段前: 0.1 行 + 首行缩进:  2 字符 段前: 0.1 行"/>
    <w:basedOn w:val="1"/>
    <w:uiPriority w:val="0"/>
    <w:pPr>
      <w:spacing w:line="276" w:lineRule="auto"/>
      <w:ind w:firstLine="200" w:firstLineChars="200"/>
    </w:pPr>
  </w:style>
  <w:style w:type="paragraph" w:customStyle="1" w:styleId="219">
    <w:name w:val="Normal_0_0"/>
    <w:qFormat/>
    <w:uiPriority w:val="0"/>
    <w:rPr>
      <w:rFonts w:ascii="黑体" w:hAnsi="黑体" w:eastAsia="黑体"/>
      <w:b/>
      <w:sz w:val="32"/>
      <w:szCs w:val="24"/>
      <w:lang w:val="en-US" w:eastAsia="zh-CN" w:bidi="ar-SA"/>
    </w:rPr>
  </w:style>
  <w:style w:type="paragraph" w:customStyle="1" w:styleId="220">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21">
    <w:name w:val="其他发布部门"/>
    <w:basedOn w:val="216"/>
    <w:uiPriority w:val="0"/>
    <w:pPr>
      <w:spacing w:line="0" w:lineRule="atLeast"/>
    </w:pPr>
    <w:rPr>
      <w:rFonts w:ascii="黑体" w:eastAsia="黑体"/>
      <w:b w:val="0"/>
    </w:rPr>
  </w:style>
  <w:style w:type="paragraph" w:customStyle="1" w:styleId="222">
    <w:name w:val="样式 正文（首行缩进两字） Char + 首行缩进:  2 字符"/>
    <w:basedOn w:val="169"/>
    <w:uiPriority w:val="0"/>
    <w:pPr>
      <w:spacing w:afterLines="10"/>
      <w:ind w:firstLine="200"/>
      <w:jc w:val="center"/>
    </w:pPr>
    <w:rPr>
      <w:b/>
    </w:rPr>
  </w:style>
  <w:style w:type="paragraph" w:customStyle="1" w:styleId="223">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uiPriority w:val="0"/>
    <w:pPr>
      <w:spacing w:beforeLines="10" w:line="312" w:lineRule="auto"/>
    </w:pPr>
    <w:rPr>
      <w:bCs w:val="0"/>
    </w:rPr>
  </w:style>
  <w:style w:type="paragraph" w:customStyle="1" w:styleId="225">
    <w:name w:val="样式 样式 标题 2 + 段前: 0.5 行 段后: 0.5 行 + 首行缩进:  2 字符 段前: 0.5 行 段后: 0..."/>
    <w:basedOn w:val="226"/>
    <w:uiPriority w:val="0"/>
  </w:style>
  <w:style w:type="paragraph" w:customStyle="1" w:styleId="226">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uiPriority w:val="0"/>
    <w:pPr>
      <w:spacing w:line="360" w:lineRule="auto"/>
      <w:ind w:firstLine="200" w:firstLineChars="200"/>
    </w:pPr>
    <w:rPr>
      <w:rFonts w:ascii="宋体" w:hAnsi="宋体"/>
      <w:kern w:val="0"/>
      <w:sz w:val="24"/>
    </w:rPr>
  </w:style>
  <w:style w:type="paragraph" w:customStyle="1" w:styleId="228">
    <w:name w:val="Char Char"/>
    <w:basedOn w:val="1"/>
    <w:uiPriority w:val="0"/>
    <w:rPr>
      <w:szCs w:val="21"/>
    </w:rPr>
  </w:style>
  <w:style w:type="paragraph" w:customStyle="1" w:styleId="229">
    <w:name w:val="样式 正文（首行缩进两字） Char + 黑色 首行缩进:  2 字符 段前: 0.1 行"/>
    <w:basedOn w:val="169"/>
    <w:uiPriority w:val="0"/>
    <w:pPr>
      <w:spacing w:before="24" w:afterLines="10"/>
      <w:ind w:firstLine="200"/>
    </w:pPr>
    <w:rPr>
      <w:color w:val="000000"/>
    </w:rPr>
  </w:style>
  <w:style w:type="paragraph" w:customStyle="1" w:styleId="230">
    <w:name w:val="批注主题 Char Char"/>
    <w:basedOn w:val="26"/>
    <w:next w:val="26"/>
    <w:uiPriority w:val="0"/>
    <w:rPr>
      <w:b/>
      <w:bCs/>
    </w:rPr>
  </w:style>
  <w:style w:type="paragraph" w:customStyle="1" w:styleId="23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uiPriority w:val="0"/>
    <w:pPr>
      <w:tabs>
        <w:tab w:val="left" w:pos="700"/>
      </w:tabs>
      <w:spacing w:beforeLines="30" w:afterLines="30" w:line="240" w:lineRule="auto"/>
    </w:pPr>
    <w:rPr>
      <w:rFonts w:eastAsia="黑体"/>
      <w:b w:val="0"/>
    </w:r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uiPriority w:val="0"/>
    <w:pPr>
      <w:numPr>
        <w:ilvl w:val="3"/>
        <w:numId w:val="2"/>
      </w:numPr>
      <w:tabs>
        <w:tab w:val="left" w:pos="-1080"/>
      </w:tabs>
      <w:outlineLvl w:val="3"/>
    </w:pPr>
  </w:style>
  <w:style w:type="paragraph" w:customStyle="1" w:styleId="236">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41">
    <w:name w:val="正文格式"/>
    <w:basedOn w:val="1"/>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uiPriority w:val="0"/>
  </w:style>
  <w:style w:type="paragraph" w:customStyle="1" w:styleId="243">
    <w:name w:val="样式 正文文本 2 + 段前: 0.1 行"/>
    <w:basedOn w:val="66"/>
    <w:uiPriority w:val="0"/>
    <w:pPr>
      <w:spacing w:beforeLines="10" w:after="0" w:line="264" w:lineRule="auto"/>
      <w:jc w:val="left"/>
    </w:pPr>
    <w:rPr>
      <w:sz w:val="18"/>
    </w:rPr>
  </w:style>
  <w:style w:type="paragraph" w:customStyle="1" w:styleId="244">
    <w:name w:val="样式6"/>
    <w:basedOn w:val="1"/>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kern w:val="2"/>
      <w:sz w:val="21"/>
      <w:szCs w:val="22"/>
      <w:lang w:val="en-US" w:eastAsia="zh-CN" w:bidi="ar-SA"/>
    </w:rPr>
  </w:style>
  <w:style w:type="paragraph" w:customStyle="1" w:styleId="246">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uiPriority w:val="0"/>
    <w:rPr>
      <w:szCs w:val="24"/>
    </w:rPr>
  </w:style>
  <w:style w:type="paragraph" w:customStyle="1" w:styleId="248">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49">
    <w:name w:val="p0"/>
    <w:basedOn w:val="1"/>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uiPriority w:val="0"/>
    <w:rPr>
      <w:sz w:val="18"/>
      <w:szCs w:val="18"/>
    </w:rPr>
  </w:style>
  <w:style w:type="paragraph" w:customStyle="1" w:styleId="251">
    <w:name w:val="样式4"/>
    <w:basedOn w:val="21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253">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25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5">
    <w:name w:val="样式 首行缩进:  0 厘米 行距: 单倍行距"/>
    <w:basedOn w:val="1"/>
    <w:uiPriority w:val="0"/>
    <w:pPr>
      <w:adjustRightInd w:val="0"/>
      <w:textAlignment w:val="baseline"/>
    </w:pPr>
    <w:rPr>
      <w:kern w:val="0"/>
    </w:rPr>
  </w:style>
  <w:style w:type="paragraph" w:customStyle="1" w:styleId="256">
    <w:name w:val="术语定义三级条标题"/>
    <w:basedOn w:val="239"/>
    <w:next w:val="202"/>
    <w:uiPriority w:val="0"/>
    <w:pPr>
      <w:tabs>
        <w:tab w:val="left" w:pos="1575"/>
        <w:tab w:val="clear" w:pos="735"/>
      </w:tabs>
      <w:ind w:left="1575"/>
    </w:pPr>
  </w:style>
  <w:style w:type="paragraph" w:customStyle="1" w:styleId="257">
    <w:name w:val="Char Char Char Char"/>
    <w:basedOn w:val="1"/>
    <w:uiPriority w:val="0"/>
    <w:rPr>
      <w:szCs w:val="24"/>
    </w:rPr>
  </w:style>
  <w:style w:type="paragraph" w:customStyle="1" w:styleId="258">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59">
    <w:name w:val="样式1 样式 标题 5 + 段前: 0 行"/>
    <w:basedOn w:val="260"/>
    <w:next w:val="1"/>
    <w:uiPriority w:val="0"/>
    <w:pPr>
      <w:tabs>
        <w:tab w:val="left" w:pos="1050"/>
        <w:tab w:val="left" w:pos="1080"/>
      </w:tabs>
      <w:spacing w:beforeLines="0" w:line="276" w:lineRule="auto"/>
    </w:pPr>
  </w:style>
  <w:style w:type="paragraph" w:customStyle="1" w:styleId="26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paragraph" w:customStyle="1" w:styleId="262">
    <w:name w:val="正文_1_1"/>
    <w:qFormat/>
    <w:uiPriority w:val="0"/>
    <w:pPr>
      <w:widowControl w:val="0"/>
      <w:jc w:val="both"/>
    </w:pPr>
    <w:rPr>
      <w:kern w:val="2"/>
      <w:sz w:val="21"/>
      <w:szCs w:val="22"/>
      <w:lang w:val="en-US" w:eastAsia="zh-CN" w:bidi="ar-SA"/>
    </w:rPr>
  </w:style>
  <w:style w:type="paragraph" w:customStyle="1" w:styleId="263">
    <w:name w:val="正文_1_0"/>
    <w:qFormat/>
    <w:uiPriority w:val="0"/>
    <w:pPr>
      <w:widowControl w:val="0"/>
      <w:jc w:val="both"/>
    </w:pPr>
    <w:rPr>
      <w:kern w:val="2"/>
      <w:sz w:val="21"/>
      <w:szCs w:val="22"/>
      <w:lang w:val="en-US" w:eastAsia="zh-CN" w:bidi="ar-SA"/>
    </w:rPr>
  </w:style>
  <w:style w:type="paragraph" w:customStyle="1" w:styleId="264">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265">
    <w:name w:val="a.a.a"/>
    <w:basedOn w:val="1"/>
    <w:uiPriority w:val="0"/>
    <w:pPr>
      <w:spacing w:beforeLines="50" w:afterLines="50"/>
      <w:jc w:val="left"/>
      <w:outlineLvl w:val="2"/>
    </w:pPr>
    <w:rPr>
      <w:rFonts w:ascii="黑体" w:hAnsi="宋体" w:eastAsia="黑体"/>
      <w:sz w:val="24"/>
    </w:rPr>
  </w:style>
  <w:style w:type="paragraph" w:customStyle="1" w:styleId="266">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67">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268">
    <w:name w:val="封面标准号2"/>
    <w:basedOn w:val="269"/>
    <w:uiPriority w:val="0"/>
    <w:pPr>
      <w:spacing w:before="357" w:line="280" w:lineRule="exact"/>
    </w:pPr>
  </w:style>
  <w:style w:type="paragraph" w:customStyle="1" w:styleId="269">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270">
    <w:name w:val="普通文字"/>
    <w:basedOn w:val="1"/>
    <w:next w:val="1"/>
    <w:qFormat/>
    <w:uiPriority w:val="0"/>
    <w:rPr>
      <w:rFonts w:ascii="宋体"/>
      <w:kern w:val="0"/>
      <w:sz w:val="24"/>
      <w:u w:val="none" w:color="000000"/>
    </w:rPr>
  </w:style>
  <w:style w:type="paragraph" w:customStyle="1" w:styleId="27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27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uiPriority w:val="0"/>
    <w:pPr>
      <w:spacing w:before="400" w:after="440"/>
    </w:pPr>
    <w:rPr>
      <w:rFonts w:ascii="Times New Roman" w:hAnsi="Times New Roman"/>
      <w:spacing w:val="-30"/>
      <w:sz w:val="60"/>
    </w:rPr>
  </w:style>
  <w:style w:type="paragraph" w:customStyle="1" w:styleId="274">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276">
    <w:name w:val="公司名"/>
    <w:basedOn w:val="277"/>
    <w:uiPriority w:val="0"/>
    <w:pPr>
      <w:spacing w:before="0"/>
    </w:pPr>
  </w:style>
  <w:style w:type="paragraph" w:customStyle="1" w:styleId="277">
    <w:name w:val="_标准名称"/>
    <w:basedOn w:val="1"/>
    <w:next w:val="30"/>
    <w:uiPriority w:val="0"/>
    <w:pPr>
      <w:snapToGrid w:val="0"/>
      <w:spacing w:before="567" w:after="680"/>
      <w:jc w:val="center"/>
    </w:pPr>
    <w:rPr>
      <w:rFonts w:ascii="Arial" w:hAnsi="Arial" w:eastAsia="黑体"/>
      <w:sz w:val="32"/>
    </w:rPr>
  </w:style>
  <w:style w:type="paragraph" w:customStyle="1" w:styleId="278">
    <w:name w:val="四级无标题条"/>
    <w:basedOn w:val="1"/>
    <w:uiPriority w:val="0"/>
    <w:pPr>
      <w:numPr>
        <w:ilvl w:val="5"/>
        <w:numId w:val="1"/>
      </w:numPr>
    </w:pPr>
    <w:rPr>
      <w:rFonts w:eastAsia="黑体"/>
      <w:b/>
    </w:rPr>
  </w:style>
  <w:style w:type="paragraph" w:customStyle="1" w:styleId="279">
    <w:name w:val="正文表标题"/>
    <w:next w:val="1"/>
    <w:uiPriority w:val="0"/>
    <w:pPr>
      <w:jc w:val="center"/>
    </w:pPr>
    <w:rPr>
      <w:rFonts w:ascii="黑体" w:hAnsi="Times New Roman" w:eastAsia="黑体"/>
      <w:sz w:val="21"/>
      <w:lang w:val="en-US" w:eastAsia="zh-CN" w:bidi="ar-SA"/>
    </w:rPr>
  </w:style>
  <w:style w:type="paragraph" w:customStyle="1" w:styleId="280">
    <w:name w:val="样式 样式 样式 首行缩进:  0.77 厘米 段前: 0.1 行 + 首行缩进:  2 字符 段前: 0.1 行 + 首行缩进..."/>
    <w:basedOn w:val="218"/>
    <w:uiPriority w:val="0"/>
    <w:pPr>
      <w:ind w:firstLine="420"/>
    </w:pPr>
  </w:style>
  <w:style w:type="paragraph" w:customStyle="1" w:styleId="281">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28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83">
    <w:name w:val="样式 段前: 0.1 行2"/>
    <w:basedOn w:val="1"/>
    <w:uiPriority w:val="0"/>
    <w:pPr>
      <w:spacing w:line="276" w:lineRule="auto"/>
    </w:pPr>
  </w:style>
  <w:style w:type="paragraph" w:customStyle="1" w:styleId="284">
    <w:name w:val="五级条标题"/>
    <w:basedOn w:val="285"/>
    <w:next w:val="202"/>
    <w:uiPriority w:val="0"/>
    <w:pPr>
      <w:tabs>
        <w:tab w:val="left" w:pos="-1080"/>
      </w:tabs>
      <w:outlineLvl w:val="6"/>
    </w:pPr>
  </w:style>
  <w:style w:type="paragraph" w:customStyle="1" w:styleId="285">
    <w:name w:val="四级条标题"/>
    <w:basedOn w:val="286"/>
    <w:next w:val="202"/>
    <w:uiPriority w:val="0"/>
    <w:pPr>
      <w:tabs>
        <w:tab w:val="left" w:pos="-1080"/>
      </w:tabs>
      <w:outlineLvl w:val="5"/>
    </w:pPr>
  </w:style>
  <w:style w:type="paragraph" w:customStyle="1" w:styleId="286">
    <w:name w:val="三级条标题"/>
    <w:basedOn w:val="235"/>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uiPriority w:val="0"/>
    <w:pPr>
      <w:spacing w:line="480" w:lineRule="exact"/>
      <w:ind w:firstLine="480" w:firstLineChars="200"/>
    </w:pPr>
    <w:rPr>
      <w:sz w:val="24"/>
    </w:rPr>
  </w:style>
  <w:style w:type="paragraph" w:customStyle="1" w:styleId="289">
    <w:name w:val="样式1 标题 1 + 段前: 0.7 行 段后: 0.7 行 + 段前: 1 行 段后: 1 行"/>
    <w:basedOn w:val="290"/>
    <w:uiPriority w:val="0"/>
    <w:pPr>
      <w:tabs>
        <w:tab w:val="left" w:pos="1021"/>
      </w:tabs>
      <w:spacing w:beforeLines="100" w:afterLines="100"/>
    </w:pPr>
  </w:style>
  <w:style w:type="paragraph" w:customStyle="1" w:styleId="29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uiPriority w:val="0"/>
    <w:pPr>
      <w:tabs>
        <w:tab w:val="left" w:pos="357"/>
        <w:tab w:val="left" w:pos="900"/>
      </w:tabs>
      <w:spacing w:beforeLines="10" w:line="312" w:lineRule="auto"/>
    </w:pPr>
  </w:style>
  <w:style w:type="paragraph" w:customStyle="1" w:styleId="292">
    <w:name w:val="Style 三级条标题 + Before:  6 pt"/>
    <w:basedOn w:val="286"/>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uiPriority w:val="0"/>
    <w:pPr>
      <w:tabs>
        <w:tab w:val="left" w:pos="1995"/>
        <w:tab w:val="clear" w:pos="735"/>
      </w:tabs>
      <w:ind w:left="1995"/>
    </w:pPr>
  </w:style>
  <w:style w:type="paragraph" w:customStyle="1" w:styleId="294">
    <w:name w:val="术语定义五级条标题"/>
    <w:basedOn w:val="240"/>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96">
    <w:name w:val="Char Char Char Char Char2 Char2"/>
    <w:basedOn w:val="1"/>
    <w:uiPriority w:val="0"/>
    <w:pPr>
      <w:topLinePunct/>
      <w:adjustRightInd w:val="0"/>
    </w:pPr>
  </w:style>
  <w:style w:type="paragraph" w:customStyle="1" w:styleId="29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98">
    <w:name w:val="引言一级条标题"/>
    <w:basedOn w:val="1"/>
    <w:next w:val="202"/>
    <w:uiPriority w:val="0"/>
    <w:pPr>
      <w:widowControl/>
      <w:numPr>
        <w:ilvl w:val="0"/>
        <w:numId w:val="3"/>
      </w:numPr>
    </w:pPr>
    <w:rPr>
      <w:rFonts w:eastAsia="黑体"/>
      <w:b/>
    </w:rPr>
  </w:style>
  <w:style w:type="paragraph" w:customStyle="1" w:styleId="299">
    <w:name w:val="朱1"/>
    <w:basedOn w:val="164"/>
    <w:uiPriority w:val="0"/>
  </w:style>
  <w:style w:type="paragraph" w:customStyle="1" w:styleId="300">
    <w:name w:val="Char Char Char1 Char"/>
    <w:basedOn w:val="1"/>
    <w:uiPriority w:val="0"/>
    <w:pPr>
      <w:spacing w:line="240" w:lineRule="atLeast"/>
      <w:ind w:left="420" w:firstLine="420"/>
    </w:pPr>
    <w:rPr>
      <w:kern w:val="0"/>
    </w:rPr>
  </w:style>
  <w:style w:type="paragraph" w:customStyle="1" w:styleId="301">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02">
    <w:name w:val="CM40"/>
    <w:basedOn w:val="303"/>
    <w:next w:val="303"/>
    <w:uiPriority w:val="0"/>
    <w:pPr>
      <w:spacing w:line="320" w:lineRule="atLeast"/>
    </w:pPr>
    <w:rPr>
      <w:rFonts w:ascii="Times New Roman"/>
      <w:color w:val="auto"/>
    </w:rPr>
  </w:style>
  <w:style w:type="paragraph" w:customStyle="1" w:styleId="303">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304">
    <w:name w:val="样式 标题 2H2h2h21Heading 2 HiddenHeading 2 CCBSheading 2l2C..."/>
    <w:basedOn w:val="3"/>
    <w:next w:val="272"/>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uiPriority w:val="0"/>
    <w:pPr>
      <w:topLinePunct/>
      <w:spacing w:before="560" w:after="560" w:line="560" w:lineRule="exact"/>
      <w:jc w:val="center"/>
    </w:pPr>
    <w:rPr>
      <w:rFonts w:eastAsia="黑体"/>
      <w:sz w:val="32"/>
      <w:lang w:val="zh-CN"/>
    </w:rPr>
  </w:style>
  <w:style w:type="paragraph" w:customStyle="1" w:styleId="306">
    <w:name w:val="附录标识"/>
    <w:basedOn w:val="307"/>
    <w:uiPriority w:val="0"/>
    <w:pPr>
      <w:tabs>
        <w:tab w:val="left" w:pos="6405"/>
      </w:tabs>
      <w:spacing w:after="200"/>
    </w:pPr>
    <w:rPr>
      <w:sz w:val="21"/>
    </w:r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308">
    <w:name w:val="_表格条文"/>
    <w:basedOn w:val="1"/>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uiPriority w:val="0"/>
    <w:pPr>
      <w:tabs>
        <w:tab w:val="left" w:pos="360"/>
      </w:tabs>
      <w:spacing w:beforeLines="0" w:afterLines="0"/>
    </w:pPr>
  </w:style>
  <w:style w:type="paragraph" w:customStyle="1" w:styleId="310">
    <w:name w:val="样式1 标题 1 + 段前: 1 行 段后: 1 行"/>
    <w:basedOn w:val="290"/>
    <w:uiPriority w:val="0"/>
    <w:pPr>
      <w:spacing w:beforeLines="100" w:afterLines="100"/>
    </w:pPr>
    <w:rPr>
      <w:rFonts w:eastAsia="黑体"/>
      <w:b w:val="0"/>
    </w:rPr>
  </w:style>
  <w:style w:type="paragraph" w:customStyle="1" w:styleId="311">
    <w:name w:val="样式 Times New Roman 首行缩进:  0.74 厘米 段前: 0.1 行"/>
    <w:basedOn w:val="1"/>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14">
    <w:name w:val="工程建设公式标题"/>
    <w:basedOn w:val="315"/>
    <w:uiPriority w:val="0"/>
    <w:pPr>
      <w:numPr>
        <w:ilvl w:val="6"/>
        <w:numId w:val="5"/>
      </w:numPr>
      <w:tabs>
        <w:tab w:val="left" w:pos="1260"/>
        <w:tab w:val="left" w:pos="1680"/>
        <w:tab w:val="left" w:pos="2100"/>
      </w:tabs>
      <w:jc w:val="center"/>
      <w:outlineLvl w:val="6"/>
    </w:pPr>
  </w:style>
  <w:style w:type="paragraph" w:customStyle="1" w:styleId="315">
    <w:name w:val="工程建设条标题"/>
    <w:basedOn w:val="316"/>
    <w:next w:val="202"/>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316">
    <w:name w:val="工程建设节标题"/>
    <w:basedOn w:val="317"/>
    <w:next w:val="202"/>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317">
    <w:name w:val="工程建设章标题"/>
    <w:next w:val="202"/>
    <w:uiPriority w:val="0"/>
    <w:pPr>
      <w:numPr>
        <w:ilvl w:val="1"/>
        <w:numId w:val="5"/>
      </w:numPr>
      <w:spacing w:before="640" w:after="560" w:line="480" w:lineRule="exact"/>
      <w:jc w:val="center"/>
      <w:outlineLvl w:val="1"/>
    </w:pPr>
    <w:rPr>
      <w:rFonts w:ascii="黑体" w:hAnsi="Times New Roman" w:eastAsia="黑体"/>
      <w:b/>
      <w:sz w:val="28"/>
      <w:lang w:val="en-US" w:eastAsia="zh-CN" w:bidi="ar-SA"/>
    </w:rPr>
  </w:style>
  <w:style w:type="paragraph" w:customStyle="1" w:styleId="318">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uiPriority w:val="0"/>
    <w:pPr>
      <w:spacing w:before="24" w:afterLines="10"/>
      <w:ind w:firstLine="0" w:firstLineChars="0"/>
    </w:pPr>
  </w:style>
  <w:style w:type="paragraph" w:customStyle="1" w:styleId="322">
    <w:name w:val="样式1-4 Times New Roman行距: 多倍行距 1.15 字行 + 左侧:  4 字符"/>
    <w:basedOn w:val="323"/>
    <w:uiPriority w:val="0"/>
    <w:pPr>
      <w:tabs>
        <w:tab w:val="left" w:pos="315"/>
      </w:tabs>
      <w:ind w:left="840" w:leftChars="400"/>
    </w:pPr>
  </w:style>
  <w:style w:type="paragraph" w:customStyle="1" w:styleId="323">
    <w:name w:val="样式 Times New Roman 段前: 0.1 行 行距: 多倍行距 1.2 字行"/>
    <w:basedOn w:val="1"/>
    <w:uiPriority w:val="0"/>
    <w:pPr>
      <w:spacing w:line="276" w:lineRule="auto"/>
      <w:ind w:left="420" w:leftChars="200"/>
    </w:pPr>
  </w:style>
  <w:style w:type="paragraph" w:customStyle="1" w:styleId="324">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325">
    <w:name w:val="参考文献、索引标题"/>
    <w:basedOn w:val="307"/>
    <w:next w:val="1"/>
    <w:uiPriority w:val="0"/>
    <w:pPr>
      <w:spacing w:after="200"/>
    </w:pPr>
    <w:rPr>
      <w:sz w:val="21"/>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uiPriority w:val="0"/>
    <w:pPr>
      <w:tabs>
        <w:tab w:val="center" w:pos="4160"/>
        <w:tab w:val="right" w:pos="8300"/>
      </w:tabs>
      <w:topLinePunct/>
      <w:adjustRightInd w:val="0"/>
      <w:spacing w:line="312" w:lineRule="auto"/>
    </w:pPr>
  </w:style>
  <w:style w:type="paragraph" w:customStyle="1" w:styleId="328">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329">
    <w:name w:val="_列项符号2"/>
    <w:basedOn w:val="24"/>
    <w:uiPriority w:val="0"/>
    <w:pPr>
      <w:tabs>
        <w:tab w:val="left" w:pos="820"/>
      </w:tabs>
      <w:snapToGrid w:val="0"/>
      <w:spacing w:line="276" w:lineRule="auto"/>
      <w:ind w:left="820" w:hanging="420"/>
    </w:pPr>
  </w:style>
  <w:style w:type="paragraph" w:customStyle="1" w:styleId="330">
    <w:name w:val="序号"/>
    <w:basedOn w:val="1"/>
    <w:uiPriority w:val="0"/>
    <w:pPr>
      <w:spacing w:line="300" w:lineRule="auto"/>
    </w:pPr>
    <w:rPr>
      <w:rFonts w:ascii="宋体" w:hAnsi="宋体"/>
      <w:sz w:val="24"/>
    </w:rPr>
  </w:style>
  <w:style w:type="paragraph" w:customStyle="1" w:styleId="331">
    <w:name w:val="样式 样式 标题 1 + 段前: 0.7 行 段后: 0.7 行"/>
    <w:basedOn w:val="290"/>
    <w:uiPriority w:val="0"/>
    <w:pPr>
      <w:tabs>
        <w:tab w:val="left" w:pos="340"/>
        <w:tab w:val="clear" w:pos="360"/>
      </w:tabs>
      <w:spacing w:beforeLines="100" w:afterLines="100"/>
    </w:pPr>
  </w:style>
  <w:style w:type="paragraph" w:customStyle="1" w:styleId="332">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0"/>
    <w:uiPriority w:val="0"/>
    <w:pPr>
      <w:tabs>
        <w:tab w:val="left" w:pos="800"/>
      </w:tabs>
      <w:snapToGrid w:val="0"/>
      <w:spacing w:beforeLines="0" w:line="276" w:lineRule="auto"/>
      <w:ind w:left="800" w:hanging="400"/>
    </w:pPr>
  </w:style>
  <w:style w:type="paragraph" w:customStyle="1" w:styleId="334">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335">
    <w:name w:val="正文-d"/>
    <w:basedOn w:val="1"/>
    <w:uiPriority w:val="0"/>
    <w:pPr>
      <w:ind w:firstLine="200" w:firstLineChars="200"/>
    </w:pPr>
    <w:rPr>
      <w:szCs w:val="21"/>
    </w:rPr>
  </w:style>
  <w:style w:type="paragraph" w:customStyle="1" w:styleId="33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uiPriority w:val="0"/>
    <w:pPr>
      <w:spacing w:line="312" w:lineRule="exact"/>
    </w:pPr>
    <w:rPr>
      <w:rFonts w:ascii="EU-F1" w:eastAsia="黑体"/>
      <w:sz w:val="21"/>
    </w:rPr>
  </w:style>
  <w:style w:type="paragraph" w:customStyle="1" w:styleId="338">
    <w:name w:val="图说"/>
    <w:basedOn w:val="1"/>
    <w:uiPriority w:val="0"/>
    <w:pPr>
      <w:topLinePunct/>
      <w:spacing w:before="60" w:after="160"/>
      <w:jc w:val="center"/>
    </w:pPr>
    <w:rPr>
      <w:sz w:val="18"/>
    </w:rPr>
  </w:style>
  <w:style w:type="paragraph" w:customStyle="1" w:styleId="339">
    <w:name w:val="样式 Times New Roman 段前: 0.1 行 行距: 多倍行距 1.25 字行1"/>
    <w:basedOn w:val="1"/>
    <w:uiPriority w:val="0"/>
    <w:pPr>
      <w:spacing w:line="276" w:lineRule="auto"/>
      <w:ind w:firstLine="200" w:firstLineChars="200"/>
    </w:pPr>
    <w:rPr>
      <w:rFonts w:hAnsi="宋体"/>
    </w:rPr>
  </w:style>
  <w:style w:type="paragraph" w:customStyle="1" w:styleId="340">
    <w:name w:val="附录表标题续表"/>
    <w:basedOn w:val="341"/>
    <w:next w:val="202"/>
    <w:uiPriority w:val="0"/>
    <w:pPr>
      <w:widowControl/>
      <w:numPr>
        <w:ilvl w:val="0"/>
        <w:numId w:val="6"/>
      </w:numPr>
      <w:tabs>
        <w:tab w:val="left" w:pos="210"/>
        <w:tab w:val="left" w:pos="420"/>
      </w:tabs>
      <w:adjustRightInd/>
      <w:spacing w:line="360" w:lineRule="auto"/>
    </w:pPr>
    <w:rPr>
      <w:rFonts w:ascii="宋体" w:hAnsi="宋体" w:eastAsia="宋体"/>
    </w:rPr>
  </w:style>
  <w:style w:type="paragraph" w:customStyle="1" w:styleId="3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42">
    <w:name w:val="_列项符号1"/>
    <w:basedOn w:val="24"/>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uiPriority w:val="0"/>
    <w:pPr>
      <w:spacing w:before="1800" w:line="240" w:lineRule="atLeast"/>
      <w:jc w:val="center"/>
    </w:pPr>
    <w:rPr>
      <w:rFonts w:ascii="黑体" w:eastAsia="黑体"/>
      <w:b/>
      <w:spacing w:val="0"/>
      <w:sz w:val="52"/>
    </w:rPr>
  </w:style>
  <w:style w:type="paragraph" w:customStyle="1" w:styleId="345">
    <w:name w:val="副题目 – 封页"/>
    <w:basedOn w:val="344"/>
    <w:next w:val="30"/>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uiPriority w:val="0"/>
    <w:pPr>
      <w:spacing w:afterLines="10"/>
      <w:ind w:firstLine="200"/>
    </w:pPr>
  </w:style>
  <w:style w:type="paragraph" w:customStyle="1" w:styleId="347">
    <w:name w:val="注：（正文）"/>
    <w:basedOn w:val="261"/>
    <w:next w:val="202"/>
    <w:uiPriority w:val="0"/>
    <w:pPr>
      <w:numPr>
        <w:ilvl w:val="0"/>
        <w:numId w:val="7"/>
      </w:numPr>
      <w:tabs>
        <w:tab w:val="left" w:pos="918"/>
      </w:tabs>
      <w:adjustRightInd w:val="0"/>
      <w:spacing w:line="360" w:lineRule="atLeast"/>
      <w:textAlignment w:val="baseline"/>
    </w:pPr>
  </w:style>
  <w:style w:type="paragraph" w:styleId="348">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uiPriority w:val="0"/>
  </w:style>
  <w:style w:type="paragraph" w:customStyle="1" w:styleId="353">
    <w:name w:val="样式 样式1 样式 编号 a + Times New Roman 段前: 0 行 行距: 多倍行距 1.15 字行 + 左侧....."/>
    <w:basedOn w:val="320"/>
    <w:uiPriority w:val="0"/>
    <w:pPr>
      <w:ind w:left="840" w:leftChars="200" w:hanging="420"/>
    </w:pPr>
  </w:style>
  <w:style w:type="paragraph" w:customStyle="1" w:styleId="354">
    <w:name w:val="样式 样式 正文（首行缩进两字） Char + 宋体 加粗 首行缩进:  2 字符 段前: 0.1 行 + 首行缩进:  2 字..."/>
    <w:basedOn w:val="355"/>
    <w:uiPriority w:val="0"/>
    <w:pPr>
      <w:spacing w:line="276" w:lineRule="auto"/>
    </w:pPr>
  </w:style>
  <w:style w:type="paragraph" w:customStyle="1" w:styleId="355">
    <w:name w:val="样式 正文（首行缩进两字） Char + 宋体 加粗 首行缩进:  2 字符 段前: 0.1 行"/>
    <w:basedOn w:val="169"/>
    <w:uiPriority w:val="0"/>
    <w:pPr>
      <w:spacing w:afterLines="10" w:line="300" w:lineRule="auto"/>
      <w:ind w:firstLine="200"/>
    </w:pPr>
    <w:rPr>
      <w:rFonts w:ascii="宋体" w:hAnsi="宋体"/>
      <w:b/>
    </w:rPr>
  </w:style>
  <w:style w:type="paragraph" w:customStyle="1" w:styleId="356">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57">
    <w:name w:val="样式 样式 样式 段前: 0.1 行 + 段前: 0.1 行 + 左侧:  2 字符 段前: 0.1 行"/>
    <w:basedOn w:val="358"/>
    <w:uiPriority w:val="0"/>
    <w:pPr>
      <w:spacing w:beforeLines="0" w:line="276" w:lineRule="auto"/>
      <w:ind w:left="420"/>
    </w:pPr>
  </w:style>
  <w:style w:type="paragraph" w:customStyle="1" w:styleId="358">
    <w:name w:val="样式 样式 段前: 0.1 行 + 段前: 0.1 行"/>
    <w:basedOn w:val="359"/>
    <w:uiPriority w:val="0"/>
    <w:pPr>
      <w:ind w:left="200" w:leftChars="200"/>
    </w:pPr>
  </w:style>
  <w:style w:type="paragraph" w:customStyle="1" w:styleId="359">
    <w:name w:val="样式 段前: 0.1 行"/>
    <w:basedOn w:val="1"/>
    <w:uiPriority w:val="0"/>
    <w:pPr>
      <w:spacing w:beforeLines="10" w:line="300" w:lineRule="auto"/>
    </w:pPr>
  </w:style>
  <w:style w:type="paragraph" w:customStyle="1" w:styleId="360">
    <w:name w:val="默认段落字体 Para Char Char Char Char"/>
    <w:basedOn w:val="1"/>
    <w:uiPriority w:val="0"/>
  </w:style>
  <w:style w:type="paragraph" w:customStyle="1" w:styleId="361">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362">
    <w:name w:val="样式 正文（首行缩进两字） Char + 加粗"/>
    <w:basedOn w:val="169"/>
    <w:uiPriority w:val="0"/>
    <w:pPr>
      <w:spacing w:afterLines="10"/>
      <w:ind w:firstLine="200"/>
    </w:pPr>
    <w:rPr>
      <w:b/>
    </w:rPr>
  </w:style>
  <w:style w:type="paragraph" w:customStyle="1" w:styleId="363">
    <w:name w:val="二级无标题条"/>
    <w:basedOn w:val="1"/>
    <w:uiPriority w:val="0"/>
    <w:pPr>
      <w:numPr>
        <w:ilvl w:val="3"/>
        <w:numId w:val="1"/>
      </w:numPr>
    </w:pPr>
    <w:rPr>
      <w:b/>
    </w:rPr>
  </w:style>
  <w:style w:type="paragraph" w:customStyle="1" w:styleId="364">
    <w:name w:val="术语定义二级条标题"/>
    <w:basedOn w:val="239"/>
    <w:next w:val="202"/>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uiPriority w:val="0"/>
    <w:pPr>
      <w:ind w:left="400" w:leftChars="200"/>
    </w:pPr>
  </w:style>
  <w:style w:type="paragraph" w:customStyle="1" w:styleId="366">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7">
    <w:name w:val="_术语说明"/>
    <w:basedOn w:val="368"/>
    <w:uiPriority w:val="0"/>
    <w:pPr>
      <w:spacing w:beforeLines="0" w:line="276" w:lineRule="auto"/>
    </w:pPr>
    <w:rPr>
      <w:color w:val="000000"/>
    </w:rPr>
  </w:style>
  <w:style w:type="paragraph" w:customStyle="1" w:styleId="368">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uiPriority w:val="0"/>
    <w:pPr>
      <w:outlineLvl w:val="5"/>
    </w:pPr>
  </w:style>
  <w:style w:type="paragraph" w:customStyle="1" w:styleId="370">
    <w:name w:val="附录三级条标题"/>
    <w:basedOn w:val="371"/>
    <w:next w:val="202"/>
    <w:uiPriority w:val="0"/>
    <w:pPr>
      <w:outlineLvl w:val="4"/>
    </w:pPr>
  </w:style>
  <w:style w:type="paragraph" w:customStyle="1" w:styleId="371">
    <w:name w:val="附录二级条标题"/>
    <w:basedOn w:val="372"/>
    <w:next w:val="202"/>
    <w:uiPriority w:val="0"/>
    <w:pPr>
      <w:outlineLvl w:val="3"/>
    </w:pPr>
  </w:style>
  <w:style w:type="paragraph" w:customStyle="1" w:styleId="372">
    <w:name w:val="附录一级条标题"/>
    <w:basedOn w:val="264"/>
    <w:next w:val="202"/>
    <w:uiPriority w:val="0"/>
    <w:pPr>
      <w:autoSpaceDN w:val="0"/>
      <w:spacing w:beforeLines="0" w:afterLines="0"/>
      <w:outlineLvl w:val="2"/>
    </w:pPr>
  </w:style>
  <w:style w:type="paragraph" w:customStyle="1" w:styleId="373">
    <w:name w:val="工程建设款标题"/>
    <w:basedOn w:val="315"/>
    <w:uiPriority w:val="0"/>
    <w:pPr>
      <w:numPr>
        <w:ilvl w:val="7"/>
        <w:numId w:val="5"/>
      </w:numPr>
      <w:outlineLvl w:val="9"/>
    </w:pPr>
  </w:style>
  <w:style w:type="paragraph" w:customStyle="1" w:styleId="374">
    <w:name w:val="样式 3"/>
    <w:basedOn w:val="1"/>
    <w:uiPriority w:val="0"/>
    <w:pPr>
      <w:topLinePunct/>
      <w:adjustRightInd w:val="0"/>
      <w:ind w:left="840" w:hanging="420"/>
    </w:pPr>
    <w:rPr>
      <w:kern w:val="21"/>
      <w:szCs w:val="21"/>
    </w:rPr>
  </w:style>
  <w:style w:type="paragraph" w:customStyle="1" w:styleId="37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37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378">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7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uiPriority w:val="0"/>
    <w:rPr>
      <w:rFonts w:ascii="Times New Roman"/>
      <w:color w:val="auto"/>
    </w:rPr>
  </w:style>
  <w:style w:type="paragraph" w:customStyle="1" w:styleId="381">
    <w:name w:val="样式 Times New Roman 段前: 0.1 行 行距: 多倍行距 1.25 字行"/>
    <w:basedOn w:val="1"/>
    <w:uiPriority w:val="0"/>
    <w:pPr>
      <w:spacing w:line="276" w:lineRule="auto"/>
    </w:pPr>
    <w:rPr>
      <w:rFonts w:hAnsi="宋体"/>
    </w:rPr>
  </w:style>
  <w:style w:type="paragraph" w:customStyle="1" w:styleId="382">
    <w:name w:val="CM56"/>
    <w:basedOn w:val="303"/>
    <w:next w:val="303"/>
    <w:uiPriority w:val="0"/>
    <w:rPr>
      <w:rFonts w:ascii="Times New Roman"/>
      <w:color w:val="auto"/>
    </w:rPr>
  </w:style>
  <w:style w:type="paragraph" w:customStyle="1" w:styleId="383">
    <w:name w:val="a"/>
    <w:basedOn w:val="272"/>
    <w:uiPriority w:val="0"/>
    <w:pPr>
      <w:tabs>
        <w:tab w:val="clear" w:pos="210"/>
      </w:tabs>
      <w:spacing w:beforeLines="0" w:afterLines="0" w:line="240" w:lineRule="auto"/>
    </w:pPr>
    <w:rPr>
      <w:b w:val="0"/>
      <w:sz w:val="30"/>
    </w:rPr>
  </w:style>
  <w:style w:type="paragraph" w:customStyle="1" w:styleId="384">
    <w:name w:val="Char Char Char Char Char Char"/>
    <w:basedOn w:val="1"/>
    <w:uiPriority w:val="0"/>
  </w:style>
  <w:style w:type="paragraph" w:customStyle="1" w:styleId="385">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386">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uiPriority w:val="0"/>
  </w:style>
  <w:style w:type="paragraph" w:customStyle="1" w:styleId="388">
    <w:name w:val="样式 正文（首行缩进两字） Char + 首行缩进:  2 字符 段前: 0.1 行"/>
    <w:basedOn w:val="169"/>
    <w:uiPriority w:val="0"/>
    <w:pPr>
      <w:spacing w:afterLines="10" w:line="300" w:lineRule="auto"/>
      <w:ind w:firstLine="200"/>
    </w:pPr>
  </w:style>
  <w:style w:type="paragraph" w:customStyle="1" w:styleId="389">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390">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391">
    <w:name w:val="引言二级条标题"/>
    <w:basedOn w:val="298"/>
    <w:next w:val="202"/>
    <w:uiPriority w:val="0"/>
    <w:pPr>
      <w:numPr>
        <w:ilvl w:val="1"/>
        <w:numId w:val="10"/>
      </w:numPr>
      <w:ind w:leftChars="0" w:firstLineChars="0"/>
    </w:pPr>
  </w:style>
  <w:style w:type="paragraph" w:customStyle="1" w:styleId="392">
    <w:name w:val="副标题1"/>
    <w:basedOn w:val="57"/>
    <w:next w:val="1"/>
    <w:uiPriority w:val="0"/>
    <w:pPr>
      <w:topLinePunct w:val="0"/>
      <w:adjustRightInd/>
      <w:snapToGrid w:val="0"/>
      <w:spacing w:before="360" w:after="680"/>
    </w:pPr>
    <w:rPr>
      <w:rFonts w:eastAsia="黑体"/>
      <w:b w:val="0"/>
      <w:sz w:val="48"/>
    </w:rPr>
  </w:style>
  <w:style w:type="paragraph" w:customStyle="1" w:styleId="393">
    <w:name w:val="节标签"/>
    <w:basedOn w:val="274"/>
    <w:next w:val="30"/>
    <w:uiPriority w:val="0"/>
    <w:pPr>
      <w:spacing w:before="400" w:after="440"/>
    </w:pPr>
    <w:rPr>
      <w:rFonts w:ascii="Times New Roman" w:hAnsi="Times New Roman"/>
      <w:spacing w:val="-30"/>
      <w:sz w:val="60"/>
    </w:rPr>
  </w:style>
  <w:style w:type="paragraph" w:customStyle="1" w:styleId="394">
    <w:name w:val="公式"/>
    <w:basedOn w:val="41"/>
    <w:uiPriority w:val="0"/>
    <w:pPr>
      <w:tabs>
        <w:tab w:val="center" w:pos="4706"/>
        <w:tab w:val="right" w:pos="9412"/>
      </w:tabs>
    </w:pPr>
    <w:rPr>
      <w:rFonts w:ascii="Times New Roman" w:hAnsi="宋体"/>
    </w:rPr>
  </w:style>
  <w:style w:type="paragraph" w:customStyle="1" w:styleId="39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9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397">
    <w:name w:val="CM38"/>
    <w:basedOn w:val="303"/>
    <w:next w:val="303"/>
    <w:uiPriority w:val="0"/>
    <w:pPr>
      <w:spacing w:line="320" w:lineRule="atLeast"/>
    </w:pPr>
    <w:rPr>
      <w:rFonts w:ascii="Times New Roman"/>
      <w:color w:val="auto"/>
    </w:rPr>
  </w:style>
  <w:style w:type="paragraph" w:customStyle="1" w:styleId="398">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99">
    <w:name w:val="样式 样式 段前: 0.1 行 首行缩进:  2 字符 + 首行缩进:  2 字符 段前: 0.1 行"/>
    <w:basedOn w:val="400"/>
    <w:uiPriority w:val="0"/>
    <w:pPr>
      <w:spacing w:line="276" w:lineRule="auto"/>
      <w:ind w:firstLine="420"/>
    </w:pPr>
  </w:style>
  <w:style w:type="paragraph" w:customStyle="1" w:styleId="400">
    <w:name w:val="样式 段前: 0.1 行 首行缩进:  2 字符"/>
    <w:basedOn w:val="1"/>
    <w:uiPriority w:val="0"/>
    <w:pPr>
      <w:spacing w:beforeLines="10" w:line="300" w:lineRule="auto"/>
      <w:ind w:firstLine="200" w:firstLineChars="200"/>
    </w:pPr>
  </w:style>
  <w:style w:type="paragraph" w:customStyle="1" w:styleId="401">
    <w:name w:val="1"/>
    <w:basedOn w:val="1"/>
    <w:next w:val="1"/>
    <w:uiPriority w:val="0"/>
    <w:pPr>
      <w:topLinePunct/>
      <w:adjustRightInd w:val="0"/>
    </w:pPr>
    <w:rPr>
      <w:rFonts w:ascii="Courier New" w:hAnsi="Courier New"/>
      <w:sz w:val="20"/>
    </w:rPr>
  </w:style>
  <w:style w:type="paragraph" w:customStyle="1" w:styleId="402">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0"/>
    <w:uiPriority w:val="0"/>
    <w:pPr>
      <w:tabs>
        <w:tab w:val="left" w:pos="1200"/>
      </w:tabs>
      <w:snapToGrid w:val="0"/>
      <w:spacing w:beforeLines="0" w:line="276" w:lineRule="auto"/>
      <w:ind w:left="1200" w:hanging="400"/>
    </w:pPr>
  </w:style>
  <w:style w:type="paragraph" w:customStyle="1" w:styleId="40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uiPriority w:val="0"/>
    <w:pPr>
      <w:tabs>
        <w:tab w:val="left" w:pos="0"/>
      </w:tabs>
      <w:spacing w:line="360" w:lineRule="auto"/>
    </w:pPr>
    <w:rPr>
      <w:rFonts w:ascii="宋体" w:hAnsi="宋体"/>
      <w:kern w:val="0"/>
      <w:sz w:val="24"/>
    </w:rPr>
  </w:style>
  <w:style w:type="paragraph" w:customStyle="1" w:styleId="406">
    <w:name w:val="朱表头"/>
    <w:basedOn w:val="162"/>
    <w:uiPriority w:val="0"/>
    <w:pPr>
      <w:spacing w:line="312" w:lineRule="exact"/>
    </w:pPr>
    <w:rPr>
      <w:rFonts w:ascii="EU-F1"/>
      <w:snapToGrid w:val="0"/>
      <w:szCs w:val="20"/>
    </w:rPr>
  </w:style>
  <w:style w:type="paragraph" w:customStyle="1" w:styleId="407">
    <w:name w:val="样式 段前: 0.1 行1"/>
    <w:basedOn w:val="1"/>
    <w:uiPriority w:val="0"/>
    <w:pPr>
      <w:spacing w:beforeLines="10" w:line="312" w:lineRule="auto"/>
    </w:pPr>
  </w:style>
  <w:style w:type="paragraph" w:customStyle="1" w:styleId="408">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0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uiPriority w:val="0"/>
    <w:pPr>
      <w:tabs>
        <w:tab w:val="center" w:pos="4763"/>
        <w:tab w:val="right" w:pos="9412"/>
      </w:tabs>
    </w:pPr>
    <w:rPr>
      <w:kern w:val="21"/>
    </w:rPr>
  </w:style>
  <w:style w:type="paragraph" w:customStyle="1" w:styleId="412">
    <w:name w:val="样式 Times New Roman 段前: 0.1 行 行距: 多倍行距 1.15 字行"/>
    <w:basedOn w:val="1"/>
    <w:uiPriority w:val="0"/>
    <w:pPr>
      <w:spacing w:line="276" w:lineRule="auto"/>
    </w:pPr>
  </w:style>
  <w:style w:type="paragraph" w:customStyle="1" w:styleId="413">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14">
    <w:name w:val="工程建设图标题"/>
    <w:basedOn w:val="315"/>
    <w:uiPriority w:val="0"/>
    <w:pPr>
      <w:numPr>
        <w:ilvl w:val="5"/>
        <w:numId w:val="5"/>
      </w:numPr>
      <w:ind w:leftChars="0" w:firstLineChars="0"/>
      <w:jc w:val="center"/>
      <w:outlineLvl w:val="5"/>
    </w:pPr>
  </w:style>
  <w:style w:type="paragraph" w:customStyle="1" w:styleId="415">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16">
    <w:name w:val="样式1 标题 5 + 段前: 0.1 行 + 段前: 0.1 行"/>
    <w:basedOn w:val="1"/>
    <w:uiPriority w:val="0"/>
    <w:pPr>
      <w:tabs>
        <w:tab w:val="left" w:pos="357"/>
        <w:tab w:val="left" w:pos="1134"/>
      </w:tabs>
      <w:spacing w:beforeLines="10" w:line="312" w:lineRule="auto"/>
    </w:pPr>
  </w:style>
  <w:style w:type="paragraph" w:customStyle="1" w:styleId="417">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uiPriority w:val="0"/>
    <w:pPr>
      <w:tabs>
        <w:tab w:val="left" w:pos="420"/>
      </w:tabs>
      <w:jc w:val="center"/>
    </w:pPr>
    <w:rPr>
      <w:rFonts w:ascii="黑体" w:eastAsia="黑体"/>
    </w:rPr>
  </w:style>
  <w:style w:type="paragraph" w:customStyle="1" w:styleId="419">
    <w:name w:val="条文说明"/>
    <w:basedOn w:val="420"/>
    <w:uiPriority w:val="0"/>
  </w:style>
  <w:style w:type="paragraph" w:customStyle="1" w:styleId="420">
    <w:name w:val="名称"/>
    <w:basedOn w:val="307"/>
    <w:next w:val="202"/>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22">
    <w:name w:val="样式 样式2 + 右侧:  1 字符"/>
    <w:basedOn w:val="175"/>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23">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uiPriority w:val="0"/>
    <w:pPr>
      <w:tabs>
        <w:tab w:val="left" w:pos="3885"/>
      </w:tabs>
      <w:spacing w:beforeLines="50"/>
    </w:pPr>
  </w:style>
  <w:style w:type="paragraph" w:customStyle="1" w:styleId="42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27">
    <w:name w:val="工程建设表标题"/>
    <w:basedOn w:val="315"/>
    <w:uiPriority w:val="0"/>
    <w:pPr>
      <w:numPr>
        <w:ilvl w:val="4"/>
        <w:numId w:val="5"/>
      </w:numPr>
      <w:jc w:val="center"/>
      <w:outlineLvl w:val="4"/>
    </w:pPr>
  </w:style>
  <w:style w:type="paragraph" w:customStyle="1" w:styleId="428">
    <w:name w:val="样式1 首行缩进:  0.74 厘米 段前: 0.1 行"/>
    <w:basedOn w:val="169"/>
    <w:next w:val="169"/>
    <w:uiPriority w:val="0"/>
    <w:pPr>
      <w:tabs>
        <w:tab w:val="left" w:pos="820"/>
      </w:tabs>
      <w:spacing w:afterLines="10"/>
      <w:ind w:left="820" w:hanging="420" w:firstLineChars="0"/>
    </w:pPr>
    <w:rPr>
      <w:kern w:val="0"/>
    </w:rPr>
  </w:style>
  <w:style w:type="paragraph" w:customStyle="1" w:styleId="429">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32">
    <w:name w:val="工程建设无节条标题"/>
    <w:basedOn w:val="1"/>
    <w:next w:val="202"/>
    <w:uiPriority w:val="0"/>
    <w:pPr>
      <w:numPr>
        <w:ilvl w:val="8"/>
        <w:numId w:val="5"/>
      </w:numPr>
      <w:outlineLvl w:val="3"/>
    </w:pPr>
  </w:style>
  <w:style w:type="paragraph" w:customStyle="1" w:styleId="4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uiPriority w:val="0"/>
    <w:pPr>
      <w:outlineLvl w:val="6"/>
    </w:pPr>
  </w:style>
  <w:style w:type="paragraph" w:customStyle="1" w:styleId="437">
    <w:name w:val="样式 样式 标题 3H3l3CT小标题中h3sect1.2.33rd level3Head 3level_3PI... + 段前..."/>
    <w:basedOn w:val="378"/>
    <w:uiPriority w:val="0"/>
    <w:pPr>
      <w:numPr>
        <w:ilvl w:val="2"/>
        <w:numId w:val="4"/>
      </w:numPr>
      <w:tabs>
        <w:tab w:val="left" w:pos="1866"/>
        <w:tab w:val="clear" w:pos="1890"/>
        <w:tab w:val="clear" w:pos="280"/>
      </w:tabs>
    </w:pPr>
  </w:style>
  <w:style w:type="paragraph" w:customStyle="1" w:styleId="438">
    <w:name w:val="样式 题目封页 + (西文) 华文中宋 (中文) 华文中宋 32 磅 黑色 两端对齐 段前: 3 磅 段后: 3 磅..."/>
    <w:basedOn w:val="344"/>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uiPriority w:val="0"/>
    <w:pPr>
      <w:spacing w:afterLines="20" w:line="276" w:lineRule="auto"/>
      <w:jc w:val="center"/>
    </w:pPr>
    <w:rPr>
      <w:sz w:val="18"/>
    </w:rPr>
  </w:style>
  <w:style w:type="paragraph" w:customStyle="1" w:styleId="441">
    <w:name w:val="样式 样式 正文文本 2 + 段前: 0.1 行 + 悬挂缩进: 0.03 字符"/>
    <w:basedOn w:val="243"/>
    <w:uiPriority w:val="0"/>
    <w:pPr>
      <w:spacing w:beforeLines="0"/>
      <w:ind w:hanging="6"/>
      <w:jc w:val="center"/>
    </w:pPr>
  </w:style>
  <w:style w:type="paragraph" w:customStyle="1" w:styleId="442">
    <w:name w:val="样式1 标题 2 + 段前: 0行 + 段前: 0.5 行 段后: 0.5 行"/>
    <w:basedOn w:val="156"/>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7">
    <w:name w:val="标准书眉_偶数页"/>
    <w:basedOn w:val="271"/>
    <w:next w:val="1"/>
    <w:uiPriority w:val="0"/>
    <w:pPr>
      <w:jc w:val="left"/>
    </w:pPr>
  </w:style>
  <w:style w:type="paragraph" w:customStyle="1" w:styleId="448">
    <w:name w:val="样式 Times New Roman 段前: 0.1 行"/>
    <w:basedOn w:val="1"/>
    <w:uiPriority w:val="0"/>
    <w:pPr>
      <w:spacing w:beforeLines="10" w:line="300" w:lineRule="auto"/>
      <w:ind w:firstLine="200" w:firstLineChars="200"/>
    </w:pPr>
  </w:style>
  <w:style w:type="paragraph" w:customStyle="1" w:styleId="449">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uiPriority w:val="0"/>
    <w:pPr>
      <w:spacing w:line="276" w:lineRule="auto"/>
    </w:pPr>
  </w:style>
  <w:style w:type="paragraph" w:customStyle="1" w:styleId="451">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5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53">
    <w:name w:val="部分题目"/>
    <w:basedOn w:val="274"/>
    <w:next w:val="410"/>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5"/>
    <w:uiPriority w:val="0"/>
  </w:style>
  <w:style w:type="paragraph" w:customStyle="1" w:styleId="455">
    <w:name w:val="正文_11_0_0"/>
    <w:qFormat/>
    <w:uiPriority w:val="0"/>
    <w:pPr>
      <w:widowControl w:val="0"/>
      <w:jc w:val="both"/>
    </w:pPr>
    <w:rPr>
      <w:rFonts w:ascii="Times New Roman" w:hAnsi="Times New Roman"/>
      <w:lang w:val="en-US" w:eastAsia="zh-CN" w:bidi="ar-SA"/>
    </w:rPr>
  </w:style>
  <w:style w:type="paragraph" w:customStyle="1" w:styleId="45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uiPriority w:val="0"/>
    <w:pPr>
      <w:spacing w:beforeLines="0" w:line="276" w:lineRule="auto"/>
      <w:jc w:val="left"/>
    </w:pPr>
    <w:rPr>
      <w:rFonts w:eastAsia="黑体"/>
      <w:color w:val="000000"/>
    </w:rPr>
  </w:style>
  <w:style w:type="paragraph" w:customStyle="1" w:styleId="458">
    <w:name w:val="样式 段前: 0.1 行 左  4 字符"/>
    <w:basedOn w:val="1"/>
    <w:uiPriority w:val="0"/>
    <w:pPr>
      <w:spacing w:beforeLines="10" w:line="300" w:lineRule="auto"/>
      <w:ind w:left="400" w:leftChars="400"/>
    </w:pPr>
  </w:style>
  <w:style w:type="paragraph" w:customStyle="1" w:styleId="459">
    <w:name w:val="样式2 样式 a) + 段前: 0行"/>
    <w:basedOn w:val="148"/>
    <w:uiPriority w:val="0"/>
    <w:pPr>
      <w:tabs>
        <w:tab w:val="clear" w:pos="780"/>
      </w:tabs>
      <w:spacing w:beforeLines="0" w:line="276" w:lineRule="auto"/>
      <w:ind w:left="420" w:leftChars="200" w:firstLine="0" w:firstLineChars="0"/>
    </w:pPr>
  </w:style>
  <w:style w:type="paragraph" w:customStyle="1" w:styleId="46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2"/>
    <w:next w:val="180"/>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64">
    <w:name w:val="_列项接续1"/>
    <w:basedOn w:val="34"/>
    <w:uiPriority w:val="0"/>
    <w:pPr>
      <w:spacing w:after="0" w:line="276" w:lineRule="auto"/>
      <w:ind w:left="400" w:leftChars="400"/>
    </w:pPr>
    <w:rPr>
      <w:color w:val="000000"/>
    </w:rPr>
  </w:style>
  <w:style w:type="paragraph" w:customStyle="1" w:styleId="465">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66">
    <w:name w:val="样式 样式 目录 1toc1 + + 左侧:  1 字符 右侧:  1 字符 段前: 0.15 行 段后: 0.15 行"/>
    <w:basedOn w:val="460"/>
    <w:uiPriority w:val="0"/>
  </w:style>
  <w:style w:type="paragraph" w:customStyle="1" w:styleId="467">
    <w:name w:val="样式1 加粗 居中 首行缩进:  0.74 厘米 段前: 0.1 行"/>
    <w:basedOn w:val="1"/>
    <w:uiPriority w:val="0"/>
    <w:pPr>
      <w:spacing w:line="276" w:lineRule="auto"/>
      <w:ind w:firstLine="420"/>
      <w:jc w:val="center"/>
    </w:pPr>
    <w:rPr>
      <w:b/>
    </w:rPr>
  </w:style>
  <w:style w:type="paragraph" w:customStyle="1" w:styleId="468">
    <w:name w:val="附录标题1"/>
    <w:basedOn w:val="3"/>
    <w:next w:val="197"/>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uiPriority w:val="0"/>
    <w:pPr>
      <w:spacing w:line="580" w:lineRule="exact"/>
      <w:ind w:firstLine="200" w:firstLineChars="200"/>
    </w:pPr>
  </w:style>
  <w:style w:type="paragraph" w:customStyle="1" w:styleId="471">
    <w:name w:val="样式 左侧:  0.77 厘米 段前: 0 行 行距: 多倍行距 1.15 字行"/>
    <w:basedOn w:val="1"/>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uiPriority w:val="0"/>
    <w:pPr>
      <w:spacing w:beforeLines="0" w:line="276" w:lineRule="auto"/>
      <w:ind w:firstLine="420"/>
    </w:pPr>
  </w:style>
  <w:style w:type="paragraph" w:customStyle="1" w:styleId="474">
    <w:name w:val="条文脚注"/>
    <w:basedOn w:val="58"/>
    <w:uiPriority w:val="0"/>
    <w:pPr>
      <w:ind w:left="780" w:leftChars="200" w:hanging="360" w:hangingChars="200"/>
      <w:jc w:val="both"/>
    </w:pPr>
    <w:rPr>
      <w:rFonts w:ascii="宋体"/>
    </w:rPr>
  </w:style>
  <w:style w:type="paragraph" w:customStyle="1" w:styleId="475">
    <w:name w:val="样式1 标题 2 + 段前: 0.1 行 + 宋体"/>
    <w:basedOn w:val="1"/>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uiPriority w:val="0"/>
    <w:pPr>
      <w:spacing w:beforeLines="0" w:line="276" w:lineRule="auto"/>
      <w:ind w:firstLine="420"/>
    </w:pPr>
  </w:style>
  <w:style w:type="paragraph" w:customStyle="1" w:styleId="477">
    <w:name w:val="样式8"/>
    <w:basedOn w:val="1"/>
    <w:uiPriority w:val="0"/>
    <w:pPr>
      <w:wordWrap w:val="0"/>
      <w:spacing w:before="400" w:after="40" w:line="360" w:lineRule="exact"/>
      <w:ind w:right="284"/>
      <w:jc w:val="right"/>
    </w:pPr>
    <w:rPr>
      <w:rFonts w:ascii="E-FZ"/>
      <w:sz w:val="28"/>
      <w:szCs w:val="24"/>
    </w:rPr>
  </w:style>
  <w:style w:type="paragraph" w:customStyle="1" w:styleId="478">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79">
    <w:name w:val="表格形式"/>
    <w:basedOn w:val="1"/>
    <w:uiPriority w:val="0"/>
    <w:pPr>
      <w:widowControl/>
      <w:spacing w:before="120" w:line="360" w:lineRule="auto"/>
      <w:ind w:firstLine="425"/>
      <w:jc w:val="center"/>
    </w:pPr>
    <w:rPr>
      <w:kern w:val="0"/>
      <w:sz w:val="24"/>
    </w:rPr>
  </w:style>
  <w:style w:type="paragraph" w:customStyle="1" w:styleId="480">
    <w:name w:val="样式 标题 5 + 黑色 段前: 1.2 磅"/>
    <w:basedOn w:val="1"/>
    <w:uiPriority w:val="0"/>
    <w:pPr>
      <w:tabs>
        <w:tab w:val="left" w:pos="1200"/>
      </w:tabs>
      <w:spacing w:line="300" w:lineRule="auto"/>
    </w:pPr>
    <w:rPr>
      <w:rFonts w:ascii="Arial" w:hAnsi="Arial"/>
    </w:rPr>
  </w:style>
  <w:style w:type="paragraph" w:customStyle="1" w:styleId="481">
    <w:name w:val="一级无标题条"/>
    <w:basedOn w:val="1"/>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uiPriority w:val="0"/>
    <w:pPr>
      <w:spacing w:beforeLines="10"/>
    </w:pPr>
    <w:rPr>
      <w:kern w:val="0"/>
      <w:sz w:val="18"/>
    </w:rPr>
  </w:style>
  <w:style w:type="paragraph" w:customStyle="1" w:styleId="484">
    <w:name w:val=".."/>
    <w:basedOn w:val="303"/>
    <w:next w:val="303"/>
    <w:uiPriority w:val="0"/>
    <w:rPr>
      <w:color w:val="auto"/>
    </w:rPr>
  </w:style>
  <w:style w:type="paragraph" w:customStyle="1" w:styleId="485">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87">
    <w:name w:val="基准索引样式"/>
    <w:basedOn w:val="1"/>
    <w:uiPriority w:val="0"/>
    <w:pPr>
      <w:widowControl/>
      <w:spacing w:line="220" w:lineRule="atLeast"/>
      <w:ind w:left="360"/>
      <w:jc w:val="left"/>
    </w:pPr>
    <w:rPr>
      <w:rFonts w:ascii="Arial" w:hAnsi="Arial"/>
      <w:kern w:val="0"/>
    </w:rPr>
  </w:style>
  <w:style w:type="paragraph" w:customStyle="1" w:styleId="488">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uiPriority w:val="0"/>
    <w:pPr>
      <w:keepLines w:val="0"/>
      <w:tabs>
        <w:tab w:val="left" w:pos="210"/>
      </w:tabs>
      <w:spacing w:beforeLines="0" w:line="276" w:lineRule="auto"/>
    </w:pPr>
  </w:style>
  <w:style w:type="paragraph" w:customStyle="1" w:styleId="492">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uiPriority w:val="0"/>
    <w:rPr>
      <w:rFonts w:ascii="Times New Roman"/>
      <w:color w:val="auto"/>
    </w:rPr>
  </w:style>
  <w:style w:type="paragraph" w:customStyle="1" w:styleId="495">
    <w:name w:val="无标题条"/>
    <w:next w:val="202"/>
    <w:uiPriority w:val="0"/>
    <w:pPr>
      <w:jc w:val="both"/>
    </w:pPr>
    <w:rPr>
      <w:rFonts w:ascii="Times New Roman" w:hAnsi="Times New Roman"/>
      <w:sz w:val="21"/>
      <w:lang w:val="en-US" w:eastAsia="zh-CN" w:bidi="ar-SA"/>
    </w:rPr>
  </w:style>
  <w:style w:type="paragraph" w:customStyle="1" w:styleId="496">
    <w:name w:val="_列项符号3"/>
    <w:basedOn w:val="24"/>
    <w:uiPriority w:val="0"/>
    <w:pPr>
      <w:tabs>
        <w:tab w:val="left" w:pos="1680"/>
      </w:tabs>
      <w:snapToGrid w:val="0"/>
      <w:spacing w:line="276" w:lineRule="auto"/>
      <w:ind w:left="1680" w:leftChars="600" w:hanging="420" w:hangingChars="800"/>
    </w:pPr>
  </w:style>
  <w:style w:type="paragraph" w:customStyle="1" w:styleId="497">
    <w:name w:val="实施日期"/>
    <w:basedOn w:val="324"/>
    <w:uiPriority w:val="0"/>
    <w:pPr>
      <w:jc w:val="right"/>
    </w:pPr>
  </w:style>
  <w:style w:type="paragraph" w:customStyle="1" w:styleId="498">
    <w:name w:val="样式 标题 5 + 段前: 0.1 行2"/>
    <w:basedOn w:val="259"/>
    <w:next w:val="259"/>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uiPriority w:val="0"/>
    <w:pPr>
      <w:numPr>
        <w:ilvl w:val="0"/>
        <w:numId w:val="14"/>
      </w:numPr>
      <w:tabs>
        <w:tab w:val="left" w:pos="210"/>
      </w:tabs>
    </w:pPr>
    <w:rPr>
      <w:rFonts w:ascii="宋体" w:hAnsi="Times New Roman"/>
      <w:sz w:val="18"/>
      <w:lang w:val="en-US" w:eastAsia="zh-CN" w:bidi="ar-SA"/>
    </w:rPr>
  </w:style>
  <w:style w:type="paragraph" w:customStyle="1" w:styleId="501">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505">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506">
    <w:name w:val="Char Char Char Char Char Char Char"/>
    <w:basedOn w:val="1"/>
    <w:uiPriority w:val="0"/>
    <w:pPr>
      <w:spacing w:line="360" w:lineRule="auto"/>
      <w:ind w:firstLine="200" w:firstLineChars="200"/>
    </w:pPr>
  </w:style>
  <w:style w:type="paragraph" w:customStyle="1" w:styleId="50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uiPriority w:val="0"/>
    <w:pPr>
      <w:spacing w:beforeLines="0" w:line="240" w:lineRule="auto"/>
      <w:jc w:val="center"/>
    </w:pPr>
  </w:style>
  <w:style w:type="paragraph" w:customStyle="1" w:styleId="509">
    <w:name w:val="封面标准代替信息"/>
    <w:basedOn w:val="268"/>
    <w:uiPriority w:val="0"/>
    <w:pPr>
      <w:spacing w:before="57"/>
    </w:pPr>
    <w:rPr>
      <w:rFonts w:ascii="宋体"/>
      <w:sz w:val="21"/>
    </w:rPr>
  </w:style>
  <w:style w:type="paragraph" w:customStyle="1" w:styleId="510">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uiPriority w:val="0"/>
    <w:pPr>
      <w:spacing w:beforeLines="0" w:afterLines="10" w:line="240" w:lineRule="auto"/>
      <w:ind w:left="2" w:leftChars="-11" w:hanging="13" w:hangingChars="13"/>
    </w:pPr>
  </w:style>
  <w:style w:type="paragraph" w:customStyle="1" w:styleId="512">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513">
    <w:name w:val="样式1 样式 编号 a + Times New Roman 段前: 0 行 行距: 多倍行距 1.15 字行 + 左侧....."/>
    <w:basedOn w:val="320"/>
    <w:uiPriority w:val="0"/>
    <w:pPr>
      <w:ind w:left="400" w:leftChars="200"/>
    </w:pPr>
  </w:style>
  <w:style w:type="paragraph" w:customStyle="1" w:styleId="514">
    <w:name w:val="正文表标题续表"/>
    <w:basedOn w:val="279"/>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17">
    <w:name w:val="Char1"/>
    <w:basedOn w:val="1"/>
    <w:uiPriority w:val="0"/>
    <w:rPr>
      <w:rFonts w:ascii="Tahoma" w:hAnsi="Tahoma"/>
      <w:sz w:val="24"/>
    </w:rPr>
  </w:style>
  <w:style w:type="paragraph" w:customStyle="1" w:styleId="518">
    <w:name w:val="样式 样式 样式 悬挂缩进: 9 字符 段前: 0.1 行 + 左侧:  3.93 字符 悬挂缩进: 8 字符 段前: 0.1 ..."/>
    <w:basedOn w:val="169"/>
    <w:next w:val="1"/>
    <w:uiPriority w:val="0"/>
    <w:pPr>
      <w:tabs>
        <w:tab w:val="left" w:pos="0"/>
      </w:tabs>
      <w:spacing w:before="24" w:afterLines="10"/>
      <w:ind w:left="800" w:hanging="400" w:firstLineChars="0"/>
    </w:pPr>
  </w:style>
  <w:style w:type="paragraph" w:customStyle="1" w:styleId="519">
    <w:name w:val="样式7"/>
    <w:basedOn w:val="3"/>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uiPriority w:val="0"/>
    <w:pPr>
      <w:numPr>
        <w:ilvl w:val="6"/>
        <w:numId w:val="1"/>
      </w:numPr>
    </w:pPr>
    <w:rPr>
      <w:rFonts w:ascii="黑体" w:eastAsia="黑体"/>
      <w:b/>
    </w:rPr>
  </w:style>
  <w:style w:type="paragraph" w:customStyle="1" w:styleId="52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522">
    <w:name w:val="正文_12"/>
    <w:qFormat/>
    <w:uiPriority w:val="0"/>
    <w:pPr>
      <w:widowControl w:val="0"/>
      <w:jc w:val="both"/>
    </w:pPr>
    <w:rPr>
      <w:kern w:val="2"/>
      <w:sz w:val="21"/>
      <w:szCs w:val="24"/>
      <w:lang w:val="en-US" w:eastAsia="zh-CN" w:bidi="ar-SA"/>
    </w:rPr>
  </w:style>
  <w:style w:type="paragraph" w:customStyle="1" w:styleId="523">
    <w:name w:val="样式 题注Figure Caption + 段前: 0.5 行 段后: 0.5 行"/>
    <w:basedOn w:val="22"/>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3200</Words>
  <Characters>18241</Characters>
  <Lines>152</Lines>
  <Paragraphs>42</Paragraphs>
  <TotalTime>0</TotalTime>
  <ScaleCrop>false</ScaleCrop>
  <LinksUpToDate>false</LinksUpToDate>
  <CharactersWithSpaces>21399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2021-11-08T08:13:00Z</dcterms:created>
  <dc:creator>朱顺平</dc:creator>
  <cp:lastModifiedBy>何以为之而后快</cp:lastModifiedBy>
  <cp:lastPrinted>2021-11-09T00:30:00Z</cp:lastPrinted>
  <dcterms:modified xsi:type="dcterms:W3CDTF">2021-11-09T06:03:19Z</dcterms:modified>
  <dc:title>宜兴水务集团有限公司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9CDE149243B34021A9CF11792ABDA305</vt:lpwstr>
  </property>
</Properties>
</file>