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bookmarkStart w:id="97" w:name="_GoBack"/>
      <w:bookmarkEnd w:id="97"/>
    </w:p>
    <w:p>
      <w:pPr>
        <w:jc w:val="center"/>
        <w:rPr>
          <w:rFonts w:hint="eastAsia" w:ascii="宋体" w:hAnsi="宋体"/>
          <w:b/>
          <w:bCs/>
          <w:sz w:val="48"/>
          <w:szCs w:val="48"/>
        </w:rPr>
      </w:pPr>
      <w:r>
        <w:rPr>
          <w:rFonts w:hint="eastAsia" w:ascii="宋体" w:hAnsi="宋体"/>
          <w:b/>
          <w:bCs/>
          <w:sz w:val="48"/>
          <w:szCs w:val="48"/>
        </w:rPr>
        <w:t>宜兴水务集团有限公司</w:t>
      </w:r>
    </w:p>
    <w:p>
      <w:pPr>
        <w:jc w:val="center"/>
        <w:rPr>
          <w:rFonts w:hint="eastAsia" w:ascii="宋体" w:hAnsi="宋体"/>
          <w:bCs/>
          <w:sz w:val="44"/>
          <w:szCs w:val="44"/>
        </w:rPr>
      </w:pPr>
      <w:r>
        <w:rPr>
          <w:rFonts w:hint="eastAsia" w:ascii="宋体" w:hAnsi="宋体"/>
          <w:bCs/>
          <w:sz w:val="44"/>
          <w:szCs w:val="44"/>
        </w:rPr>
        <w:t>供水管道工程涉路（高速）沉降监测采购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30"/>
          <w:szCs w:val="30"/>
        </w:rPr>
      </w:pPr>
    </w:p>
    <w:p>
      <w:pPr>
        <w:jc w:val="center"/>
        <w:rPr>
          <w:rFonts w:ascii="宋体"/>
          <w:sz w:val="32"/>
        </w:rPr>
      </w:pPr>
      <w:r>
        <w:rPr>
          <w:rFonts w:hint="eastAsia" w:ascii="宋体" w:hAnsi="宋体"/>
          <w:sz w:val="32"/>
        </w:rPr>
        <w:t>项目编号</w:t>
      </w:r>
      <w:r>
        <w:rPr>
          <w:rFonts w:ascii="宋体" w:hAnsi="宋体"/>
          <w:sz w:val="32"/>
        </w:rPr>
        <w:t>:</w:t>
      </w:r>
      <w:r>
        <w:t xml:space="preserve"> </w:t>
      </w:r>
      <w:r>
        <w:rPr>
          <w:rFonts w:ascii="宋体" w:hAnsi="宋体"/>
          <w:sz w:val="32"/>
        </w:rPr>
        <w:t>YXGYJT202110001</w:t>
      </w:r>
    </w:p>
    <w:p>
      <w:pPr>
        <w:jc w:val="center"/>
        <w:rPr>
          <w:rFonts w:ascii="宋体"/>
          <w:sz w:val="32"/>
        </w:rPr>
      </w:pPr>
      <w:r>
        <w:rPr>
          <w:rFonts w:hint="eastAsia" w:ascii="宋体" w:hAnsi="宋体"/>
          <w:sz w:val="32"/>
        </w:rPr>
        <w:t>采购人：宜兴水务集团有限公司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二一年九月三日</w:t>
      </w:r>
    </w:p>
    <w:p>
      <w:pPr>
        <w:rPr>
          <w:rFonts w:hint="eastAsia" w:ascii="宋体"/>
          <w:sz w:val="32"/>
        </w:rPr>
      </w:pP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第一</w:t>
      </w:r>
      <w:bookmarkStart w:id="1" w:name="OLE_LINK177"/>
      <w:r>
        <w:rPr>
          <w:rFonts w:hint="eastAsia" w:ascii="黑体" w:hAnsi="黑体" w:eastAsia="黑体"/>
          <w:sz w:val="32"/>
          <w:szCs w:val="32"/>
        </w:rPr>
        <w:t>章 投标邀请函</w:t>
      </w:r>
      <w:bookmarkEnd w:id="0"/>
      <w:bookmarkEnd w:id="1"/>
    </w:p>
    <w:p>
      <w:pPr>
        <w:jc w:val="center"/>
        <w:outlineLvl w:val="0"/>
        <w:rPr>
          <w:rFonts w:ascii="黑体" w:hAnsi="黑体" w:eastAsia="黑体"/>
          <w:sz w:val="24"/>
          <w:szCs w:val="24"/>
        </w:rPr>
      </w:pPr>
    </w:p>
    <w:p>
      <w:pPr>
        <w:spacing w:line="276" w:lineRule="auto"/>
        <w:ind w:firstLine="480" w:firstLineChars="200"/>
        <w:rPr>
          <w:rFonts w:ascii="宋体" w:hAnsi="宋体"/>
          <w:color w:val="000000"/>
          <w:sz w:val="24"/>
          <w:szCs w:val="24"/>
        </w:rPr>
      </w:pPr>
      <w:r>
        <w:rPr>
          <w:rFonts w:hint="eastAsia" w:ascii="宋体"/>
          <w:sz w:val="24"/>
        </w:rPr>
        <w:t>宜兴水务集团有限公司</w:t>
      </w:r>
      <w:r>
        <w:rPr>
          <w:rFonts w:hint="eastAsia" w:ascii="宋体" w:hAnsi="宋体"/>
          <w:color w:val="000000"/>
          <w:sz w:val="24"/>
          <w:szCs w:val="24"/>
        </w:rPr>
        <w:t>对</w:t>
      </w:r>
      <w:r>
        <w:rPr>
          <w:rFonts w:hint="eastAsia" w:ascii="宋体"/>
          <w:sz w:val="24"/>
        </w:rPr>
        <w:t>供水管道工程涉路（高速）沉降监测组</w:t>
      </w:r>
      <w:r>
        <w:rPr>
          <w:rFonts w:hint="eastAsia" w:ascii="宋体" w:hAnsi="宋体"/>
          <w:color w:val="000000"/>
          <w:sz w:val="24"/>
          <w:szCs w:val="24"/>
        </w:rPr>
        <w:t>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674" w:type="dxa"/>
            <w:noWrap w:val="0"/>
            <w:vAlign w:val="top"/>
          </w:tcPr>
          <w:p>
            <w:pPr>
              <w:pStyle w:val="111"/>
            </w:pPr>
            <w:bookmarkStart w:id="2" w:name="OLE_LINK192"/>
            <w:r>
              <w:rPr>
                <w:rFonts w:hint="eastAsia"/>
              </w:rPr>
              <w:t>采购人：宜兴水务集团有限公司</w:t>
            </w:r>
          </w:p>
          <w:p>
            <w:pPr>
              <w:pStyle w:val="111"/>
              <w:rPr>
                <w:rFonts w:hint="eastAsia"/>
              </w:rPr>
            </w:pPr>
            <w:r>
              <w:rPr>
                <w:rFonts w:hint="eastAsia"/>
              </w:rPr>
              <w:t>项目名称：供水管道工程涉路（高速）沉降监测采购</w:t>
            </w:r>
          </w:p>
          <w:p>
            <w:pPr>
              <w:pStyle w:val="111"/>
            </w:pPr>
            <w:r>
              <w:rPr>
                <w:rFonts w:hint="eastAsia"/>
              </w:rPr>
              <w:t>项目编号</w:t>
            </w:r>
            <w:r>
              <w:t>: YXGYJT202110001</w:t>
            </w:r>
          </w:p>
          <w:p>
            <w:pPr>
              <w:pStyle w:val="111"/>
              <w:rPr>
                <w:b/>
              </w:rPr>
            </w:pPr>
            <w:r>
              <w:rPr>
                <w:rFonts w:hint="eastAsia"/>
              </w:rPr>
              <w:t>评标方法：</w:t>
            </w:r>
            <w:r>
              <w:rPr>
                <w:rFonts w:hint="eastAsia" w:hAnsi="宋体"/>
                <w:bCs/>
                <w:szCs w:val="24"/>
              </w:rPr>
              <w:t>最低价评标法</w:t>
            </w:r>
          </w:p>
          <w:p>
            <w:pPr>
              <w:pStyle w:val="111"/>
            </w:pPr>
            <w:r>
              <w:rPr>
                <w:rFonts w:hint="eastAsia"/>
              </w:rPr>
              <w:t>本项目最高限价为：</w:t>
            </w:r>
            <w:bookmarkEnd w:id="2"/>
            <w:r>
              <w:rPr>
                <w:rFonts w:hint="eastAsia"/>
              </w:rPr>
              <w:t>29.8万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38"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674" w:type="dxa"/>
            <w:noWrap w:val="0"/>
            <w:vAlign w:val="top"/>
          </w:tcPr>
          <w:p>
            <w:pPr>
              <w:pStyle w:val="111"/>
            </w:pPr>
            <w:r>
              <w:rPr>
                <w:rFonts w:hint="eastAsia"/>
              </w:rPr>
              <w:t>2.1投标人参加本次投标活动应具备下列资格条件：</w:t>
            </w:r>
          </w:p>
          <w:p>
            <w:pPr>
              <w:pStyle w:val="111"/>
            </w:pPr>
            <w:r>
              <w:rPr>
                <w:rFonts w:hint="eastAsia"/>
              </w:rPr>
              <w:t>①具有独立承担民事责任的能力；</w:t>
            </w:r>
          </w:p>
          <w:p>
            <w:pPr>
              <w:pStyle w:val="111"/>
              <w:rPr>
                <w:b/>
              </w:rPr>
            </w:pPr>
            <w:r>
              <w:rPr>
                <w:rFonts w:hint="eastAsia"/>
              </w:rPr>
              <w:t>②有依法缴纳税收和社会保障资金的良好记录；</w:t>
            </w:r>
          </w:p>
          <w:p>
            <w:pPr>
              <w:pStyle w:val="111"/>
            </w:pPr>
            <w:r>
              <w:rPr>
                <w:rFonts w:hint="eastAsia"/>
              </w:rPr>
              <w:t>③具有履行合同所必需的设备和专业技术能力；</w:t>
            </w:r>
          </w:p>
          <w:p>
            <w:pPr>
              <w:pStyle w:val="111"/>
            </w:pPr>
            <w:r>
              <w:rPr>
                <w:rFonts w:hint="eastAsia"/>
              </w:rPr>
              <w:t>④不接受联合体，不接受成交后分包；</w:t>
            </w:r>
          </w:p>
          <w:p>
            <w:pPr>
              <w:pStyle w:val="111"/>
              <w:rPr>
                <w:rFonts w:hint="eastAsia"/>
              </w:rPr>
            </w:pPr>
            <w:r>
              <w:rPr>
                <w:rFonts w:hint="eastAsia"/>
              </w:rPr>
              <w:t>⑤无不良信用记录；</w:t>
            </w:r>
          </w:p>
          <w:p>
            <w:pPr>
              <w:pStyle w:val="111"/>
              <w:rPr>
                <w:rFonts w:hint="eastAsia"/>
              </w:rPr>
            </w:pPr>
            <w:r>
              <w:rPr>
                <w:rFonts w:hint="eastAsia"/>
              </w:rPr>
              <w:t>⑥具有勘察甲级、测绘乙级及以上资质，提供原件。</w:t>
            </w:r>
          </w:p>
          <w:p>
            <w:pPr>
              <w:pStyle w:val="111"/>
            </w:pPr>
            <w:r>
              <w:rPr>
                <w:rFonts w:hint="eastAsia"/>
              </w:rPr>
              <w:t>⑦具有同类沉降监测项目（涉及高速公路）业绩一份，提供原件。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674" w:type="dxa"/>
            <w:noWrap w:val="0"/>
            <w:vAlign w:val="top"/>
          </w:tcPr>
          <w:p>
            <w:pPr>
              <w:pStyle w:val="111"/>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674" w:type="dxa"/>
            <w:noWrap w:val="0"/>
            <w:vAlign w:val="center"/>
          </w:tcPr>
          <w:p>
            <w:pPr>
              <w:pStyle w:val="111"/>
              <w:rPr>
                <w:rFonts w:hint="eastAsia" w:hAnsi="宋体"/>
                <w:bCs/>
                <w:szCs w:val="24"/>
                <w:lang w:val="zh-CN"/>
              </w:rPr>
            </w:pPr>
            <w:r>
              <w:rPr>
                <w:rFonts w:hint="eastAsia" w:hAnsi="宋体"/>
                <w:bCs/>
                <w:szCs w:val="24"/>
                <w:lang w:val="zh-CN"/>
              </w:rPr>
              <w:t>集中考察或答疑：无。</w:t>
            </w:r>
          </w:p>
          <w:p>
            <w:pPr>
              <w:pStyle w:val="111"/>
              <w:rPr>
                <w:rFonts w:hint="eastAsia" w:hAnsi="宋体" w:cs="宋体"/>
                <w:szCs w:val="24"/>
              </w:rPr>
            </w:pPr>
            <w:r>
              <w:rPr>
                <w:rFonts w:hint="eastAsia" w:hAnsi="宋体"/>
                <w:bCs/>
                <w:szCs w:val="24"/>
                <w:lang w:val="zh-CN"/>
              </w:rPr>
              <w:t>1、</w:t>
            </w:r>
            <w:r>
              <w:rPr>
                <w:rFonts w:hint="eastAsia" w:hAnsi="宋体" w:cs="宋体"/>
                <w:szCs w:val="24"/>
              </w:rPr>
              <w:t>投标人如认为需要可以对工程现场和周围环境进行勘察，并从招标人和现场进一步获取编制投标文件所需的所有资料。勘察现场所发生的费用由投标人承担；</w:t>
            </w:r>
          </w:p>
          <w:p>
            <w:pPr>
              <w:pStyle w:val="111"/>
              <w:rPr>
                <w:rFonts w:hint="eastAsia" w:hAnsi="宋体" w:cs="宋体"/>
                <w:szCs w:val="24"/>
              </w:rPr>
            </w:pPr>
            <w:r>
              <w:rPr>
                <w:rFonts w:hint="eastAsia" w:hAnsi="宋体" w:cs="宋体"/>
                <w:szCs w:val="24"/>
              </w:rPr>
              <w:t>2、招标人将向投标人提供本工程施工图（另附）。招标人向投标人提供的有关现场的资料和数据是招标人现有的能使投标人利用的资料。投标人对招标人由此而做出的推论、理解和结论概不负责；</w:t>
            </w:r>
          </w:p>
          <w:p>
            <w:pPr>
              <w:pStyle w:val="111"/>
              <w:jc w:val="left"/>
              <w:rPr>
                <w:rFonts w:hAnsi="宋体" w:cs="宋体"/>
                <w:szCs w:val="24"/>
              </w:rPr>
            </w:pPr>
            <w:r>
              <w:rPr>
                <w:rFonts w:hint="eastAsia" w:hAnsi="宋体" w:cs="宋体"/>
                <w:szCs w:val="24"/>
              </w:rPr>
              <w:t>3、现场考察询标人联系人：</w:t>
            </w:r>
            <w:r>
              <w:rPr>
                <w:rFonts w:hint="eastAsia"/>
              </w:rPr>
              <w:t>氿滨水厂西厂区南出厂供水管道工程，</w:t>
            </w:r>
            <w:r>
              <w:rPr>
                <w:rFonts w:hint="eastAsia" w:hAnsi="宋体" w:cs="宋体"/>
                <w:szCs w:val="24"/>
              </w:rPr>
              <w:t>邹</w:t>
            </w:r>
            <w:r>
              <w:rPr>
                <w:rFonts w:hAnsi="宋体" w:cs="宋体"/>
                <w:szCs w:val="24"/>
              </w:rPr>
              <w:t>，</w:t>
            </w:r>
            <w:r>
              <w:rPr>
                <w:rFonts w:hint="eastAsia" w:hAnsi="宋体" w:cs="宋体"/>
                <w:szCs w:val="24"/>
              </w:rPr>
              <w:t>电话：13003390228；</w:t>
            </w:r>
            <w:r>
              <w:rPr>
                <w:rFonts w:hint="eastAsia"/>
              </w:rPr>
              <w:t>X306（屺亭-高塍）DN600工业水管道改造工程，</w:t>
            </w:r>
            <w:r>
              <w:rPr>
                <w:rFonts w:hint="eastAsia" w:hAnsi="宋体" w:cs="宋体"/>
                <w:szCs w:val="24"/>
              </w:rPr>
              <w:t>陈</w:t>
            </w:r>
            <w:r>
              <w:rPr>
                <w:rFonts w:hAnsi="宋体" w:cs="宋体"/>
                <w:szCs w:val="24"/>
              </w:rPr>
              <w:t>，</w:t>
            </w:r>
            <w:r>
              <w:rPr>
                <w:rFonts w:hint="eastAsia" w:hAnsi="宋体" w:cs="宋体"/>
                <w:szCs w:val="24"/>
              </w:rPr>
              <w:t>电话：13771371388。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674" w:type="dxa"/>
            <w:noWrap w:val="0"/>
            <w:vAlign w:val="center"/>
          </w:tcPr>
          <w:p>
            <w:pPr>
              <w:rPr>
                <w:rFonts w:ascii="宋体" w:hAnsi="宋体"/>
                <w:bCs/>
                <w:sz w:val="24"/>
                <w:szCs w:val="24"/>
              </w:rPr>
            </w:pPr>
            <w:r>
              <w:rPr>
                <w:rFonts w:hint="eastAsia" w:ascii="宋体" w:hAnsi="宋体"/>
                <w:bCs/>
                <w:sz w:val="24"/>
                <w:szCs w:val="24"/>
              </w:rPr>
              <w:t>投标文件份数：3份，一正二副（需装订后密封）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5"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674"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674" w:type="dxa"/>
            <w:noWrap w:val="0"/>
            <w:vAlign w:val="top"/>
          </w:tcPr>
          <w:p>
            <w:pPr>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2021年11月11日14：</w:t>
            </w:r>
            <w:r>
              <w:rPr>
                <w:rFonts w:hint="eastAsia" w:ascii="宋体" w:hAnsi="宋体"/>
                <w:bCs/>
                <w:sz w:val="24"/>
                <w:szCs w:val="21"/>
              </w:rPr>
              <w:t>00</w:t>
            </w:r>
          </w:p>
          <w:p>
            <w:pPr>
              <w:rPr>
                <w:rFonts w:ascii="宋体" w:hAnsi="宋体"/>
                <w:bCs/>
                <w:sz w:val="24"/>
                <w:szCs w:val="21"/>
              </w:rPr>
            </w:pPr>
            <w:r>
              <w:rPr>
                <w:rFonts w:hint="eastAsia" w:ascii="宋体" w:hAnsi="宋体"/>
                <w:bCs/>
                <w:sz w:val="24"/>
                <w:szCs w:val="21"/>
              </w:rPr>
              <w:t>定标时间：评标结束后</w:t>
            </w:r>
          </w:p>
          <w:p>
            <w:pPr>
              <w:jc w:val="left"/>
              <w:rPr>
                <w:rFonts w:hint="eastAsia" w:ascii="宋体" w:hAnsi="宋体"/>
                <w:bCs/>
                <w:sz w:val="24"/>
                <w:szCs w:val="21"/>
              </w:rPr>
            </w:pPr>
            <w:r>
              <w:rPr>
                <w:rFonts w:hint="eastAsia" w:ascii="宋体" w:hAnsi="宋体"/>
                <w:bCs/>
                <w:sz w:val="24"/>
                <w:szCs w:val="21"/>
              </w:rPr>
              <w:t>投标地点及开标地点：供应商须递交符合招标文件要求的电子标书，于开标前30分钟发送到指定邮箱，邮件主题、标题中需标明所投标段名称，由评委在开标时间截止后现场开启。（标书必须每页加盖单位公章并由法人签字或敲章）</w:t>
            </w:r>
          </w:p>
          <w:p>
            <w:pPr>
              <w:jc w:val="left"/>
              <w:rPr>
                <w:rFonts w:ascii="宋体" w:hAnsi="宋体"/>
                <w:sz w:val="24"/>
                <w:szCs w:val="24"/>
              </w:rPr>
            </w:pPr>
            <w:r>
              <w:rPr>
                <w:rFonts w:hint="eastAsia" w:ascii="宋体" w:hAnsi="宋体"/>
                <w:bCs/>
                <w:sz w:val="24"/>
                <w:szCs w:val="21"/>
              </w:rPr>
              <w:t>邮箱为：yxgycyjtztb@126.com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674"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宜兴水务集团有限公司</w:t>
            </w:r>
          </w:p>
          <w:p>
            <w:pPr>
              <w:rPr>
                <w:rFonts w:ascii="宋体" w:hAnsi="宋体"/>
                <w:bCs/>
                <w:sz w:val="24"/>
                <w:szCs w:val="21"/>
              </w:rPr>
            </w:pPr>
            <w:r>
              <w:rPr>
                <w:rFonts w:hint="eastAsia" w:ascii="宋体" w:hAnsi="宋体"/>
                <w:bCs/>
                <w:sz w:val="24"/>
                <w:szCs w:val="21"/>
              </w:rPr>
              <w:t>联系人：</w:t>
            </w:r>
            <w:r>
              <w:rPr>
                <w:rFonts w:ascii="宋体" w:hAnsi="宋体"/>
                <w:bCs/>
                <w:sz w:val="24"/>
                <w:szCs w:val="21"/>
              </w:rPr>
              <w:t xml:space="preserve"> </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p>
            <w:pPr>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92"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674" w:type="dxa"/>
            <w:noWrap w:val="0"/>
            <w:vAlign w:val="top"/>
          </w:tcPr>
          <w:p>
            <w:pPr>
              <w:pStyle w:val="111"/>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w:t>
            </w:r>
            <w:r>
              <w:rPr>
                <w:rFonts w:hint="eastAsia"/>
                <w:b/>
              </w:rPr>
              <w:t>陆仟</w:t>
            </w:r>
            <w:r>
              <w:rPr>
                <w:rFonts w:hint="eastAsia"/>
              </w:rPr>
              <w:t>元人民币。</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rPr>
                    <w:t>10010188000011416</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rPr>
                <w:rFonts w:hint="eastAsia" w:ascii="宋体" w:hAnsi="宋体"/>
                <w:bCs/>
                <w:sz w:val="24"/>
                <w:szCs w:val="21"/>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57" w:hRule="atLeast"/>
          <w:jc w:val="center"/>
        </w:trPr>
        <w:tc>
          <w:tcPr>
            <w:tcW w:w="959" w:type="dxa"/>
            <w:noWrap w:val="0"/>
            <w:vAlign w:val="center"/>
          </w:tcPr>
          <w:p>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9</w:t>
            </w:r>
          </w:p>
        </w:tc>
        <w:tc>
          <w:tcPr>
            <w:tcW w:w="8674"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Ansi="宋体"/>
                      <w:bCs/>
                      <w:sz w:val="24"/>
                      <w:szCs w:val="24"/>
                      <w:lang w:val="zh-CN"/>
                    </w:rPr>
                  </w:pPr>
                  <w:r>
                    <w:rPr>
                      <w:rFonts w:hint="eastAsia" w:hAnsi="宋体"/>
                      <w:bCs/>
                      <w:sz w:val="24"/>
                      <w:szCs w:val="24"/>
                      <w:lang w:val="zh-CN"/>
                    </w:rPr>
                    <w:t>宜兴水务集团有限公司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4"/>
                    </w:rPr>
                  </w:pPr>
                  <w:r>
                    <w:rPr>
                      <w:rFonts w:hint="eastAsia" w:hAnsi="宋体"/>
                      <w:bCs/>
                      <w:sz w:val="24"/>
                      <w:szCs w:val="24"/>
                      <w:lang w:val="zh-CN"/>
                    </w:rPr>
                    <w:t>兴业银行宜兴支行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4"/>
                    </w:rPr>
                  </w:pPr>
                  <w:r>
                    <w:rPr>
                      <w:rFonts w:hint="eastAsia" w:ascii="宋体" w:hAnsi="宋体"/>
                      <w:bCs/>
                      <w:sz w:val="24"/>
                      <w:szCs w:val="24"/>
                      <w:lang w:val="zh-CN"/>
                    </w:rPr>
                    <w:t>408470100100248104</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6"/>
    </w:tbl>
    <w:p>
      <w:pPr>
        <w:jc w:val="center"/>
        <w:outlineLvl w:val="0"/>
        <w:rPr>
          <w:rFonts w:ascii="黑体" w:hAnsi="黑体" w:eastAsia="黑体"/>
          <w:sz w:val="32"/>
          <w:szCs w:val="32"/>
        </w:rPr>
      </w:pPr>
    </w:p>
    <w:p>
      <w:pPr>
        <w:widowControl/>
        <w:jc w:val="cente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第二章 投标人须知</w:t>
      </w:r>
    </w:p>
    <w:p>
      <w:pPr>
        <w:widowControl/>
        <w:jc w:val="center"/>
        <w:rPr>
          <w:rFonts w:ascii="黑体" w:hAnsi="黑体" w:eastAsia="黑体"/>
          <w:sz w:val="32"/>
          <w:szCs w:val="32"/>
        </w:rPr>
      </w:pP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宜兴水务集团有限公司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宜兴水务集团有限公司</w:t>
      </w:r>
      <w:r>
        <w:rPr>
          <w:rFonts w:hint="eastAsia" w:ascii="宋体" w:hAnsi="宋体"/>
          <w:bCs/>
          <w:sz w:val="24"/>
        </w:rPr>
        <w:t>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p>
    <w:p>
      <w:pPr>
        <w:numPr>
          <w:ilvl w:val="0"/>
          <w:numId w:val="15"/>
        </w:numPr>
        <w:tabs>
          <w:tab w:val="left" w:pos="0"/>
          <w:tab w:val="left" w:pos="255"/>
        </w:tabs>
        <w:spacing w:line="360" w:lineRule="auto"/>
        <w:ind w:firstLine="482" w:firstLineChars="200"/>
        <w:rPr>
          <w:rFonts w:hint="eastAsia" w:ascii="宋体" w:hAnsi="宋体"/>
          <w:b/>
          <w:bCs/>
          <w:sz w:val="24"/>
          <w:szCs w:val="24"/>
          <w:lang w:val="zh-CN"/>
        </w:rPr>
      </w:pPr>
      <w:r>
        <w:rPr>
          <w:rFonts w:hint="eastAsia" w:ascii="宋体" w:hAnsi="宋体"/>
          <w:b/>
          <w:bCs/>
          <w:sz w:val="24"/>
          <w:szCs w:val="24"/>
          <w:lang w:val="zh-CN"/>
        </w:rPr>
        <w:t>参加投标人员身份证原件；</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p>
    <w:bookmarkEnd w:id="20"/>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numPr>
          <w:ilvl w:val="0"/>
          <w:numId w:val="15"/>
        </w:numPr>
        <w:tabs>
          <w:tab w:val="left" w:pos="420"/>
          <w:tab w:val="left" w:pos="945"/>
          <w:tab w:val="left" w:pos="1155"/>
        </w:tabs>
        <w:spacing w:line="360" w:lineRule="auto"/>
        <w:rPr>
          <w:rFonts w:hint="eastAsia" w:ascii="宋体" w:hAnsi="宋体" w:cs="宋体"/>
          <w:sz w:val="24"/>
          <w:szCs w:val="24"/>
        </w:rPr>
      </w:pPr>
      <w:r>
        <w:rPr>
          <w:rFonts w:hint="eastAsia" w:ascii="宋体" w:hAnsi="宋体" w:cs="宋体"/>
          <w:sz w:val="24"/>
          <w:szCs w:val="24"/>
        </w:rPr>
        <w:t>投标保证金交纳证明复印件；</w:t>
      </w:r>
    </w:p>
    <w:p>
      <w:pPr>
        <w:numPr>
          <w:ilvl w:val="0"/>
          <w:numId w:val="15"/>
        </w:numPr>
        <w:tabs>
          <w:tab w:val="left" w:pos="420"/>
          <w:tab w:val="left" w:pos="945"/>
          <w:tab w:val="left" w:pos="1155"/>
        </w:tabs>
        <w:spacing w:line="360" w:lineRule="auto"/>
        <w:rPr>
          <w:rFonts w:hint="eastAsia"/>
          <w:sz w:val="24"/>
          <w:szCs w:val="24"/>
        </w:rPr>
      </w:pPr>
      <w:bookmarkStart w:id="22" w:name="OLE_LINK115"/>
      <w:r>
        <w:rPr>
          <w:rFonts w:hint="eastAsia" w:ascii="宋体" w:hAnsi="宋体"/>
          <w:bCs/>
          <w:sz w:val="24"/>
          <w:szCs w:val="24"/>
          <w:lang w:val="zh-CN"/>
        </w:rPr>
        <w:t>投标人</w:t>
      </w:r>
      <w:r>
        <w:rPr>
          <w:rFonts w:hint="eastAsia" w:ascii="宋体" w:hAnsi="宋体" w:cs="宋体"/>
          <w:sz w:val="24"/>
          <w:szCs w:val="24"/>
        </w:rPr>
        <w:t>具有勘察甲级、测绘乙级及以上资质，标书中提供复印件，</w:t>
      </w:r>
      <w:r>
        <w:rPr>
          <w:rFonts w:hint="eastAsia"/>
          <w:sz w:val="24"/>
          <w:szCs w:val="24"/>
        </w:rPr>
        <w:t>投标时提供原件备查。</w:t>
      </w:r>
    </w:p>
    <w:p>
      <w:pPr>
        <w:numPr>
          <w:ilvl w:val="0"/>
          <w:numId w:val="15"/>
        </w:numPr>
        <w:tabs>
          <w:tab w:val="left" w:pos="420"/>
          <w:tab w:val="left" w:pos="945"/>
          <w:tab w:val="left" w:pos="1155"/>
        </w:tabs>
        <w:spacing w:line="360" w:lineRule="auto"/>
        <w:rPr>
          <w:rFonts w:hint="eastAsia"/>
          <w:sz w:val="24"/>
          <w:szCs w:val="24"/>
        </w:rPr>
      </w:pPr>
      <w:r>
        <w:rPr>
          <w:rFonts w:hint="eastAsia"/>
          <w:sz w:val="24"/>
          <w:szCs w:val="24"/>
        </w:rPr>
        <w:t>投标人具有同类沉降监测项目（涉及高速公路）业绩，</w:t>
      </w:r>
      <w:r>
        <w:rPr>
          <w:rFonts w:hint="eastAsia" w:ascii="宋体" w:hAnsi="宋体" w:cs="宋体"/>
          <w:sz w:val="24"/>
          <w:szCs w:val="24"/>
        </w:rPr>
        <w:t>标书中提供复印件</w:t>
      </w:r>
      <w:r>
        <w:rPr>
          <w:rFonts w:hint="eastAsia"/>
          <w:sz w:val="24"/>
          <w:szCs w:val="24"/>
        </w:rPr>
        <w:t>一份，投标时提供原件备查。</w:t>
      </w:r>
    </w:p>
    <w:p>
      <w:pPr>
        <w:tabs>
          <w:tab w:val="left" w:pos="0"/>
          <w:tab w:val="left" w:pos="945"/>
          <w:tab w:val="left" w:pos="1155"/>
        </w:tabs>
        <w:spacing w:line="360" w:lineRule="auto"/>
        <w:ind w:firstLine="424" w:firstLineChars="177"/>
        <w:rPr>
          <w:rFonts w:ascii="宋体" w:hAnsi="宋体" w:cs="宋体"/>
          <w:sz w:val="24"/>
          <w:szCs w:val="24"/>
        </w:rPr>
      </w:pPr>
      <w:r>
        <w:rPr>
          <w:rFonts w:hint="eastAsia" w:ascii="宋体" w:hAnsi="宋体"/>
          <w:sz w:val="24"/>
        </w:rPr>
        <w:t>（4）招标文件 “项目技术要求和有关说明”中要求提供的相关证明材料（如有自行添加）</w:t>
      </w:r>
      <w:bookmarkEnd w:id="22"/>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 w:val="left" w:pos="255"/>
        </w:tabs>
        <w:spacing w:line="360" w:lineRule="auto"/>
        <w:ind w:left="284"/>
        <w:rPr>
          <w:rFonts w:ascii="宋体" w:hAnsi="宋体"/>
          <w:bCs/>
          <w:sz w:val="24"/>
          <w:lang w:val="zh-CN"/>
        </w:rPr>
      </w:pPr>
      <w:bookmarkStart w:id="23"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8"/>
      <w:bookmarkEnd w:id="23"/>
    </w:p>
    <w:bookmarkEnd w:id="15"/>
    <w:bookmarkEnd w:id="16"/>
    <w:p>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pacing w:line="360" w:lineRule="auto"/>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投标人对招标文件的相关内容不得有不同意见的负偏离，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pacing w:line="360" w:lineRule="auto"/>
        <w:ind w:firstLine="482" w:firstLineChars="200"/>
        <w:rPr>
          <w:rFonts w:ascii="宋体" w:hAnsi="宋体"/>
          <w:b/>
          <w:sz w:val="24"/>
        </w:rPr>
      </w:pPr>
      <w:bookmarkStart w:id="34"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投标人须在招标文件规定的提交投标文件截止时间之前到宜兴水务集团有限公司提交投标文件，逾期不予受理。</w:t>
      </w:r>
    </w:p>
    <w:p>
      <w:pPr>
        <w:spacing w:line="360" w:lineRule="auto"/>
        <w:ind w:firstLine="472" w:firstLineChars="196"/>
        <w:rPr>
          <w:rFonts w:ascii="宋体" w:hAnsi="宋体"/>
          <w:b/>
          <w:sz w:val="24"/>
        </w:rPr>
      </w:pPr>
      <w:bookmarkStart w:id="37"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bookmarkEnd w:id="34"/>
    <w:bookmarkEnd w:id="37"/>
    <w:p>
      <w:pPr>
        <w:spacing w:line="360" w:lineRule="auto"/>
        <w:ind w:firstLine="480" w:firstLineChars="200"/>
        <w:rPr>
          <w:rFonts w:hint="eastAsia" w:ascii="宋体" w:hAnsi="宋体" w:cs="宋体"/>
          <w:sz w:val="24"/>
          <w:szCs w:val="24"/>
          <w:highlight w:val="yellow"/>
        </w:rPr>
      </w:pPr>
      <w:bookmarkStart w:id="38" w:name="OLE_LINK95"/>
      <w:r>
        <w:rPr>
          <w:rFonts w:hint="eastAsia" w:ascii="宋体" w:hAnsi="宋体"/>
          <w:bCs/>
          <w:sz w:val="24"/>
          <w:szCs w:val="24"/>
          <w:highlight w:val="yellow"/>
        </w:rPr>
        <w:t xml:space="preserve">11.2 </w:t>
      </w:r>
      <w:r>
        <w:rPr>
          <w:rFonts w:hint="eastAsia" w:ascii="宋体" w:hAnsi="宋体" w:cs="宋体"/>
          <w:sz w:val="24"/>
          <w:szCs w:val="24"/>
          <w:highlight w:val="yellow"/>
        </w:rPr>
        <w:t>未按照要求将电子标书每页加盖单位公章并由法人签字。</w:t>
      </w:r>
    </w:p>
    <w:p>
      <w:pPr>
        <w:spacing w:line="360" w:lineRule="auto"/>
        <w:ind w:firstLine="480" w:firstLineChars="200"/>
        <w:rPr>
          <w:rFonts w:hint="eastAsia" w:ascii="宋体" w:hAnsi="宋体"/>
          <w:bCs/>
          <w:sz w:val="24"/>
          <w:szCs w:val="24"/>
        </w:rPr>
      </w:pPr>
      <w:r>
        <w:rPr>
          <w:rFonts w:hint="eastAsia" w:ascii="宋体" w:hAnsi="宋体" w:cs="宋体"/>
          <w:sz w:val="24"/>
          <w:szCs w:val="24"/>
          <w:highlight w:val="yellow"/>
        </w:rPr>
        <w:t>11.</w:t>
      </w:r>
      <w:r>
        <w:rPr>
          <w:rFonts w:hint="eastAsia"/>
          <w:highlight w:val="yellow"/>
        </w:rPr>
        <w:t xml:space="preserve"> </w:t>
      </w:r>
      <w:r>
        <w:rPr>
          <w:rFonts w:hint="eastAsia" w:ascii="宋体" w:hAnsi="宋体" w:cs="宋体"/>
          <w:sz w:val="24"/>
          <w:szCs w:val="24"/>
          <w:highlight w:val="yellow"/>
        </w:rPr>
        <w:t>3发送的电子邮件标题未按规范注明投标标段</w:t>
      </w:r>
    </w:p>
    <w:p>
      <w:pPr>
        <w:spacing w:line="360" w:lineRule="auto"/>
        <w:ind w:firstLine="482" w:firstLineChars="200"/>
        <w:rPr>
          <w:rFonts w:ascii="宋体" w:hAnsi="宋体"/>
          <w:b/>
          <w:sz w:val="24"/>
        </w:rPr>
      </w:pPr>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投标人投标后，宜兴水务集团有限公司对所有投标人的投标文件一律不予退还。</w:t>
      </w:r>
    </w:p>
    <w:p>
      <w:pPr>
        <w:spacing w:line="360" w:lineRule="auto"/>
        <w:ind w:firstLine="482" w:firstLineChars="200"/>
        <w:rPr>
          <w:rFonts w:ascii="宋体" w:hAnsi="宋体"/>
          <w:b/>
          <w:sz w:val="24"/>
        </w:rPr>
      </w:pPr>
      <w:bookmarkStart w:id="39"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8"/>
        </w:numPr>
        <w:spacing w:line="360" w:lineRule="auto"/>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pacing w:line="360" w:lineRule="auto"/>
        <w:ind w:firstLine="482" w:firstLineChars="200"/>
        <w:rPr>
          <w:rFonts w:ascii="宋体" w:hAnsi="宋体"/>
          <w:b/>
          <w:sz w:val="24"/>
        </w:rPr>
      </w:pPr>
      <w:bookmarkStart w:id="46" w:name="OLE_LINK168"/>
      <w:r>
        <w:rPr>
          <w:rFonts w:hint="eastAsia" w:ascii="宋体" w:hAnsi="宋体"/>
          <w:b/>
          <w:sz w:val="24"/>
        </w:rPr>
        <w:t>17、开标</w:t>
      </w:r>
    </w:p>
    <w:p>
      <w:pPr>
        <w:spacing w:line="360" w:lineRule="auto"/>
        <w:ind w:firstLine="480" w:firstLineChars="200"/>
        <w:rPr>
          <w:rFonts w:hint="eastAsia" w:ascii="宋体" w:hAnsi="宋体"/>
          <w:bCs/>
          <w:sz w:val="24"/>
          <w:szCs w:val="24"/>
          <w:highlight w:val="yellow"/>
          <w:lang w:val="zh-CN"/>
        </w:rPr>
      </w:pPr>
      <w:r>
        <w:rPr>
          <w:rFonts w:hint="eastAsia" w:ascii="宋体" w:hAnsi="宋体"/>
          <w:bCs/>
          <w:sz w:val="24"/>
          <w:szCs w:val="24"/>
          <w:highlight w:val="yellow"/>
        </w:rPr>
        <w:t xml:space="preserve">17.1 </w:t>
      </w:r>
      <w:r>
        <w:rPr>
          <w:rFonts w:hint="eastAsia" w:ascii="宋体" w:hAnsi="宋体"/>
          <w:bCs/>
          <w:sz w:val="24"/>
          <w:szCs w:val="24"/>
          <w:highlight w:val="yellow"/>
          <w:lang w:val="zh-CN"/>
        </w:rPr>
        <w:t>供应商须递交符合招标文件要求的电子标书，于开标前30分钟发送到指定邮箱，</w:t>
      </w:r>
      <w:r>
        <w:rPr>
          <w:rFonts w:hint="eastAsia" w:ascii="宋体" w:hAnsi="宋体"/>
          <w:bCs/>
          <w:sz w:val="24"/>
          <w:szCs w:val="24"/>
          <w:lang w:val="zh-CN"/>
        </w:rPr>
        <w:t>邮件主题、标题中需标明所投标段名称，</w:t>
      </w:r>
      <w:r>
        <w:rPr>
          <w:rFonts w:hint="eastAsia" w:ascii="宋体" w:hAnsi="宋体"/>
          <w:bCs/>
          <w:sz w:val="24"/>
          <w:szCs w:val="24"/>
          <w:highlight w:val="yellow"/>
          <w:lang w:val="zh-CN"/>
        </w:rPr>
        <w:t>由评委在开标时间截止后现场开启。（标书必须每页加盖单位公章并由法人签字）</w:t>
      </w:r>
    </w:p>
    <w:p>
      <w:pPr>
        <w:spacing w:line="360" w:lineRule="auto"/>
        <w:ind w:firstLine="480" w:firstLineChars="200"/>
        <w:rPr>
          <w:rFonts w:hint="eastAsia" w:ascii="宋体" w:hAnsi="宋体"/>
          <w:bCs/>
          <w:sz w:val="24"/>
          <w:szCs w:val="24"/>
        </w:rPr>
      </w:pPr>
      <w:r>
        <w:rPr>
          <w:rFonts w:hint="eastAsia" w:ascii="宋体" w:hAnsi="宋体"/>
          <w:bCs/>
          <w:sz w:val="24"/>
          <w:szCs w:val="24"/>
          <w:highlight w:val="yellow"/>
          <w:lang w:val="zh-CN"/>
        </w:rPr>
        <w:t>邮箱为</w:t>
      </w:r>
      <w:r>
        <w:rPr>
          <w:rFonts w:hint="eastAsia" w:ascii="宋体" w:hAnsi="宋体"/>
          <w:bCs/>
          <w:sz w:val="24"/>
          <w:szCs w:val="24"/>
          <w:highlight w:val="yellow"/>
        </w:rPr>
        <w:t>：yxgycyjtztb@126.com</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8"/>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0"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8"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outlineLvl w:val="0"/>
        <w:rPr>
          <w:rFonts w:ascii="黑体" w:hAnsi="黑体" w:eastAsia="黑体"/>
          <w:sz w:val="28"/>
        </w:rPr>
      </w:pPr>
      <w:bookmarkStart w:id="69" w:name="_Toc30789"/>
    </w:p>
    <w:p>
      <w:pPr>
        <w:jc w:val="center"/>
        <w:outlineLvl w:val="0"/>
        <w:rPr>
          <w:rFonts w:hint="eastAsia" w:ascii="黑体" w:hAnsi="黑体" w:eastAsia="黑体"/>
          <w:sz w:val="28"/>
        </w:rPr>
      </w:pPr>
      <w:bookmarkStart w:id="70" w:name="_Toc60044038"/>
      <w:r>
        <w:rPr>
          <w:rFonts w:hint="eastAsia" w:ascii="黑体" w:hAnsi="黑体" w:eastAsia="黑体"/>
          <w:sz w:val="28"/>
        </w:rPr>
        <w:t>第三章 项目技术要求和有关说明</w:t>
      </w:r>
      <w:bookmarkEnd w:id="69"/>
      <w:bookmarkEnd w:id="70"/>
    </w:p>
    <w:p>
      <w:pPr>
        <w:jc w:val="center"/>
        <w:outlineLvl w:val="0"/>
        <w:rPr>
          <w:rFonts w:ascii="黑体" w:hAnsi="黑体" w:eastAsia="黑体"/>
          <w:sz w:val="28"/>
        </w:rPr>
      </w:pPr>
    </w:p>
    <w:p>
      <w:pPr>
        <w:spacing w:line="276" w:lineRule="auto"/>
        <w:ind w:firstLine="482" w:firstLineChars="200"/>
        <w:rPr>
          <w:rFonts w:hint="eastAsia" w:ascii="宋体" w:hAnsi="宋体"/>
          <w:b/>
          <w:sz w:val="24"/>
          <w:szCs w:val="24"/>
        </w:rPr>
      </w:pPr>
      <w:r>
        <w:rPr>
          <w:rFonts w:hint="eastAsia" w:ascii="宋体" w:hAnsi="宋体"/>
          <w:b/>
          <w:sz w:val="24"/>
          <w:szCs w:val="24"/>
        </w:rPr>
        <w:t>一、项目概述：</w:t>
      </w:r>
    </w:p>
    <w:p>
      <w:pPr>
        <w:widowControl/>
        <w:spacing w:line="276" w:lineRule="auto"/>
        <w:jc w:val="left"/>
        <w:rPr>
          <w:rFonts w:hint="eastAsia" w:ascii="宋体" w:hAnsi="宋体"/>
          <w:sz w:val="24"/>
          <w:szCs w:val="24"/>
        </w:rPr>
      </w:pPr>
      <w:r>
        <w:rPr>
          <w:rFonts w:hint="eastAsia" w:ascii="宋体" w:hAnsi="宋体"/>
          <w:sz w:val="24"/>
          <w:szCs w:val="24"/>
        </w:rPr>
        <w:t xml:space="preserve">    本项目为宜兴水务集团有限公司供水管道工程涉路（高速）沉降监测采购，具体要求如下，投标人须提供满足以下要求的服务，不得有负偏离。</w:t>
      </w:r>
    </w:p>
    <w:p>
      <w:pPr>
        <w:widowControl/>
        <w:spacing w:line="276" w:lineRule="auto"/>
        <w:ind w:firstLine="482" w:firstLineChars="200"/>
        <w:jc w:val="left"/>
        <w:rPr>
          <w:rFonts w:hint="eastAsia" w:ascii="宋体" w:hAnsi="宋体" w:cs="宋体"/>
          <w:b/>
          <w:sz w:val="24"/>
        </w:rPr>
      </w:pPr>
      <w:r>
        <w:rPr>
          <w:rFonts w:hint="eastAsia" w:ascii="宋体" w:hAnsi="宋体" w:cs="宋体"/>
          <w:b/>
          <w:sz w:val="24"/>
        </w:rPr>
        <w:t>二、</w:t>
      </w:r>
      <w:r>
        <w:rPr>
          <w:rFonts w:hint="eastAsia" w:ascii="宋体" w:hAnsi="宋体"/>
          <w:b/>
          <w:sz w:val="24"/>
          <w:szCs w:val="24"/>
        </w:rPr>
        <w:t xml:space="preserve">本次招标基本情况: </w:t>
      </w:r>
    </w:p>
    <w:p>
      <w:pPr>
        <w:widowControl/>
        <w:spacing w:line="276" w:lineRule="auto"/>
        <w:jc w:val="left"/>
        <w:rPr>
          <w:rFonts w:hint="eastAsia" w:ascii="宋体" w:hAnsi="宋体"/>
          <w:sz w:val="24"/>
          <w:szCs w:val="24"/>
        </w:rPr>
      </w:pPr>
      <w:r>
        <w:rPr>
          <w:rFonts w:hint="eastAsia" w:ascii="宋体" w:hAnsi="宋体"/>
          <w:sz w:val="24"/>
          <w:szCs w:val="24"/>
        </w:rPr>
        <w:t xml:space="preserve">    1、项目地址：宜兴市环科园、屺亭街道各一处。</w:t>
      </w:r>
    </w:p>
    <w:p>
      <w:pPr>
        <w:widowControl/>
        <w:spacing w:line="276" w:lineRule="auto"/>
        <w:jc w:val="left"/>
        <w:rPr>
          <w:rFonts w:hint="eastAsia" w:ascii="宋体" w:hAnsi="宋体"/>
          <w:sz w:val="24"/>
          <w:szCs w:val="24"/>
        </w:rPr>
      </w:pPr>
      <w:r>
        <w:rPr>
          <w:rFonts w:hint="eastAsia" w:ascii="宋体" w:hAnsi="宋体"/>
          <w:sz w:val="24"/>
          <w:szCs w:val="24"/>
        </w:rPr>
        <w:t xml:space="preserve">    2、项目概况：</w:t>
      </w:r>
    </w:p>
    <w:p>
      <w:pPr>
        <w:widowControl/>
        <w:spacing w:line="276" w:lineRule="auto"/>
        <w:jc w:val="left"/>
        <w:rPr>
          <w:rFonts w:hint="eastAsia" w:ascii="宋体" w:hAnsi="宋体"/>
          <w:sz w:val="24"/>
          <w:szCs w:val="24"/>
          <w:highlight w:val="yellow"/>
        </w:rPr>
      </w:pPr>
      <w:r>
        <w:rPr>
          <w:rFonts w:hint="eastAsia" w:ascii="宋体" w:hAnsi="宋体"/>
          <w:sz w:val="24"/>
          <w:szCs w:val="24"/>
        </w:rPr>
        <w:t xml:space="preserve">    </w:t>
      </w:r>
      <w:r>
        <w:rPr>
          <w:rFonts w:hint="eastAsia" w:ascii="宋体" w:hAnsi="宋体"/>
          <w:sz w:val="24"/>
          <w:szCs w:val="24"/>
          <w:highlight w:val="yellow"/>
        </w:rPr>
        <w:t>2.1、X306（屺亭-高塍）DN600工业水管道改造工程：其中穿越S48高速公路桥约70米，采用开挖工艺，DN600钢管外套DN800钢管护管。</w:t>
      </w:r>
    </w:p>
    <w:p>
      <w:pPr>
        <w:widowControl/>
        <w:spacing w:line="276" w:lineRule="auto"/>
        <w:jc w:val="left"/>
        <w:rPr>
          <w:rFonts w:hint="eastAsia" w:ascii="宋体" w:hAnsi="宋体"/>
          <w:sz w:val="24"/>
          <w:szCs w:val="24"/>
        </w:rPr>
      </w:pPr>
      <w:r>
        <w:rPr>
          <w:rFonts w:hint="eastAsia" w:ascii="宋体" w:hAnsi="宋体"/>
          <w:sz w:val="24"/>
          <w:szCs w:val="24"/>
          <w:highlight w:val="yellow"/>
        </w:rPr>
        <w:t xml:space="preserve">    2.2、氿滨水厂西厂区南出厂供水管道工程：其中穿越S48高速公路约142米，采用顶管工艺，DN1000球墨管外套DN1200钢筋混凝土管护管。</w:t>
      </w:r>
    </w:p>
    <w:p>
      <w:pPr>
        <w:widowControl/>
        <w:spacing w:line="276" w:lineRule="auto"/>
        <w:ind w:firstLine="482" w:firstLineChars="200"/>
        <w:jc w:val="left"/>
        <w:rPr>
          <w:rFonts w:ascii="宋体" w:hAnsi="宋体"/>
          <w:b/>
          <w:sz w:val="24"/>
          <w:szCs w:val="24"/>
        </w:rPr>
      </w:pPr>
      <w:r>
        <w:rPr>
          <w:rFonts w:hint="eastAsia" w:ascii="宋体" w:hAnsi="宋体"/>
          <w:b/>
          <w:sz w:val="24"/>
          <w:szCs w:val="24"/>
        </w:rPr>
        <w:t>三、技术要求与相关执行标准：</w:t>
      </w:r>
    </w:p>
    <w:p>
      <w:pPr>
        <w:widowControl/>
        <w:spacing w:line="276"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《建筑基坑工程监测技术规范》（GB50497-2009）</w:t>
      </w:r>
    </w:p>
    <w:p>
      <w:pPr>
        <w:widowControl/>
        <w:spacing w:line="276"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《工程测量规范》（GB50026－</w:t>
      </w:r>
      <w:r>
        <w:rPr>
          <w:rFonts w:hint="eastAsia" w:ascii="宋体" w:hAnsi="宋体"/>
          <w:sz w:val="24"/>
          <w:szCs w:val="24"/>
        </w:rPr>
        <w:t>2007</w:t>
      </w:r>
      <w:r>
        <w:rPr>
          <w:rFonts w:ascii="宋体" w:hAnsi="宋体"/>
          <w:sz w:val="24"/>
          <w:szCs w:val="24"/>
        </w:rPr>
        <w:t>）</w:t>
      </w:r>
    </w:p>
    <w:p>
      <w:pPr>
        <w:widowControl/>
        <w:spacing w:line="276" w:lineRule="auto"/>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《国家一、二等水准测量规范》（GB12897—</w:t>
      </w:r>
      <w:r>
        <w:rPr>
          <w:rFonts w:hint="eastAsia" w:ascii="宋体" w:hAnsi="宋体"/>
          <w:sz w:val="24"/>
          <w:szCs w:val="24"/>
        </w:rPr>
        <w:t>2006</w:t>
      </w:r>
      <w:r>
        <w:rPr>
          <w:rFonts w:ascii="宋体" w:hAnsi="宋体"/>
          <w:sz w:val="24"/>
          <w:szCs w:val="24"/>
        </w:rPr>
        <w:t>）</w:t>
      </w:r>
    </w:p>
    <w:p>
      <w:pPr>
        <w:widowControl/>
        <w:spacing w:line="276"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《建筑变形测量规程》（JGJ/T8-2007）</w:t>
      </w:r>
    </w:p>
    <w:p>
      <w:pPr>
        <w:widowControl/>
        <w:spacing w:line="276" w:lineRule="auto"/>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《建筑</w:t>
      </w:r>
      <w:r>
        <w:rPr>
          <w:rFonts w:hint="eastAsia" w:ascii="宋体" w:hAnsi="宋体"/>
          <w:sz w:val="24"/>
          <w:szCs w:val="24"/>
        </w:rPr>
        <w:t>基坑支护技术规程</w:t>
      </w:r>
      <w:r>
        <w:rPr>
          <w:rFonts w:ascii="宋体" w:hAnsi="宋体"/>
          <w:sz w:val="24"/>
          <w:szCs w:val="24"/>
        </w:rPr>
        <w:t>》（JGJ</w:t>
      </w:r>
      <w:r>
        <w:rPr>
          <w:rFonts w:hint="eastAsia" w:ascii="宋体" w:hAnsi="宋体"/>
          <w:sz w:val="24"/>
          <w:szCs w:val="24"/>
        </w:rPr>
        <w:t>120</w:t>
      </w:r>
      <w:r>
        <w:rPr>
          <w:rFonts w:ascii="宋体" w:hAnsi="宋体"/>
          <w:sz w:val="24"/>
          <w:szCs w:val="24"/>
        </w:rPr>
        <w:t xml:space="preserve"> -20</w:t>
      </w:r>
      <w:r>
        <w:rPr>
          <w:rFonts w:hint="eastAsia" w:ascii="宋体" w:hAnsi="宋体"/>
          <w:sz w:val="24"/>
          <w:szCs w:val="24"/>
        </w:rPr>
        <w:t>12</w:t>
      </w:r>
      <w:r>
        <w:rPr>
          <w:rFonts w:ascii="宋体" w:hAnsi="宋体"/>
          <w:sz w:val="24"/>
          <w:szCs w:val="24"/>
        </w:rPr>
        <w:t>）</w:t>
      </w:r>
    </w:p>
    <w:p>
      <w:pPr>
        <w:widowControl/>
        <w:spacing w:line="276" w:lineRule="auto"/>
        <w:ind w:firstLine="480" w:firstLineChars="200"/>
        <w:jc w:val="left"/>
        <w:rPr>
          <w:rFonts w:ascii="宋体" w:hAnsi="宋体"/>
          <w:sz w:val="24"/>
          <w:szCs w:val="24"/>
        </w:rPr>
      </w:pPr>
      <w:r>
        <w:rPr>
          <w:rFonts w:hint="eastAsia" w:ascii="宋体" w:hAnsi="宋体"/>
          <w:sz w:val="24"/>
          <w:szCs w:val="24"/>
        </w:rPr>
        <w:t>6、</w:t>
      </w:r>
      <w:r>
        <w:rPr>
          <w:rFonts w:ascii="宋体" w:hAnsi="宋体"/>
          <w:sz w:val="24"/>
          <w:szCs w:val="24"/>
        </w:rPr>
        <w:t>《</w:t>
      </w:r>
      <w:r>
        <w:rPr>
          <w:rFonts w:hint="eastAsia" w:ascii="宋体" w:hAnsi="宋体"/>
          <w:sz w:val="24"/>
          <w:szCs w:val="24"/>
        </w:rPr>
        <w:t>岩土工程试验监测手册</w:t>
      </w:r>
      <w:r>
        <w:rPr>
          <w:rFonts w:ascii="宋体" w:hAnsi="宋体"/>
          <w:sz w:val="24"/>
          <w:szCs w:val="24"/>
        </w:rPr>
        <w:t>》</w:t>
      </w:r>
    </w:p>
    <w:p>
      <w:pPr>
        <w:widowControl/>
        <w:spacing w:line="276" w:lineRule="auto"/>
        <w:ind w:firstLine="480" w:firstLineChars="200"/>
        <w:jc w:val="left"/>
        <w:rPr>
          <w:rFonts w:ascii="宋体" w:hAnsi="宋体"/>
          <w:sz w:val="24"/>
          <w:szCs w:val="24"/>
        </w:rPr>
      </w:pPr>
      <w:r>
        <w:rPr>
          <w:rFonts w:hint="eastAsia" w:ascii="宋体" w:hAnsi="宋体"/>
          <w:sz w:val="24"/>
          <w:szCs w:val="24"/>
        </w:rPr>
        <w:t>7、《建筑地基基础设计规范》GB50007-2011</w:t>
      </w:r>
    </w:p>
    <w:p>
      <w:pPr>
        <w:widowControl/>
        <w:spacing w:line="276" w:lineRule="auto"/>
        <w:ind w:firstLine="480" w:firstLineChars="200"/>
        <w:jc w:val="left"/>
        <w:rPr>
          <w:rFonts w:ascii="宋体" w:hAnsi="宋体"/>
          <w:sz w:val="24"/>
          <w:szCs w:val="24"/>
        </w:rPr>
      </w:pPr>
      <w:r>
        <w:rPr>
          <w:rFonts w:hint="eastAsia" w:ascii="宋体" w:hAnsi="宋体"/>
          <w:sz w:val="24"/>
          <w:szCs w:val="24"/>
        </w:rPr>
        <w:t>8、基坑周边构筑物、道路、地下管线等环境条件及使用状况；</w:t>
      </w:r>
    </w:p>
    <w:p>
      <w:pPr>
        <w:widowControl/>
        <w:spacing w:line="276" w:lineRule="auto"/>
        <w:ind w:firstLine="480" w:firstLineChars="200"/>
        <w:jc w:val="left"/>
        <w:rPr>
          <w:rFonts w:hint="eastAsia" w:ascii="宋体" w:hAnsi="宋体"/>
          <w:sz w:val="24"/>
          <w:szCs w:val="24"/>
        </w:rPr>
      </w:pPr>
      <w:r>
        <w:rPr>
          <w:rFonts w:hint="eastAsia" w:ascii="宋体" w:hAnsi="宋体"/>
          <w:sz w:val="24"/>
          <w:szCs w:val="24"/>
        </w:rPr>
        <w:t>9、行政主管部门对管线及构筑物的具体要求。</w:t>
      </w:r>
      <w:bookmarkStart w:id="71" w:name="_GoBack"/>
      <w:bookmarkEnd w:id="71"/>
    </w:p>
    <w:p>
      <w:pPr>
        <w:widowControl/>
        <w:spacing w:line="276" w:lineRule="auto"/>
        <w:ind w:firstLine="482" w:firstLineChars="200"/>
        <w:jc w:val="left"/>
        <w:rPr>
          <w:rFonts w:hint="eastAsia" w:ascii="宋体" w:hAnsi="宋体"/>
          <w:b/>
          <w:sz w:val="24"/>
          <w:szCs w:val="24"/>
        </w:rPr>
      </w:pPr>
      <w:r>
        <w:rPr>
          <w:rFonts w:hint="eastAsia" w:ascii="宋体" w:hAnsi="宋体"/>
          <w:b/>
          <w:sz w:val="24"/>
          <w:szCs w:val="24"/>
        </w:rPr>
        <w:t>四、招标范围及内容：</w:t>
      </w:r>
    </w:p>
    <w:p>
      <w:pPr>
        <w:ind w:firstLine="480" w:firstLineChars="200"/>
        <w:rPr>
          <w:rFonts w:ascii="宋体" w:hAnsi="宋体"/>
          <w:sz w:val="24"/>
          <w:szCs w:val="24"/>
        </w:rPr>
      </w:pPr>
      <w:r>
        <w:rPr>
          <w:rFonts w:hint="eastAsia" w:ascii="宋体" w:hAnsi="宋体"/>
          <w:sz w:val="24"/>
          <w:szCs w:val="24"/>
        </w:rPr>
        <w:t>1、技术服务的目标：沉降监测、基坑监测，以便为工程施工、验收提供依据。</w:t>
      </w:r>
    </w:p>
    <w:p>
      <w:pPr>
        <w:ind w:firstLine="480" w:firstLineChars="200"/>
        <w:rPr>
          <w:rFonts w:ascii="宋体" w:hAnsi="宋体"/>
          <w:sz w:val="24"/>
          <w:szCs w:val="24"/>
        </w:rPr>
      </w:pPr>
      <w:r>
        <w:rPr>
          <w:rFonts w:hint="eastAsia" w:ascii="宋体" w:hAnsi="宋体"/>
          <w:sz w:val="24"/>
          <w:szCs w:val="24"/>
        </w:rPr>
        <w:t>2、技术服务的内容包括（但不限于）以下内容：</w:t>
      </w:r>
    </w:p>
    <w:p>
      <w:pPr>
        <w:ind w:firstLine="480" w:firstLineChars="200"/>
        <w:rPr>
          <w:rFonts w:ascii="宋体" w:hAnsi="宋体"/>
          <w:sz w:val="24"/>
          <w:szCs w:val="24"/>
        </w:rPr>
      </w:pPr>
      <w:r>
        <w:rPr>
          <w:rFonts w:hint="eastAsia" w:ascii="宋体" w:hAnsi="宋体"/>
          <w:sz w:val="24"/>
          <w:szCs w:val="24"/>
        </w:rPr>
        <w:t>2.1、符合国家、省、市、有关部门的相关法律、法规和规定的要求。</w:t>
      </w:r>
    </w:p>
    <w:p>
      <w:pPr>
        <w:ind w:firstLine="480" w:firstLineChars="200"/>
        <w:rPr>
          <w:rFonts w:ascii="宋体" w:hAnsi="宋体"/>
          <w:sz w:val="24"/>
          <w:szCs w:val="24"/>
        </w:rPr>
      </w:pPr>
      <w:r>
        <w:rPr>
          <w:rFonts w:hint="eastAsia" w:ascii="宋体" w:hAnsi="宋体"/>
          <w:sz w:val="24"/>
          <w:szCs w:val="24"/>
        </w:rPr>
        <w:t>2.2、与工程所在行政区域的相关建设行政主管部门和监督部门进行监测工作的协调，申报监测技术成果的审批。保证技术成果能够通过相关部门认可，确保不因监测工作影响本工程项目的建设进度和竣工验收，确保监测工作和监测报告不影响本工程项目的质量创优等评审。按照相应法律、法规及相关规范要求分标段出具监测报告。</w:t>
      </w:r>
    </w:p>
    <w:p>
      <w:pPr>
        <w:ind w:firstLine="480" w:firstLineChars="200"/>
        <w:rPr>
          <w:rFonts w:ascii="宋体" w:hAnsi="宋体"/>
          <w:sz w:val="24"/>
          <w:szCs w:val="24"/>
        </w:rPr>
      </w:pPr>
      <w:r>
        <w:rPr>
          <w:rFonts w:hint="eastAsia" w:ascii="宋体" w:hAnsi="宋体"/>
          <w:sz w:val="24"/>
          <w:szCs w:val="24"/>
        </w:rPr>
        <w:t>2.3、在进行监测任务的过程中与该工程相关的施工单位、监理单位、设计单位、咨询单位、建设主管部门（主要是高速公路主管部门）等相关单位的协调工作。</w:t>
      </w:r>
    </w:p>
    <w:p>
      <w:pPr>
        <w:widowControl/>
        <w:spacing w:line="276" w:lineRule="auto"/>
        <w:ind w:firstLine="482" w:firstLineChars="200"/>
        <w:jc w:val="left"/>
        <w:rPr>
          <w:rFonts w:ascii="宋体" w:hAnsi="宋体"/>
          <w:b/>
          <w:sz w:val="24"/>
          <w:szCs w:val="24"/>
        </w:rPr>
      </w:pPr>
      <w:r>
        <w:rPr>
          <w:rFonts w:hint="eastAsia" w:ascii="宋体" w:hAnsi="宋体"/>
          <w:b/>
          <w:sz w:val="24"/>
          <w:szCs w:val="24"/>
        </w:rPr>
        <w:t>五、技术服务的方式：</w:t>
      </w:r>
    </w:p>
    <w:p>
      <w:pPr>
        <w:ind w:firstLine="480" w:firstLineChars="200"/>
        <w:rPr>
          <w:rFonts w:ascii="宋体" w:hAnsi="宋体"/>
          <w:sz w:val="24"/>
          <w:szCs w:val="24"/>
        </w:rPr>
      </w:pPr>
      <w:r>
        <w:rPr>
          <w:rFonts w:hint="eastAsia" w:ascii="宋体" w:hAnsi="宋体"/>
          <w:sz w:val="24"/>
          <w:szCs w:val="24"/>
        </w:rPr>
        <w:t xml:space="preserve">1、现场监测，工期根据项目要求设置。 </w:t>
      </w:r>
    </w:p>
    <w:p>
      <w:pPr>
        <w:ind w:firstLine="480" w:firstLineChars="200"/>
        <w:rPr>
          <w:rFonts w:ascii="宋体" w:hAnsi="宋体"/>
          <w:sz w:val="24"/>
          <w:szCs w:val="24"/>
        </w:rPr>
      </w:pPr>
      <w:r>
        <w:rPr>
          <w:rFonts w:hint="eastAsia" w:ascii="宋体" w:hAnsi="宋体"/>
          <w:sz w:val="24"/>
          <w:szCs w:val="24"/>
        </w:rPr>
        <w:t>2、及时提供监测成果及书面报告。</w:t>
      </w:r>
    </w:p>
    <w:p>
      <w:pPr>
        <w:ind w:firstLine="480" w:firstLineChars="200"/>
        <w:rPr>
          <w:rFonts w:ascii="宋体" w:hAnsi="宋体"/>
          <w:sz w:val="24"/>
          <w:szCs w:val="24"/>
          <w:u w:val="single"/>
        </w:rPr>
      </w:pPr>
      <w:r>
        <w:rPr>
          <w:rFonts w:hint="eastAsia" w:ascii="宋体" w:hAnsi="宋体"/>
          <w:sz w:val="24"/>
          <w:szCs w:val="24"/>
        </w:rPr>
        <w:t>3、监测过程中配合服务内容：以甲方的通知为准，必须满足实际验收要求。</w:t>
      </w:r>
    </w:p>
    <w:p>
      <w:pPr>
        <w:spacing w:line="276" w:lineRule="auto"/>
        <w:ind w:firstLine="472" w:firstLineChars="196"/>
        <w:jc w:val="left"/>
        <w:rPr>
          <w:rFonts w:ascii="宋体" w:hAnsi="宋体"/>
          <w:bCs/>
          <w:sz w:val="24"/>
        </w:rPr>
      </w:pPr>
      <w:r>
        <w:rPr>
          <w:rFonts w:hint="eastAsia" w:ascii="宋体" w:hAnsi="宋体" w:cs="宋体"/>
          <w:b/>
          <w:bCs/>
          <w:sz w:val="24"/>
        </w:rPr>
        <w:t>六 、</w:t>
      </w:r>
      <w:r>
        <w:rPr>
          <w:rFonts w:hint="eastAsia" w:ascii="宋体" w:hAnsi="宋体"/>
          <w:b/>
          <w:bCs/>
          <w:sz w:val="24"/>
        </w:rPr>
        <w:t xml:space="preserve">报价及费用支付： </w:t>
      </w:r>
    </w:p>
    <w:p>
      <w:pPr>
        <w:tabs>
          <w:tab w:val="left" w:pos="1036"/>
        </w:tabs>
        <w:ind w:left="109" w:leftChars="52"/>
        <w:rPr>
          <w:rFonts w:ascii="宋体" w:hAnsi="宋体"/>
          <w:bCs/>
          <w:sz w:val="24"/>
          <w:szCs w:val="24"/>
        </w:rPr>
      </w:pPr>
      <w:r>
        <w:rPr>
          <w:rFonts w:hint="eastAsia" w:ascii="宋体" w:hAnsi="宋体" w:cs="金山简魏碑"/>
          <w:b/>
          <w:bCs/>
          <w:sz w:val="24"/>
          <w:szCs w:val="24"/>
        </w:rPr>
        <w:t xml:space="preserve">   1、监测费用：</w:t>
      </w:r>
      <w:r>
        <w:rPr>
          <w:rFonts w:hint="eastAsia" w:ascii="宋体" w:hAnsi="宋体"/>
          <w:bCs/>
          <w:sz w:val="24"/>
          <w:szCs w:val="24"/>
        </w:rPr>
        <w:t>本合同采用固定总价方式，合同总价中已包括所有国家及当地规定应缴纳的各项税金，达到政府主管部门规定要求的全部费用。乙方在合同总价中已包括人工、材料、安装、调试、维护、管理、利润、税金、风险、责任及工程施工期间可能出现的政策、施工环境和材料市场的变化可能影响工程造价的因素。不管现场如何变化，乙方不得因其它任何原因提出调整造价的要求。</w:t>
      </w:r>
    </w:p>
    <w:p>
      <w:pPr>
        <w:tabs>
          <w:tab w:val="left" w:pos="720"/>
        </w:tabs>
        <w:spacing w:line="276" w:lineRule="auto"/>
        <w:ind w:firstLine="602" w:firstLineChars="250"/>
        <w:jc w:val="left"/>
        <w:rPr>
          <w:rFonts w:hint="eastAsia" w:ascii="宋体" w:hAnsi="宋体"/>
          <w:sz w:val="24"/>
          <w:szCs w:val="24"/>
        </w:rPr>
      </w:pPr>
      <w:r>
        <w:rPr>
          <w:rFonts w:hint="eastAsia" w:ascii="宋体" w:hAnsi="宋体"/>
          <w:b/>
          <w:bCs/>
          <w:sz w:val="24"/>
          <w:szCs w:val="24"/>
        </w:rPr>
        <w:t>2、支付方式：</w:t>
      </w:r>
      <w:r>
        <w:rPr>
          <w:rFonts w:hint="eastAsia" w:ascii="宋体" w:hAnsi="宋体"/>
          <w:sz w:val="24"/>
          <w:szCs w:val="24"/>
        </w:rPr>
        <w:t xml:space="preserve"> </w:t>
      </w:r>
    </w:p>
    <w:p>
      <w:pPr>
        <w:tabs>
          <w:tab w:val="left" w:pos="720"/>
        </w:tabs>
        <w:ind w:firstLine="600" w:firstLineChars="250"/>
        <w:jc w:val="left"/>
        <w:rPr>
          <w:rFonts w:hint="eastAsia" w:ascii="宋体" w:hAnsi="宋体"/>
          <w:sz w:val="24"/>
          <w:szCs w:val="24"/>
        </w:rPr>
      </w:pPr>
      <w:r>
        <w:rPr>
          <w:rFonts w:hint="eastAsia" w:ascii="宋体" w:hAnsi="宋体"/>
          <w:sz w:val="24"/>
          <w:szCs w:val="24"/>
        </w:rPr>
        <w:t>2.1、监测工作完成且所有资料移交甲方后，乙方提供正式合法有效的增值税专用发票给甲方，收到发票后30日内甲方应向乙方一次性支付全部费用。</w:t>
      </w:r>
    </w:p>
    <w:p>
      <w:pPr>
        <w:pStyle w:val="519"/>
        <w:widowControl/>
        <w:ind w:firstLine="480" w:firstLineChars="200"/>
        <w:rPr>
          <w:rFonts w:ascii="宋体" w:hAnsi="宋体"/>
          <w:sz w:val="24"/>
        </w:rPr>
      </w:pPr>
      <w:r>
        <w:rPr>
          <w:rFonts w:hint="eastAsia" w:ascii="宋体" w:hAnsi="宋体"/>
          <w:sz w:val="24"/>
        </w:rPr>
        <w:t xml:space="preserve"> 2.2、履约保证金的退还：履约保证金于合同履行结束，验收合格后无息退还。</w:t>
      </w:r>
    </w:p>
    <w:p>
      <w:pPr>
        <w:pStyle w:val="519"/>
        <w:widowControl/>
        <w:ind w:firstLine="490"/>
        <w:rPr>
          <w:rFonts w:ascii="宋体" w:hAnsi="宋体"/>
          <w:sz w:val="24"/>
        </w:rPr>
      </w:pPr>
      <w:r>
        <w:rPr>
          <w:rFonts w:hint="eastAsia" w:ascii="宋体" w:hAnsi="宋体"/>
          <w:sz w:val="24"/>
        </w:rPr>
        <w:t xml:space="preserve"> 2.3、付款方式：银行汇票或转帐支票。</w:t>
      </w:r>
    </w:p>
    <w:p>
      <w:pPr>
        <w:tabs>
          <w:tab w:val="left" w:pos="720"/>
        </w:tabs>
        <w:spacing w:line="276" w:lineRule="auto"/>
        <w:ind w:firstLine="600" w:firstLineChars="250"/>
        <w:jc w:val="left"/>
        <w:rPr>
          <w:rFonts w:ascii="宋体" w:hAnsi="宋体"/>
          <w:sz w:val="24"/>
          <w:szCs w:val="24"/>
        </w:rPr>
      </w:pPr>
    </w:p>
    <w:p>
      <w:pPr>
        <w:ind w:firstLine="480" w:firstLineChars="200"/>
        <w:rPr>
          <w:rFonts w:hint="eastAsia" w:ascii="宋体" w:hAnsi="宋体"/>
          <w:sz w:val="24"/>
          <w:szCs w:val="24"/>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spacing w:line="360" w:lineRule="auto"/>
        <w:ind w:firstLine="640" w:firstLineChars="200"/>
        <w:jc w:val="center"/>
        <w:rPr>
          <w:rFonts w:hint="eastAsia" w:ascii="黑体" w:hAnsi="黑体" w:eastAsia="黑体"/>
          <w:sz w:val="32"/>
          <w:szCs w:val="32"/>
        </w:rPr>
      </w:pPr>
    </w:p>
    <w:p>
      <w:pPr>
        <w:spacing w:line="360" w:lineRule="auto"/>
        <w:ind w:firstLine="640" w:firstLineChars="200"/>
        <w:jc w:val="center"/>
        <w:rPr>
          <w:rFonts w:hint="eastAsia" w:ascii="黑体" w:hAnsi="黑体" w:eastAsia="黑体"/>
          <w:sz w:val="32"/>
          <w:szCs w:val="32"/>
        </w:rPr>
      </w:pPr>
      <w:r>
        <w:rPr>
          <w:rFonts w:hint="eastAsia" w:ascii="黑体" w:hAnsi="黑体" w:eastAsia="黑体"/>
          <w:sz w:val="32"/>
          <w:szCs w:val="32"/>
        </w:rPr>
        <w:t>第四章  合同书（格式文本）</w:t>
      </w:r>
    </w:p>
    <w:p>
      <w:pPr>
        <w:spacing w:line="360" w:lineRule="auto"/>
        <w:ind w:firstLine="640" w:firstLineChars="200"/>
        <w:jc w:val="center"/>
        <w:rPr>
          <w:rFonts w:hint="eastAsia" w:ascii="黑体" w:hAnsi="黑体" w:eastAsia="黑体"/>
          <w:sz w:val="32"/>
          <w:szCs w:val="32"/>
        </w:rPr>
      </w:pPr>
    </w:p>
    <w:p>
      <w:pPr>
        <w:spacing w:line="360" w:lineRule="auto"/>
        <w:ind w:firstLine="640" w:firstLineChars="200"/>
        <w:jc w:val="center"/>
        <w:rPr>
          <w:rFonts w:hint="eastAsia" w:ascii="黑体" w:hAnsi="黑体" w:eastAsia="黑体"/>
          <w:sz w:val="32"/>
          <w:szCs w:val="32"/>
        </w:rPr>
      </w:pPr>
    </w:p>
    <w:p>
      <w:pPr>
        <w:spacing w:line="360" w:lineRule="auto"/>
        <w:ind w:firstLine="640" w:firstLineChars="200"/>
        <w:jc w:val="center"/>
        <w:rPr>
          <w:rFonts w:hint="eastAsia" w:ascii="黑体" w:hAnsi="黑体" w:eastAsia="黑体"/>
          <w:sz w:val="32"/>
          <w:szCs w:val="32"/>
        </w:rPr>
      </w:pPr>
    </w:p>
    <w:p>
      <w:pPr>
        <w:spacing w:line="360" w:lineRule="auto"/>
        <w:ind w:firstLine="640" w:firstLineChars="200"/>
        <w:jc w:val="center"/>
        <w:rPr>
          <w:rFonts w:ascii="黑体" w:hAnsi="黑体" w:eastAsia="黑体"/>
          <w:sz w:val="32"/>
          <w:szCs w:val="32"/>
        </w:rPr>
      </w:pPr>
    </w:p>
    <w:p>
      <w:pPr>
        <w:ind w:left="2886" w:leftChars="608" w:hanging="1609" w:hangingChars="501"/>
        <w:rPr>
          <w:rFonts w:ascii="宋体" w:hAnsi="宋体"/>
          <w:b/>
          <w:sz w:val="32"/>
          <w:szCs w:val="32"/>
          <w:u w:val="single"/>
        </w:rPr>
      </w:pPr>
      <w:bookmarkStart w:id="72" w:name="_Toc30976"/>
      <w:r>
        <w:rPr>
          <w:rFonts w:hint="eastAsia" w:ascii="宋体" w:hAnsi="宋体"/>
          <w:b/>
          <w:sz w:val="32"/>
          <w:szCs w:val="32"/>
        </w:rPr>
        <w:t>项目名称：</w:t>
      </w:r>
      <w:r>
        <w:rPr>
          <w:rFonts w:hint="eastAsia" w:ascii="楷体_GB2312" w:eastAsia="楷体_GB2312"/>
          <w:b/>
          <w:bCs/>
          <w:sz w:val="36"/>
          <w:u w:val="single"/>
        </w:rPr>
        <w:t xml:space="preserve">                       </w:t>
      </w:r>
    </w:p>
    <w:p>
      <w:pPr>
        <w:pStyle w:val="125"/>
        <w:jc w:val="center"/>
        <w:rPr>
          <w:rFonts w:ascii="宋体" w:hAnsi="宋体"/>
          <w:b/>
          <w:sz w:val="32"/>
          <w:szCs w:val="32"/>
        </w:rPr>
      </w:pPr>
      <w:r>
        <w:rPr>
          <w:rFonts w:hint="eastAsia" w:ascii="宋体" w:hAnsi="宋体"/>
          <w:b/>
          <w:sz w:val="32"/>
          <w:szCs w:val="32"/>
        </w:rPr>
        <w:t xml:space="preserve">  </w:t>
      </w:r>
    </w:p>
    <w:p>
      <w:pPr>
        <w:pStyle w:val="125"/>
        <w:ind w:firstLine="1285" w:firstLineChars="400"/>
        <w:rPr>
          <w:rFonts w:ascii="宋体" w:hAnsi="宋体"/>
          <w:b/>
          <w:kern w:val="2"/>
          <w:sz w:val="32"/>
          <w:szCs w:val="32"/>
          <w:u w:val="single"/>
        </w:rPr>
      </w:pPr>
      <w:r>
        <w:rPr>
          <w:rFonts w:hint="eastAsia" w:ascii="宋体" w:hAnsi="宋体"/>
          <w:b/>
          <w:sz w:val="32"/>
          <w:szCs w:val="32"/>
        </w:rPr>
        <w:t>发包人</w:t>
      </w:r>
      <w:r>
        <w:rPr>
          <w:rFonts w:hint="eastAsia" w:ascii="宋体" w:hAnsi="宋体"/>
          <w:b/>
          <w:color w:val="000000"/>
          <w:sz w:val="32"/>
          <w:szCs w:val="32"/>
        </w:rPr>
        <w:t>（</w:t>
      </w:r>
      <w:r>
        <w:rPr>
          <w:rFonts w:hint="eastAsia" w:ascii="宋体" w:hAnsi="宋体"/>
          <w:b/>
          <w:sz w:val="32"/>
          <w:szCs w:val="32"/>
        </w:rPr>
        <w:t>甲方）：</w:t>
      </w:r>
      <w:r>
        <w:rPr>
          <w:rFonts w:hint="eastAsia" w:ascii="楷体_GB2312" w:eastAsia="楷体_GB2312"/>
          <w:b/>
          <w:bCs/>
          <w:sz w:val="32"/>
          <w:szCs w:val="32"/>
          <w:u w:val="single"/>
        </w:rPr>
        <w:t xml:space="preserve">                    </w:t>
      </w:r>
    </w:p>
    <w:p>
      <w:pPr>
        <w:pStyle w:val="125"/>
        <w:ind w:firstLine="1108" w:firstLineChars="345"/>
        <w:rPr>
          <w:rFonts w:ascii="宋体" w:hAnsi="宋体"/>
          <w:b/>
          <w:sz w:val="32"/>
          <w:szCs w:val="32"/>
        </w:rPr>
      </w:pPr>
    </w:p>
    <w:p>
      <w:pPr>
        <w:spacing w:line="520" w:lineRule="exact"/>
        <w:ind w:firstLine="1285" w:firstLineChars="400"/>
        <w:jc w:val="left"/>
        <w:rPr>
          <w:rFonts w:ascii="楷体_GB2312" w:eastAsia="楷体_GB2312"/>
          <w:b/>
          <w:bCs/>
          <w:sz w:val="36"/>
          <w:u w:val="single"/>
        </w:rPr>
      </w:pPr>
      <w:r>
        <w:rPr>
          <w:rFonts w:hint="eastAsia" w:ascii="宋体" w:hAnsi="宋体"/>
          <w:b/>
          <w:sz w:val="32"/>
          <w:szCs w:val="32"/>
        </w:rPr>
        <w:t>承包人（乙方）：</w:t>
      </w:r>
      <w:r>
        <w:rPr>
          <w:rFonts w:hint="eastAsia" w:ascii="楷体_GB2312" w:eastAsia="楷体_GB2312"/>
          <w:b/>
          <w:bCs/>
          <w:sz w:val="36"/>
          <w:u w:val="single"/>
        </w:rPr>
        <w:t xml:space="preserve">                  </w:t>
      </w:r>
    </w:p>
    <w:p>
      <w:pPr>
        <w:pStyle w:val="125"/>
        <w:ind w:firstLine="1269" w:firstLineChars="395"/>
        <w:rPr>
          <w:rFonts w:ascii="宋体" w:hAnsi="宋体"/>
          <w:b/>
          <w:kern w:val="2"/>
          <w:sz w:val="32"/>
          <w:szCs w:val="32"/>
          <w:u w:val="single"/>
        </w:rPr>
      </w:pPr>
    </w:p>
    <w:p>
      <w:pPr>
        <w:pStyle w:val="125"/>
        <w:ind w:firstLine="1285" w:firstLineChars="400"/>
        <w:rPr>
          <w:rFonts w:ascii="宋体" w:hAnsi="宋体"/>
          <w:b/>
          <w:sz w:val="32"/>
          <w:szCs w:val="32"/>
        </w:rPr>
      </w:pPr>
      <w:r>
        <w:rPr>
          <w:rFonts w:hint="eastAsia" w:ascii="宋体" w:hAnsi="宋体"/>
          <w:b/>
          <w:kern w:val="2"/>
          <w:sz w:val="32"/>
          <w:szCs w:val="32"/>
        </w:rPr>
        <w:t>签订时间：</w:t>
      </w:r>
      <w:r>
        <w:rPr>
          <w:rFonts w:hint="eastAsia" w:ascii="宋体" w:hAnsi="宋体"/>
          <w:b/>
          <w:kern w:val="2"/>
          <w:sz w:val="32"/>
          <w:szCs w:val="32"/>
          <w:u w:val="single"/>
        </w:rPr>
        <w:t>2021年  月  日</w:t>
      </w: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spacing w:line="560" w:lineRule="exact"/>
        <w:rPr>
          <w:rFonts w:ascii="宋体" w:hAnsi="宋体"/>
          <w:b/>
          <w:sz w:val="24"/>
          <w:szCs w:val="24"/>
        </w:rPr>
      </w:pPr>
      <w:r>
        <w:rPr>
          <w:rFonts w:hint="eastAsia" w:ascii="宋体" w:hAnsi="宋体"/>
          <w:b/>
          <w:sz w:val="24"/>
          <w:szCs w:val="24"/>
        </w:rPr>
        <w:t xml:space="preserve">    发包人：</w:t>
      </w:r>
      <w:r>
        <w:rPr>
          <w:rFonts w:hint="eastAsia" w:ascii="楷体_GB2312" w:eastAsia="楷体_GB2312"/>
          <w:b/>
          <w:bCs/>
          <w:sz w:val="28"/>
          <w:szCs w:val="28"/>
          <w:u w:val="single"/>
        </w:rPr>
        <w:t xml:space="preserve">                         </w:t>
      </w:r>
      <w:r>
        <w:rPr>
          <w:rFonts w:hint="eastAsia" w:ascii="宋体" w:hAnsi="宋体"/>
          <w:b/>
          <w:sz w:val="24"/>
          <w:szCs w:val="24"/>
        </w:rPr>
        <w:t>（以下简称：甲方）</w:t>
      </w:r>
    </w:p>
    <w:p>
      <w:pPr>
        <w:pStyle w:val="125"/>
        <w:spacing w:line="360" w:lineRule="auto"/>
        <w:rPr>
          <w:rFonts w:ascii="宋体" w:hAnsi="宋体"/>
          <w:b/>
          <w:sz w:val="24"/>
          <w:szCs w:val="24"/>
        </w:rPr>
      </w:pPr>
      <w:r>
        <w:rPr>
          <w:rFonts w:hint="eastAsia" w:ascii="宋体" w:hAnsi="宋体"/>
          <w:b/>
          <w:sz w:val="24"/>
          <w:szCs w:val="24"/>
        </w:rPr>
        <w:t xml:space="preserve">    承包人：</w:t>
      </w:r>
      <w:r>
        <w:rPr>
          <w:rFonts w:hint="eastAsia" w:ascii="楷体_GB2312" w:eastAsia="楷体_GB2312"/>
          <w:b/>
          <w:sz w:val="28"/>
          <w:u w:val="single"/>
        </w:rPr>
        <w:t xml:space="preserve">                         </w:t>
      </w:r>
      <w:r>
        <w:rPr>
          <w:rFonts w:hint="eastAsia" w:ascii="楷体_GB2312" w:eastAsia="楷体_GB2312"/>
          <w:sz w:val="28"/>
        </w:rPr>
        <w:t>（</w:t>
      </w:r>
      <w:r>
        <w:rPr>
          <w:rFonts w:hint="eastAsia" w:ascii="宋体" w:hAnsi="宋体"/>
          <w:b/>
          <w:sz w:val="24"/>
          <w:szCs w:val="24"/>
        </w:rPr>
        <w:t>以下简称：乙方）</w:t>
      </w:r>
    </w:p>
    <w:p>
      <w:pPr>
        <w:pStyle w:val="125"/>
        <w:spacing w:line="240" w:lineRule="auto"/>
        <w:ind w:firstLine="480" w:firstLineChars="200"/>
        <w:rPr>
          <w:rFonts w:ascii="宋体" w:hAnsi="宋体"/>
          <w:color w:val="333333"/>
          <w:sz w:val="24"/>
          <w:szCs w:val="24"/>
        </w:rPr>
      </w:pPr>
      <w:r>
        <w:rPr>
          <w:rFonts w:hint="eastAsia" w:ascii="宋体" w:hAnsi="宋体"/>
          <w:sz w:val="24"/>
          <w:szCs w:val="24"/>
        </w:rPr>
        <w:t>为保证工程施工安全，防止发生安全事故。双方根据《中华人民共和国民法典》及相关法律规定，本着自愿、有偿、公平公正的原则，经双方友好协商后签订本合同，合同条款如下：</w:t>
      </w:r>
    </w:p>
    <w:p>
      <w:pPr>
        <w:pStyle w:val="31"/>
        <w:rPr>
          <w:rFonts w:ascii="宋体" w:hAnsi="宋体"/>
          <w:b w:val="0"/>
          <w:bCs/>
          <w:sz w:val="24"/>
        </w:rPr>
      </w:pPr>
      <w:r>
        <w:rPr>
          <w:rFonts w:hint="eastAsia" w:ascii="宋体" w:hAnsi="宋体"/>
          <w:bCs/>
          <w:sz w:val="24"/>
        </w:rPr>
        <w:t>第一条  甲方委托乙方进行技术服务的内容如下：</w:t>
      </w:r>
    </w:p>
    <w:p>
      <w:pPr>
        <w:ind w:firstLine="480" w:firstLineChars="200"/>
        <w:jc w:val="left"/>
        <w:rPr>
          <w:rFonts w:ascii="宋体" w:hAnsi="宋体"/>
          <w:sz w:val="32"/>
          <w:szCs w:val="32"/>
        </w:rPr>
      </w:pPr>
      <w:r>
        <w:rPr>
          <w:rFonts w:hint="eastAsia" w:ascii="宋体" w:hAnsi="宋体"/>
          <w:sz w:val="24"/>
        </w:rPr>
        <w:t>1、项目名称：</w:t>
      </w:r>
      <w:r>
        <w:rPr>
          <w:rFonts w:hint="eastAsia" w:ascii="宋体" w:hAnsi="宋体"/>
          <w:sz w:val="24"/>
          <w:u w:val="single"/>
        </w:rPr>
        <w:t>供水管道工程涉路（高速）沉降监测</w:t>
      </w:r>
      <w:r>
        <w:rPr>
          <w:rFonts w:hint="eastAsia" w:ascii="宋体" w:hAnsi="宋体"/>
          <w:sz w:val="24"/>
          <w:szCs w:val="24"/>
        </w:rPr>
        <w:t>。</w:t>
      </w:r>
    </w:p>
    <w:p>
      <w:pPr>
        <w:pStyle w:val="31"/>
        <w:ind w:firstLine="480" w:firstLineChars="200"/>
        <w:rPr>
          <w:rFonts w:ascii="宋体" w:hAnsi="宋体"/>
          <w:b w:val="0"/>
          <w:sz w:val="24"/>
        </w:rPr>
      </w:pPr>
      <w:r>
        <w:rPr>
          <w:rFonts w:hint="eastAsia" w:ascii="宋体" w:hAnsi="宋体"/>
          <w:b w:val="0"/>
          <w:sz w:val="24"/>
        </w:rPr>
        <w:t>2、项目建设地点：</w:t>
      </w:r>
      <w:r>
        <w:rPr>
          <w:rFonts w:hint="eastAsia" w:ascii="宋体" w:hAnsi="宋体"/>
          <w:b w:val="0"/>
          <w:sz w:val="24"/>
          <w:u w:val="single"/>
        </w:rPr>
        <w:t>宜兴市环科园、屺亭街道各一处</w:t>
      </w:r>
      <w:r>
        <w:rPr>
          <w:rFonts w:hint="eastAsia" w:ascii="宋体" w:hAnsi="宋体"/>
          <w:b w:val="0"/>
          <w:sz w:val="24"/>
        </w:rPr>
        <w:t>。</w:t>
      </w:r>
    </w:p>
    <w:p>
      <w:pPr>
        <w:widowControl/>
        <w:jc w:val="left"/>
        <w:rPr>
          <w:rFonts w:hint="eastAsia" w:ascii="宋体" w:hAnsi="宋体"/>
          <w:sz w:val="24"/>
        </w:rPr>
      </w:pPr>
      <w:r>
        <w:rPr>
          <w:rFonts w:hint="eastAsia" w:ascii="宋体" w:hAnsi="宋体"/>
          <w:sz w:val="24"/>
        </w:rPr>
        <w:t xml:space="preserve">    3、项目规模、特征：</w:t>
      </w:r>
    </w:p>
    <w:p>
      <w:pPr>
        <w:widowControl/>
        <w:jc w:val="left"/>
        <w:rPr>
          <w:rFonts w:hint="eastAsia" w:ascii="宋体" w:hAnsi="宋体"/>
          <w:sz w:val="24"/>
          <w:szCs w:val="24"/>
        </w:rPr>
      </w:pPr>
      <w:r>
        <w:rPr>
          <w:rFonts w:hint="eastAsia" w:ascii="宋体" w:hAnsi="宋体"/>
          <w:sz w:val="24"/>
        </w:rPr>
        <w:t xml:space="preserve">    </w:t>
      </w:r>
      <w:r>
        <w:rPr>
          <w:rFonts w:hint="eastAsia" w:ascii="宋体" w:hAnsi="宋体"/>
          <w:sz w:val="24"/>
          <w:szCs w:val="24"/>
        </w:rPr>
        <w:t>3.1、X306（屺亭-高塍）DN600工业水管道改造工程：其中穿越S48高速公路桥约70米，采用开挖工艺，DN600钢管外套DN800钢管护管。</w:t>
      </w:r>
    </w:p>
    <w:p>
      <w:pPr>
        <w:widowControl/>
        <w:jc w:val="left"/>
        <w:rPr>
          <w:rFonts w:ascii="宋体" w:hAnsi="宋体"/>
          <w:sz w:val="24"/>
          <w:szCs w:val="24"/>
        </w:rPr>
      </w:pPr>
      <w:r>
        <w:rPr>
          <w:rFonts w:hint="eastAsia" w:ascii="宋体" w:hAnsi="宋体"/>
          <w:sz w:val="24"/>
          <w:szCs w:val="24"/>
        </w:rPr>
        <w:t xml:space="preserve">    3.2、氿滨水厂西厂区南出厂供水管道工程：其中穿越S48高速公路约142米，采用顶管工艺，DN1000球墨管外套DN1200钢筋混凝土管护管。</w:t>
      </w:r>
    </w:p>
    <w:p>
      <w:pPr>
        <w:pStyle w:val="31"/>
        <w:ind w:firstLine="480" w:firstLineChars="200"/>
        <w:rPr>
          <w:rFonts w:ascii="宋体" w:hAnsi="宋体"/>
          <w:b w:val="0"/>
          <w:sz w:val="24"/>
        </w:rPr>
      </w:pPr>
      <w:r>
        <w:rPr>
          <w:rFonts w:hint="eastAsia" w:ascii="宋体" w:hAnsi="宋体"/>
          <w:b w:val="0"/>
          <w:sz w:val="24"/>
        </w:rPr>
        <w:t>4、技术服务的目标：沉降监测、基坑监测，以便为工程施工、验收提供依据。</w:t>
      </w:r>
    </w:p>
    <w:p>
      <w:pPr>
        <w:pStyle w:val="31"/>
        <w:ind w:firstLine="480" w:firstLineChars="200"/>
        <w:rPr>
          <w:rFonts w:ascii="宋体" w:hAnsi="宋体"/>
          <w:b w:val="0"/>
          <w:sz w:val="24"/>
        </w:rPr>
      </w:pPr>
      <w:r>
        <w:rPr>
          <w:rFonts w:hint="eastAsia" w:ascii="宋体" w:hAnsi="宋体"/>
          <w:b w:val="0"/>
          <w:sz w:val="24"/>
        </w:rPr>
        <w:t>5、技术服务的内容包括（但不限于）以下内容：</w:t>
      </w:r>
    </w:p>
    <w:p>
      <w:pPr>
        <w:ind w:firstLine="480" w:firstLineChars="200"/>
        <w:rPr>
          <w:rFonts w:ascii="宋体" w:hAnsi="宋体"/>
          <w:sz w:val="24"/>
          <w:szCs w:val="24"/>
        </w:rPr>
      </w:pPr>
      <w:r>
        <w:rPr>
          <w:rFonts w:hint="eastAsia" w:ascii="宋体" w:hAnsi="宋体"/>
          <w:sz w:val="24"/>
          <w:szCs w:val="24"/>
        </w:rPr>
        <w:t>5.1、符合国家、省、市、有关部门的相关法律、法规和规定的要求。</w:t>
      </w:r>
    </w:p>
    <w:p>
      <w:pPr>
        <w:ind w:firstLine="480" w:firstLineChars="200"/>
        <w:rPr>
          <w:rFonts w:ascii="宋体" w:hAnsi="宋体"/>
          <w:sz w:val="24"/>
          <w:szCs w:val="24"/>
        </w:rPr>
      </w:pPr>
      <w:r>
        <w:rPr>
          <w:rFonts w:hint="eastAsia" w:ascii="宋体" w:hAnsi="宋体"/>
          <w:sz w:val="24"/>
          <w:szCs w:val="24"/>
        </w:rPr>
        <w:t>5.2、与工程所在行政区域的相关建设行政主管部门和监督部门进行监测工作的协调，申报监测技术成果的审批。保证技术成果能够通过相关部门认可，确保不因监测工作影响本工程项目的建设进度和竣工验收，确保监测工作和监测报告不影响本工程项目的质量创优等评审。按照相应法律、法规及相关规范要求分标段出具监测报告。</w:t>
      </w:r>
    </w:p>
    <w:p>
      <w:pPr>
        <w:ind w:firstLine="480" w:firstLineChars="200"/>
        <w:rPr>
          <w:rFonts w:ascii="宋体" w:hAnsi="宋体"/>
          <w:sz w:val="24"/>
          <w:szCs w:val="24"/>
        </w:rPr>
      </w:pPr>
      <w:r>
        <w:rPr>
          <w:rFonts w:hint="eastAsia" w:ascii="宋体" w:hAnsi="宋体"/>
          <w:sz w:val="24"/>
          <w:szCs w:val="24"/>
        </w:rPr>
        <w:t>5.3、在进行监测任务的过程中与该工程相关的施工单位、监理单位、设计单位、咨询单位、建设主管部门（主要是高速公路主管部门）等相关单位的协调工作。</w:t>
      </w:r>
    </w:p>
    <w:p>
      <w:pPr>
        <w:pStyle w:val="31"/>
        <w:ind w:firstLine="482" w:firstLineChars="200"/>
        <w:rPr>
          <w:rFonts w:ascii="宋体" w:hAnsi="宋体"/>
          <w:sz w:val="24"/>
        </w:rPr>
      </w:pPr>
      <w:r>
        <w:rPr>
          <w:rFonts w:hint="eastAsia" w:ascii="宋体" w:hAnsi="宋体"/>
          <w:sz w:val="24"/>
        </w:rPr>
        <w:t>6、技术服务的方式：</w:t>
      </w:r>
    </w:p>
    <w:p>
      <w:pPr>
        <w:ind w:firstLine="480" w:firstLineChars="200"/>
        <w:rPr>
          <w:rFonts w:ascii="宋体" w:hAnsi="宋体"/>
          <w:sz w:val="24"/>
          <w:szCs w:val="24"/>
        </w:rPr>
      </w:pPr>
      <w:r>
        <w:rPr>
          <w:rFonts w:hint="eastAsia" w:ascii="宋体" w:hAnsi="宋体"/>
          <w:sz w:val="24"/>
          <w:szCs w:val="24"/>
        </w:rPr>
        <w:t xml:space="preserve">1、现场监测，工期根据项目要求。 </w:t>
      </w:r>
    </w:p>
    <w:p>
      <w:pPr>
        <w:ind w:firstLine="480" w:firstLineChars="200"/>
        <w:rPr>
          <w:rFonts w:ascii="宋体" w:hAnsi="宋体"/>
          <w:sz w:val="24"/>
          <w:szCs w:val="24"/>
        </w:rPr>
      </w:pPr>
      <w:r>
        <w:rPr>
          <w:rFonts w:hint="eastAsia" w:ascii="宋体" w:hAnsi="宋体"/>
          <w:sz w:val="24"/>
          <w:szCs w:val="24"/>
        </w:rPr>
        <w:t>2、及时提供监测成果及书面报告。</w:t>
      </w:r>
    </w:p>
    <w:p>
      <w:pPr>
        <w:ind w:firstLine="480" w:firstLineChars="200"/>
        <w:rPr>
          <w:rFonts w:ascii="宋体" w:hAnsi="宋体"/>
          <w:sz w:val="24"/>
          <w:szCs w:val="24"/>
          <w:u w:val="single"/>
        </w:rPr>
      </w:pPr>
      <w:r>
        <w:rPr>
          <w:rFonts w:hint="eastAsia" w:ascii="宋体" w:hAnsi="宋体"/>
          <w:sz w:val="24"/>
          <w:szCs w:val="24"/>
        </w:rPr>
        <w:t>3、监测过程中配合服务内容：以甲方的通知为准，必须满足实际验收要求。</w:t>
      </w:r>
    </w:p>
    <w:p>
      <w:pPr>
        <w:pStyle w:val="31"/>
        <w:rPr>
          <w:rFonts w:ascii="宋体" w:hAnsi="宋体"/>
          <w:b w:val="0"/>
          <w:bCs/>
          <w:sz w:val="24"/>
        </w:rPr>
      </w:pPr>
      <w:r>
        <w:rPr>
          <w:rFonts w:hint="eastAsia" w:ascii="宋体" w:hAnsi="宋体"/>
          <w:bCs/>
          <w:sz w:val="24"/>
        </w:rPr>
        <w:t>二、技术要求与相关执行标准：</w:t>
      </w:r>
    </w:p>
    <w:p>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《建筑基坑工程监测技术规范》（GB50497-2009）</w:t>
      </w:r>
    </w:p>
    <w:p>
      <w:pPr>
        <w:ind w:firstLine="480" w:firstLineChars="200"/>
        <w:rPr>
          <w:rFonts w:ascii="宋体" w:hAnsi="宋体"/>
          <w:sz w:val="24"/>
          <w:szCs w:val="24"/>
        </w:rPr>
      </w:pPr>
      <w:r>
        <w:rPr>
          <w:rFonts w:hint="eastAsia" w:ascii="宋体" w:hAnsi="宋体"/>
          <w:sz w:val="24"/>
          <w:szCs w:val="24"/>
        </w:rPr>
        <w:t>2、</w:t>
      </w:r>
      <w:r>
        <w:rPr>
          <w:rFonts w:ascii="宋体" w:hAnsi="宋体"/>
          <w:sz w:val="24"/>
          <w:szCs w:val="24"/>
        </w:rPr>
        <w:t>《工程测量规范》（GB50026－</w:t>
      </w:r>
      <w:r>
        <w:rPr>
          <w:rFonts w:hint="eastAsia" w:ascii="宋体" w:hAnsi="宋体"/>
          <w:sz w:val="24"/>
          <w:szCs w:val="24"/>
        </w:rPr>
        <w:t>2007</w:t>
      </w:r>
      <w:r>
        <w:rPr>
          <w:rFonts w:ascii="宋体" w:hAnsi="宋体"/>
          <w:sz w:val="24"/>
          <w:szCs w:val="24"/>
        </w:rPr>
        <w:t>）</w:t>
      </w:r>
    </w:p>
    <w:p>
      <w:pPr>
        <w:ind w:firstLine="480" w:firstLineChars="200"/>
        <w:rPr>
          <w:rFonts w:ascii="宋体" w:hAnsi="宋体"/>
          <w:sz w:val="24"/>
          <w:szCs w:val="24"/>
        </w:rPr>
      </w:pPr>
      <w:r>
        <w:rPr>
          <w:rFonts w:hint="eastAsia" w:ascii="宋体" w:hAnsi="宋体"/>
          <w:sz w:val="24"/>
          <w:szCs w:val="24"/>
        </w:rPr>
        <w:t>3、</w:t>
      </w:r>
      <w:r>
        <w:rPr>
          <w:rFonts w:ascii="宋体" w:hAnsi="宋体"/>
          <w:sz w:val="24"/>
          <w:szCs w:val="24"/>
        </w:rPr>
        <w:t>《国家一、二等水准测量规范》（GB12897—</w:t>
      </w:r>
      <w:r>
        <w:rPr>
          <w:rFonts w:hint="eastAsia" w:ascii="宋体" w:hAnsi="宋体"/>
          <w:sz w:val="24"/>
          <w:szCs w:val="24"/>
        </w:rPr>
        <w:t>2006</w:t>
      </w:r>
      <w:r>
        <w:rPr>
          <w:rFonts w:ascii="宋体" w:hAnsi="宋体"/>
          <w:sz w:val="24"/>
          <w:szCs w:val="24"/>
        </w:rPr>
        <w:t>）</w:t>
      </w:r>
    </w:p>
    <w:p>
      <w:pPr>
        <w:ind w:firstLine="480" w:firstLineChars="200"/>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《建筑变形测量规程》（JGJ/T8-2007）</w:t>
      </w:r>
    </w:p>
    <w:p>
      <w:pPr>
        <w:ind w:firstLine="480" w:firstLineChars="200"/>
        <w:rPr>
          <w:rFonts w:ascii="宋体" w:hAnsi="宋体"/>
          <w:sz w:val="24"/>
          <w:szCs w:val="24"/>
        </w:rPr>
      </w:pPr>
      <w:r>
        <w:rPr>
          <w:rFonts w:hint="eastAsia" w:ascii="宋体" w:hAnsi="宋体"/>
          <w:sz w:val="24"/>
          <w:szCs w:val="24"/>
        </w:rPr>
        <w:t>5、</w:t>
      </w:r>
      <w:r>
        <w:rPr>
          <w:rFonts w:ascii="宋体" w:hAnsi="宋体"/>
          <w:sz w:val="24"/>
          <w:szCs w:val="24"/>
        </w:rPr>
        <w:t>《建筑</w:t>
      </w:r>
      <w:r>
        <w:rPr>
          <w:rFonts w:hint="eastAsia" w:ascii="宋体" w:hAnsi="宋体"/>
          <w:sz w:val="24"/>
          <w:szCs w:val="24"/>
        </w:rPr>
        <w:t>基坑支护技术规程</w:t>
      </w:r>
      <w:r>
        <w:rPr>
          <w:rFonts w:ascii="宋体" w:hAnsi="宋体"/>
          <w:sz w:val="24"/>
          <w:szCs w:val="24"/>
        </w:rPr>
        <w:t>》（JGJ</w:t>
      </w:r>
      <w:r>
        <w:rPr>
          <w:rFonts w:hint="eastAsia" w:ascii="宋体" w:hAnsi="宋体"/>
          <w:sz w:val="24"/>
          <w:szCs w:val="24"/>
        </w:rPr>
        <w:t>120</w:t>
      </w:r>
      <w:r>
        <w:rPr>
          <w:rFonts w:ascii="宋体" w:hAnsi="宋体"/>
          <w:sz w:val="24"/>
          <w:szCs w:val="24"/>
        </w:rPr>
        <w:t xml:space="preserve"> -20</w:t>
      </w:r>
      <w:r>
        <w:rPr>
          <w:rFonts w:hint="eastAsia" w:ascii="宋体" w:hAnsi="宋体"/>
          <w:sz w:val="24"/>
          <w:szCs w:val="24"/>
        </w:rPr>
        <w:t>12</w:t>
      </w:r>
      <w:r>
        <w:rPr>
          <w:rFonts w:ascii="宋体" w:hAnsi="宋体"/>
          <w:sz w:val="24"/>
          <w:szCs w:val="24"/>
        </w:rPr>
        <w:t>）</w:t>
      </w:r>
    </w:p>
    <w:p>
      <w:pPr>
        <w:ind w:firstLine="480" w:firstLineChars="200"/>
        <w:rPr>
          <w:rFonts w:ascii="宋体" w:hAnsi="宋体"/>
          <w:sz w:val="24"/>
          <w:szCs w:val="24"/>
        </w:rPr>
      </w:pPr>
      <w:r>
        <w:rPr>
          <w:rFonts w:hint="eastAsia" w:ascii="宋体" w:hAnsi="宋体"/>
          <w:sz w:val="24"/>
          <w:szCs w:val="24"/>
        </w:rPr>
        <w:t>6、</w:t>
      </w:r>
      <w:r>
        <w:rPr>
          <w:rFonts w:ascii="宋体" w:hAnsi="宋体"/>
          <w:sz w:val="24"/>
          <w:szCs w:val="24"/>
        </w:rPr>
        <w:t>《</w:t>
      </w:r>
      <w:r>
        <w:rPr>
          <w:rFonts w:hint="eastAsia" w:ascii="宋体" w:hAnsi="宋体"/>
          <w:sz w:val="24"/>
          <w:szCs w:val="24"/>
        </w:rPr>
        <w:t>岩土工程试验监测手册</w:t>
      </w:r>
      <w:r>
        <w:rPr>
          <w:rFonts w:ascii="宋体" w:hAnsi="宋体"/>
          <w:sz w:val="24"/>
          <w:szCs w:val="24"/>
        </w:rPr>
        <w:t>》</w:t>
      </w:r>
    </w:p>
    <w:p>
      <w:pPr>
        <w:ind w:firstLine="480" w:firstLineChars="200"/>
        <w:rPr>
          <w:rFonts w:ascii="宋体" w:hAnsi="宋体"/>
          <w:sz w:val="24"/>
          <w:szCs w:val="24"/>
        </w:rPr>
      </w:pPr>
      <w:r>
        <w:rPr>
          <w:rFonts w:hint="eastAsia" w:ascii="宋体" w:hAnsi="宋体"/>
          <w:sz w:val="24"/>
          <w:szCs w:val="24"/>
        </w:rPr>
        <w:t>7、《建筑地基基础设计规范》GB50007-2011</w:t>
      </w:r>
    </w:p>
    <w:p>
      <w:pPr>
        <w:ind w:firstLine="480" w:firstLineChars="200"/>
        <w:rPr>
          <w:rFonts w:ascii="宋体" w:hAnsi="宋体"/>
          <w:sz w:val="24"/>
          <w:szCs w:val="24"/>
        </w:rPr>
      </w:pPr>
      <w:r>
        <w:rPr>
          <w:rFonts w:hint="eastAsia" w:ascii="宋体" w:hAnsi="宋体"/>
          <w:sz w:val="24"/>
          <w:szCs w:val="24"/>
        </w:rPr>
        <w:t>8、基坑周边构筑物、道路、地下管线等环境条件及使用状况；</w:t>
      </w:r>
    </w:p>
    <w:p>
      <w:pPr>
        <w:ind w:firstLine="480" w:firstLineChars="200"/>
        <w:rPr>
          <w:rFonts w:ascii="宋体" w:hAnsi="宋体"/>
          <w:sz w:val="24"/>
          <w:szCs w:val="24"/>
        </w:rPr>
      </w:pPr>
      <w:r>
        <w:rPr>
          <w:rFonts w:hint="eastAsia" w:ascii="宋体" w:hAnsi="宋体"/>
          <w:sz w:val="24"/>
          <w:szCs w:val="24"/>
        </w:rPr>
        <w:t>9、行政主管部门对管线及构筑物的具体要求。</w:t>
      </w:r>
    </w:p>
    <w:p>
      <w:pPr>
        <w:pStyle w:val="31"/>
        <w:rPr>
          <w:rFonts w:ascii="宋体" w:hAnsi="宋体"/>
          <w:b w:val="0"/>
          <w:bCs/>
          <w:sz w:val="24"/>
        </w:rPr>
      </w:pPr>
      <w:r>
        <w:rPr>
          <w:rFonts w:hint="eastAsia" w:ascii="宋体" w:hAnsi="宋体"/>
          <w:bCs/>
          <w:sz w:val="24"/>
        </w:rPr>
        <w:t xml:space="preserve">三、报价及费用支付： </w:t>
      </w:r>
    </w:p>
    <w:p>
      <w:pPr>
        <w:tabs>
          <w:tab w:val="left" w:pos="1036"/>
        </w:tabs>
        <w:ind w:left="109" w:leftChars="52"/>
        <w:rPr>
          <w:rFonts w:ascii="宋体" w:hAnsi="宋体"/>
          <w:bCs/>
          <w:sz w:val="24"/>
          <w:szCs w:val="24"/>
        </w:rPr>
      </w:pPr>
      <w:r>
        <w:rPr>
          <w:rFonts w:hint="eastAsia" w:ascii="宋体" w:hAnsi="宋体" w:cs="金山简魏碑"/>
          <w:b/>
          <w:bCs/>
          <w:sz w:val="24"/>
          <w:szCs w:val="24"/>
        </w:rPr>
        <w:t xml:space="preserve">    1、监测费用：</w:t>
      </w:r>
      <w:r>
        <w:rPr>
          <w:rFonts w:hint="eastAsia" w:ascii="宋体" w:hAnsi="宋体"/>
          <w:bCs/>
          <w:sz w:val="24"/>
          <w:szCs w:val="24"/>
        </w:rPr>
        <w:t>本合同采用固定总价方式，合同总价中已包括所有国家及当地规定应缴纳的各项税金，达到政府主管部门规定要求的全部费用。乙方在合同总价中已包括人工、材料、安装、调试、维护、管理、利润、税金、风险、责任及工程施工期间可能出现的政策、施工环境和材料市场的变化可能影响工程造价的因素。不管现场如何变化，乙方不得因其它任何原因提出调整造价的要求。</w:t>
      </w:r>
    </w:p>
    <w:p>
      <w:pPr>
        <w:tabs>
          <w:tab w:val="left" w:pos="720"/>
        </w:tabs>
        <w:ind w:firstLine="602" w:firstLineChars="250"/>
        <w:jc w:val="left"/>
        <w:rPr>
          <w:rFonts w:ascii="宋体" w:hAnsi="宋体"/>
          <w:sz w:val="24"/>
          <w:szCs w:val="24"/>
        </w:rPr>
      </w:pPr>
      <w:r>
        <w:rPr>
          <w:rFonts w:hint="eastAsia" w:ascii="宋体" w:hAnsi="宋体"/>
          <w:b/>
          <w:bCs/>
          <w:sz w:val="24"/>
          <w:szCs w:val="24"/>
        </w:rPr>
        <w:t>2、支付方式：</w:t>
      </w:r>
      <w:r>
        <w:rPr>
          <w:rFonts w:hint="eastAsia" w:ascii="宋体" w:hAnsi="宋体"/>
          <w:sz w:val="24"/>
          <w:szCs w:val="24"/>
        </w:rPr>
        <w:t xml:space="preserve"> 监测工作完成且所有资料移交甲方后，乙方提供正式合法有效的增值税专用发票给甲方，收到发票后30日内甲方应向乙方一次性支付全部费用。</w:t>
      </w:r>
    </w:p>
    <w:p>
      <w:pPr>
        <w:pStyle w:val="31"/>
        <w:ind w:firstLine="0"/>
        <w:rPr>
          <w:rFonts w:ascii="宋体" w:hAnsi="宋体"/>
          <w:b w:val="0"/>
          <w:bCs/>
          <w:sz w:val="24"/>
        </w:rPr>
      </w:pPr>
      <w:r>
        <w:rPr>
          <w:rFonts w:hint="eastAsia" w:ascii="宋体" w:hAnsi="宋体"/>
          <w:bCs/>
          <w:sz w:val="24"/>
        </w:rPr>
        <w:t xml:space="preserve">    四、双方权利及义务 </w:t>
      </w:r>
    </w:p>
    <w:p>
      <w:pPr>
        <w:pStyle w:val="41"/>
        <w:adjustRightInd w:val="0"/>
        <w:snapToGrid w:val="0"/>
        <w:ind w:firstLine="482" w:firstLineChars="200"/>
        <w:rPr>
          <w:rFonts w:hAnsi="宋体"/>
          <w:b/>
          <w:bCs/>
          <w:sz w:val="24"/>
          <w:szCs w:val="24"/>
        </w:rPr>
      </w:pPr>
      <w:r>
        <w:rPr>
          <w:rFonts w:hint="eastAsia" w:hAnsi="宋体"/>
          <w:b/>
          <w:bCs/>
          <w:sz w:val="24"/>
          <w:szCs w:val="24"/>
        </w:rPr>
        <w:t>甲方职责：</w:t>
      </w:r>
    </w:p>
    <w:p>
      <w:pPr>
        <w:pStyle w:val="41"/>
        <w:adjustRightInd w:val="0"/>
        <w:snapToGrid w:val="0"/>
        <w:ind w:firstLine="480" w:firstLineChars="200"/>
        <w:rPr>
          <w:rFonts w:hAnsi="宋体"/>
          <w:sz w:val="24"/>
          <w:szCs w:val="24"/>
        </w:rPr>
      </w:pPr>
      <w:r>
        <w:rPr>
          <w:rFonts w:hint="eastAsia" w:hAnsi="宋体"/>
          <w:sz w:val="24"/>
          <w:szCs w:val="24"/>
        </w:rPr>
        <w:t>1、甲方负责及时提供给乙方关于本项目工程所需的资料。</w:t>
      </w:r>
    </w:p>
    <w:p>
      <w:pPr>
        <w:pStyle w:val="41"/>
        <w:adjustRightInd w:val="0"/>
        <w:snapToGrid w:val="0"/>
        <w:ind w:firstLine="480" w:firstLineChars="200"/>
        <w:rPr>
          <w:rFonts w:hAnsi="宋体"/>
          <w:sz w:val="24"/>
          <w:szCs w:val="24"/>
        </w:rPr>
      </w:pPr>
      <w:r>
        <w:rPr>
          <w:rFonts w:hint="eastAsia" w:hAnsi="宋体"/>
          <w:sz w:val="24"/>
          <w:szCs w:val="24"/>
        </w:rPr>
        <w:t>2、甲方做好各方协调工作，保证监测工作顺利进行。</w:t>
      </w:r>
    </w:p>
    <w:p>
      <w:pPr>
        <w:pStyle w:val="41"/>
        <w:adjustRightInd w:val="0"/>
        <w:snapToGrid w:val="0"/>
        <w:ind w:firstLine="480" w:firstLineChars="200"/>
        <w:rPr>
          <w:rFonts w:hAnsi="宋体"/>
          <w:sz w:val="24"/>
          <w:szCs w:val="24"/>
        </w:rPr>
      </w:pPr>
      <w:r>
        <w:rPr>
          <w:rFonts w:hint="eastAsia" w:hAnsi="宋体"/>
          <w:sz w:val="24"/>
          <w:szCs w:val="24"/>
        </w:rPr>
        <w:t>3、甲方负责提供施工进度、线路安排设计，协助乙方制定具体监测日程安排。</w:t>
      </w:r>
    </w:p>
    <w:p>
      <w:pPr>
        <w:pStyle w:val="41"/>
        <w:adjustRightInd w:val="0"/>
        <w:snapToGrid w:val="0"/>
        <w:ind w:firstLine="480" w:firstLineChars="200"/>
        <w:rPr>
          <w:rFonts w:hAnsi="宋体"/>
          <w:sz w:val="24"/>
          <w:szCs w:val="24"/>
        </w:rPr>
      </w:pPr>
      <w:r>
        <w:rPr>
          <w:rFonts w:hint="eastAsia" w:hAnsi="宋体"/>
          <w:sz w:val="24"/>
          <w:szCs w:val="24"/>
        </w:rPr>
        <w:t>4、监测期间若发生计划变更，或遇其它特殊情况，甲方负责及时通知乙方。</w:t>
      </w:r>
    </w:p>
    <w:p>
      <w:pPr>
        <w:pStyle w:val="41"/>
        <w:adjustRightInd w:val="0"/>
        <w:snapToGrid w:val="0"/>
        <w:ind w:firstLine="482" w:firstLineChars="200"/>
        <w:rPr>
          <w:rFonts w:hAnsi="宋体"/>
          <w:b/>
          <w:bCs/>
          <w:sz w:val="24"/>
          <w:szCs w:val="24"/>
        </w:rPr>
      </w:pPr>
      <w:r>
        <w:rPr>
          <w:rFonts w:hint="eastAsia" w:hAnsi="宋体"/>
          <w:b/>
          <w:bCs/>
          <w:sz w:val="24"/>
          <w:szCs w:val="24"/>
        </w:rPr>
        <w:t>乙方职责</w:t>
      </w:r>
    </w:p>
    <w:p>
      <w:pPr>
        <w:pStyle w:val="41"/>
        <w:adjustRightInd w:val="0"/>
        <w:snapToGrid w:val="0"/>
        <w:ind w:firstLine="480" w:firstLineChars="200"/>
        <w:rPr>
          <w:rFonts w:hAnsi="宋体"/>
          <w:sz w:val="24"/>
          <w:szCs w:val="24"/>
        </w:rPr>
      </w:pPr>
      <w:r>
        <w:rPr>
          <w:rFonts w:hint="eastAsia" w:hAnsi="宋体"/>
          <w:sz w:val="24"/>
          <w:szCs w:val="24"/>
        </w:rPr>
        <w:t>1、乙方落实监测所需的材料、设备及仪器。</w:t>
      </w:r>
    </w:p>
    <w:p>
      <w:pPr>
        <w:pStyle w:val="41"/>
        <w:adjustRightInd w:val="0"/>
        <w:snapToGrid w:val="0"/>
        <w:ind w:firstLine="480" w:firstLineChars="200"/>
        <w:rPr>
          <w:rFonts w:hAnsi="宋体"/>
          <w:sz w:val="24"/>
          <w:szCs w:val="24"/>
        </w:rPr>
      </w:pPr>
      <w:r>
        <w:rPr>
          <w:rFonts w:hint="eastAsia" w:hAnsi="宋体"/>
          <w:sz w:val="24"/>
          <w:szCs w:val="24"/>
        </w:rPr>
        <w:t>2、负责各监测点埋设及相应的保护措施。</w:t>
      </w:r>
    </w:p>
    <w:p>
      <w:pPr>
        <w:pStyle w:val="41"/>
        <w:adjustRightInd w:val="0"/>
        <w:snapToGrid w:val="0"/>
        <w:ind w:firstLine="480" w:firstLineChars="200"/>
        <w:rPr>
          <w:rFonts w:hAnsi="宋体"/>
          <w:sz w:val="24"/>
          <w:szCs w:val="24"/>
        </w:rPr>
      </w:pPr>
      <w:r>
        <w:rPr>
          <w:rFonts w:hint="eastAsia" w:hAnsi="宋体"/>
          <w:sz w:val="24"/>
          <w:szCs w:val="24"/>
        </w:rPr>
        <w:t>3、协同甲方、监理单位及总包单位制定监测日程安排，与高速公路管理部门进行对接协调，确保监测工作顺利进行并取得主管部门的认可。</w:t>
      </w:r>
    </w:p>
    <w:p>
      <w:pPr>
        <w:pStyle w:val="41"/>
        <w:adjustRightInd w:val="0"/>
        <w:snapToGrid w:val="0"/>
        <w:ind w:firstLine="480" w:firstLineChars="200"/>
        <w:rPr>
          <w:rFonts w:hAnsi="宋体"/>
          <w:sz w:val="24"/>
          <w:szCs w:val="24"/>
        </w:rPr>
      </w:pPr>
      <w:r>
        <w:rPr>
          <w:rFonts w:hint="eastAsia" w:hAnsi="宋体"/>
          <w:sz w:val="24"/>
          <w:szCs w:val="24"/>
        </w:rPr>
        <w:t>4、根据所定的监测方案进行现场监测，发现监测点接近或超过警戒值时或其它异常现象及时通知甲方或代建单位。</w:t>
      </w:r>
    </w:p>
    <w:p>
      <w:pPr>
        <w:pStyle w:val="41"/>
        <w:adjustRightInd w:val="0"/>
        <w:snapToGrid w:val="0"/>
        <w:ind w:firstLine="480" w:firstLineChars="200"/>
        <w:rPr>
          <w:rFonts w:hAnsi="宋体"/>
          <w:sz w:val="24"/>
          <w:szCs w:val="24"/>
        </w:rPr>
      </w:pPr>
      <w:r>
        <w:rPr>
          <w:rFonts w:hint="eastAsia" w:hAnsi="宋体"/>
          <w:sz w:val="24"/>
          <w:szCs w:val="24"/>
        </w:rPr>
        <w:t>5、每次监测完毕及时整理现场监测资料，并于2个工作日内提供监测结果并送交甲方。</w:t>
      </w:r>
    </w:p>
    <w:p>
      <w:pPr>
        <w:pStyle w:val="41"/>
        <w:adjustRightInd w:val="0"/>
        <w:snapToGrid w:val="0"/>
        <w:ind w:firstLine="480" w:firstLineChars="200"/>
        <w:rPr>
          <w:rFonts w:hAnsi="宋体"/>
          <w:sz w:val="24"/>
          <w:szCs w:val="24"/>
        </w:rPr>
      </w:pPr>
      <w:r>
        <w:rPr>
          <w:rFonts w:hint="eastAsia" w:hAnsi="宋体"/>
          <w:sz w:val="24"/>
          <w:szCs w:val="24"/>
        </w:rPr>
        <w:t>6、监测工作全部结束后，向甲方提供监测完工报告四套。</w:t>
      </w:r>
    </w:p>
    <w:p>
      <w:pPr>
        <w:pStyle w:val="41"/>
        <w:adjustRightInd w:val="0"/>
        <w:snapToGrid w:val="0"/>
        <w:ind w:firstLine="480" w:firstLineChars="200"/>
        <w:rPr>
          <w:rFonts w:hAnsi="宋体"/>
          <w:b/>
          <w:bCs/>
          <w:sz w:val="24"/>
          <w:szCs w:val="24"/>
        </w:rPr>
      </w:pPr>
      <w:r>
        <w:rPr>
          <w:rFonts w:hint="eastAsia" w:hAnsi="宋体"/>
          <w:sz w:val="24"/>
          <w:szCs w:val="24"/>
        </w:rPr>
        <w:t>7、凡乙方未能完成协议文件规定的内容或乙方监测结果错误，造成甲方损失的，乙方负责赔偿甲方全部损失。</w:t>
      </w:r>
    </w:p>
    <w:p>
      <w:pPr>
        <w:pStyle w:val="31"/>
        <w:rPr>
          <w:rFonts w:ascii="宋体" w:hAnsi="宋体"/>
          <w:b w:val="0"/>
          <w:bCs/>
          <w:sz w:val="24"/>
        </w:rPr>
      </w:pPr>
      <w:r>
        <w:rPr>
          <w:rFonts w:hint="eastAsia" w:ascii="宋体" w:hAnsi="宋体"/>
          <w:bCs/>
          <w:sz w:val="24"/>
        </w:rPr>
        <w:t>五、资料成果</w:t>
      </w:r>
    </w:p>
    <w:p>
      <w:pPr>
        <w:ind w:left="1"/>
        <w:rPr>
          <w:rFonts w:ascii="宋体" w:hAnsi="宋体" w:cs="Courier New"/>
          <w:sz w:val="24"/>
          <w:szCs w:val="24"/>
        </w:rPr>
      </w:pPr>
      <w:r>
        <w:rPr>
          <w:rFonts w:hint="eastAsia" w:ascii="宋体" w:hAnsi="宋体" w:cs="Courier New"/>
          <w:sz w:val="24"/>
          <w:szCs w:val="24"/>
        </w:rPr>
        <w:t xml:space="preserve">    1、报告（日报）：正常情况48小时内提供纸质报告一式四份，有异常及时口头或电话汇报。</w:t>
      </w:r>
    </w:p>
    <w:p>
      <w:pPr>
        <w:rPr>
          <w:rFonts w:ascii="宋体" w:hAnsi="宋体" w:cs="Courier New"/>
          <w:sz w:val="24"/>
          <w:szCs w:val="24"/>
        </w:rPr>
      </w:pPr>
      <w:r>
        <w:rPr>
          <w:rFonts w:hint="eastAsia" w:ascii="宋体" w:hAnsi="宋体" w:cs="Courier New"/>
          <w:sz w:val="24"/>
          <w:szCs w:val="24"/>
        </w:rPr>
        <w:t xml:space="preserve">    2、报告（竣工）：监测结束后提供监测总结报告一式四份。</w:t>
      </w:r>
    </w:p>
    <w:p>
      <w:pPr>
        <w:rPr>
          <w:rFonts w:ascii="宋体" w:hAnsi="宋体"/>
          <w:b/>
          <w:bCs/>
          <w:sz w:val="24"/>
          <w:szCs w:val="24"/>
        </w:rPr>
      </w:pPr>
      <w:r>
        <w:rPr>
          <w:rFonts w:hint="eastAsia" w:ascii="宋体" w:hAnsi="宋体"/>
          <w:b/>
          <w:bCs/>
          <w:sz w:val="24"/>
          <w:szCs w:val="24"/>
        </w:rPr>
        <w:t xml:space="preserve">    六、违约责任</w:t>
      </w:r>
    </w:p>
    <w:p>
      <w:pPr>
        <w:ind w:firstLine="480" w:firstLineChars="200"/>
        <w:rPr>
          <w:rFonts w:ascii="宋体" w:hAnsi="宋体"/>
          <w:sz w:val="24"/>
          <w:szCs w:val="24"/>
        </w:rPr>
      </w:pPr>
      <w:r>
        <w:rPr>
          <w:rFonts w:hint="eastAsia" w:ascii="宋体" w:hAnsi="宋体"/>
          <w:sz w:val="24"/>
          <w:szCs w:val="24"/>
        </w:rPr>
        <w:t>1、甲乙双方应全面实际履行本合同，不履行或不完全履行的应负违约责任。乙方必须严格按照合同约定的工期完成，如因乙方自身原因引起的工期延误，甲方有权解除合同并扣除履约保证金，同时乙方须无条件退场。</w:t>
      </w:r>
    </w:p>
    <w:p>
      <w:pPr>
        <w:ind w:firstLine="480" w:firstLineChars="200"/>
        <w:rPr>
          <w:rFonts w:ascii="宋体" w:hAnsi="宋体"/>
          <w:sz w:val="24"/>
          <w:szCs w:val="24"/>
        </w:rPr>
      </w:pPr>
      <w:r>
        <w:rPr>
          <w:rFonts w:hint="eastAsia" w:ascii="宋体" w:hAnsi="宋体"/>
          <w:color w:val="FF0000"/>
          <w:sz w:val="24"/>
          <w:szCs w:val="24"/>
        </w:rPr>
        <w:t>2、</w:t>
      </w:r>
      <w:r>
        <w:rPr>
          <w:rFonts w:hint="eastAsia" w:ascii="宋体" w:hAnsi="宋体"/>
          <w:sz w:val="24"/>
          <w:szCs w:val="24"/>
        </w:rPr>
        <w:t>乙方应配合甲方进行分部验收，监测报告须满足方案要求及质监站相关要求，乙方提供的测绘成果质量不合格的，乙方应负责无偿予以重测或采取补救措施，已到达质量要求。乙方采取补救措施的期间视为逾期完成。因成果质量不符合要求，乙方应按合同总额的20%承担违约责任。</w:t>
      </w:r>
    </w:p>
    <w:p>
      <w:pPr>
        <w:rPr>
          <w:rFonts w:ascii="宋体" w:hAnsi="宋体"/>
          <w:b/>
          <w:bCs/>
          <w:sz w:val="24"/>
          <w:szCs w:val="24"/>
        </w:rPr>
      </w:pPr>
      <w:r>
        <w:rPr>
          <w:rFonts w:hint="eastAsia" w:ascii="宋体" w:hAnsi="宋体"/>
          <w:b/>
          <w:bCs/>
          <w:sz w:val="24"/>
          <w:szCs w:val="24"/>
        </w:rPr>
        <w:t xml:space="preserve">七、附则 </w:t>
      </w:r>
    </w:p>
    <w:p>
      <w:pPr>
        <w:ind w:firstLine="480" w:firstLineChars="200"/>
        <w:rPr>
          <w:rFonts w:ascii="宋体" w:hAnsi="宋体"/>
          <w:sz w:val="24"/>
          <w:szCs w:val="24"/>
        </w:rPr>
      </w:pPr>
      <w:r>
        <w:rPr>
          <w:rFonts w:hint="eastAsia" w:ascii="宋体" w:hAnsi="宋体"/>
          <w:sz w:val="24"/>
          <w:szCs w:val="24"/>
        </w:rPr>
        <w:t>1、本合同一式肆份，甲方持贰份，乙方持贰份。</w:t>
      </w:r>
    </w:p>
    <w:p>
      <w:pPr>
        <w:ind w:firstLine="480" w:firstLineChars="200"/>
        <w:rPr>
          <w:rFonts w:ascii="宋体" w:hAnsi="宋体"/>
          <w:sz w:val="24"/>
          <w:szCs w:val="24"/>
        </w:rPr>
      </w:pPr>
      <w:r>
        <w:rPr>
          <w:rFonts w:hint="eastAsia" w:ascii="宋体" w:hAnsi="宋体"/>
          <w:sz w:val="24"/>
          <w:szCs w:val="24"/>
        </w:rPr>
        <w:t>2、本合同经双方签字盖章后生效，单方不得废止。如遇不可避免的客观原因，导致无法全部按规定执行，必须修订或中止时，双方协商解决，协调不成时，可向甲方所在地人民法院起诉，并根据《中华人民共和国民法典》中的有关规定处理。</w:t>
      </w:r>
    </w:p>
    <w:p>
      <w:pPr>
        <w:ind w:firstLine="480" w:firstLineChars="200"/>
        <w:rPr>
          <w:rFonts w:ascii="宋体" w:hAnsi="宋体"/>
          <w:sz w:val="24"/>
          <w:szCs w:val="24"/>
        </w:rPr>
      </w:pPr>
      <w:r>
        <w:rPr>
          <w:rFonts w:hint="eastAsia" w:ascii="宋体" w:hAnsi="宋体"/>
          <w:sz w:val="24"/>
          <w:szCs w:val="24"/>
        </w:rPr>
        <w:t xml:space="preserve">3、对监测报告若有异议，甲方应在收到报告之日起15天内书面向监测单位提出。 </w:t>
      </w:r>
    </w:p>
    <w:p>
      <w:pPr>
        <w:ind w:firstLine="480" w:firstLineChars="200"/>
        <w:rPr>
          <w:rFonts w:ascii="宋体" w:hAnsi="宋体"/>
          <w:sz w:val="24"/>
          <w:szCs w:val="24"/>
        </w:rPr>
      </w:pPr>
      <w:r>
        <w:rPr>
          <w:rFonts w:hint="eastAsia" w:ascii="宋体" w:hAnsi="宋体"/>
          <w:sz w:val="24"/>
          <w:szCs w:val="24"/>
        </w:rPr>
        <w:t xml:space="preserve">4、其他未尽事宜，双方协商解决。 </w:t>
      </w:r>
    </w:p>
    <w:p>
      <w:pPr>
        <w:ind w:left="105"/>
        <w:jc w:val="left"/>
        <w:rPr>
          <w:rFonts w:ascii="宋体" w:hAnsi="宋体"/>
          <w:color w:val="000000"/>
          <w:sz w:val="24"/>
          <w:szCs w:val="24"/>
        </w:rPr>
      </w:pPr>
      <w:r>
        <w:rPr>
          <w:rFonts w:hint="eastAsia" w:ascii="宋体" w:hAnsi="宋体"/>
          <w:color w:val="000000"/>
          <w:sz w:val="24"/>
          <w:szCs w:val="24"/>
        </w:rPr>
        <w:t>委托单位：（签章）                      监测单位：（签章）</w:t>
      </w:r>
    </w:p>
    <w:p>
      <w:pPr>
        <w:ind w:left="105"/>
        <w:jc w:val="left"/>
        <w:rPr>
          <w:rFonts w:ascii="宋体" w:hAnsi="宋体"/>
          <w:color w:val="000000"/>
          <w:sz w:val="24"/>
          <w:szCs w:val="24"/>
        </w:rPr>
      </w:pPr>
    </w:p>
    <w:p>
      <w:pPr>
        <w:ind w:left="105"/>
        <w:jc w:val="left"/>
        <w:rPr>
          <w:rFonts w:ascii="宋体" w:hAnsi="宋体"/>
          <w:color w:val="000000"/>
          <w:sz w:val="24"/>
          <w:szCs w:val="24"/>
        </w:rPr>
      </w:pPr>
      <w:r>
        <w:rPr>
          <w:rFonts w:hint="eastAsia" w:ascii="宋体" w:hAnsi="宋体"/>
          <w:color w:val="000000"/>
          <w:sz w:val="24"/>
          <w:szCs w:val="24"/>
        </w:rPr>
        <w:t>法人签字：</w:t>
      </w:r>
      <w:r>
        <w:rPr>
          <w:rFonts w:hint="eastAsia" w:ascii="宋体" w:hAnsi="宋体"/>
          <w:color w:val="000000"/>
          <w:sz w:val="24"/>
          <w:szCs w:val="24"/>
        </w:rPr>
        <w:tab/>
      </w:r>
      <w:r>
        <w:rPr>
          <w:rFonts w:hint="eastAsia" w:ascii="宋体" w:hAnsi="宋体"/>
          <w:color w:val="000000"/>
          <w:sz w:val="24"/>
          <w:szCs w:val="24"/>
        </w:rPr>
        <w:t xml:space="preserve">                          法人签字：</w:t>
      </w:r>
    </w:p>
    <w:p>
      <w:pPr>
        <w:ind w:left="105"/>
        <w:jc w:val="left"/>
        <w:rPr>
          <w:rFonts w:ascii="宋体" w:hAnsi="宋体"/>
          <w:color w:val="000000"/>
          <w:sz w:val="24"/>
          <w:szCs w:val="24"/>
        </w:rPr>
      </w:pPr>
    </w:p>
    <w:p>
      <w:pPr>
        <w:ind w:left="105"/>
        <w:jc w:val="left"/>
        <w:rPr>
          <w:rFonts w:ascii="宋体" w:hAnsi="宋体"/>
          <w:color w:val="000000"/>
          <w:sz w:val="24"/>
          <w:szCs w:val="24"/>
        </w:rPr>
      </w:pPr>
      <w:r>
        <w:rPr>
          <w:rFonts w:hint="eastAsia" w:ascii="宋体" w:hAnsi="宋体"/>
          <w:color w:val="000000"/>
          <w:sz w:val="24"/>
          <w:szCs w:val="24"/>
        </w:rPr>
        <w:t>经办人：</w:t>
      </w:r>
      <w:r>
        <w:rPr>
          <w:rFonts w:hint="eastAsia" w:ascii="宋体" w:hAnsi="宋体"/>
          <w:color w:val="000000"/>
          <w:sz w:val="24"/>
          <w:szCs w:val="24"/>
        </w:rPr>
        <w:tab/>
      </w:r>
      <w:r>
        <w:rPr>
          <w:rFonts w:hint="eastAsia" w:ascii="宋体" w:hAnsi="宋体"/>
          <w:color w:val="000000"/>
          <w:sz w:val="24"/>
          <w:szCs w:val="24"/>
        </w:rPr>
        <w:t xml:space="preserve">                              经办人：</w:t>
      </w:r>
    </w:p>
    <w:p>
      <w:pPr>
        <w:ind w:left="105"/>
        <w:jc w:val="left"/>
        <w:rPr>
          <w:rFonts w:ascii="宋体" w:hAnsi="宋体"/>
          <w:color w:val="000000"/>
          <w:sz w:val="24"/>
          <w:szCs w:val="24"/>
        </w:rPr>
      </w:pPr>
      <w:r>
        <w:rPr>
          <w:rFonts w:hint="eastAsia" w:ascii="宋体" w:hAnsi="宋体"/>
          <w:color w:val="000000"/>
          <w:sz w:val="24"/>
          <w:szCs w:val="24"/>
        </w:rPr>
        <w:t>签订日期：</w:t>
      </w:r>
      <w:r>
        <w:rPr>
          <w:rFonts w:hint="eastAsia" w:ascii="宋体" w:hAnsi="宋体"/>
          <w:color w:val="000000"/>
          <w:sz w:val="24"/>
          <w:szCs w:val="24"/>
        </w:rPr>
        <w:tab/>
      </w:r>
      <w:r>
        <w:rPr>
          <w:rFonts w:hint="eastAsia" w:ascii="宋体" w:hAnsi="宋体"/>
          <w:color w:val="000000"/>
          <w:sz w:val="24"/>
          <w:szCs w:val="24"/>
        </w:rPr>
        <w:t xml:space="preserve">                          签订日期：</w:t>
      </w:r>
      <w:bookmarkEnd w:id="72"/>
    </w:p>
    <w:p>
      <w:pPr>
        <w:spacing w:line="360" w:lineRule="auto"/>
        <w:jc w:val="center"/>
        <w:outlineLvl w:val="0"/>
        <w:rPr>
          <w:rFonts w:ascii="黑体" w:hAnsi="黑体" w:eastAsia="黑体"/>
          <w:sz w:val="28"/>
        </w:rPr>
      </w:pPr>
      <w:bookmarkStart w:id="73"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74" w:name="_Toc29240"/>
      <w:r>
        <w:rPr>
          <w:rFonts w:hint="eastAsia" w:ascii="宋体" w:hAnsi="宋体"/>
          <w:b/>
          <w:sz w:val="120"/>
          <w:szCs w:val="120"/>
        </w:rPr>
        <w:t>投标文件</w:t>
      </w:r>
      <w:bookmarkEnd w:id="74"/>
    </w:p>
    <w:p>
      <w:pPr>
        <w:jc w:val="center"/>
        <w:rPr>
          <w:rFonts w:ascii="宋体" w:hAnsi="宋体"/>
          <w:b/>
          <w:sz w:val="32"/>
          <w:szCs w:val="32"/>
        </w:rPr>
      </w:pPr>
      <w:bookmarkStart w:id="75" w:name="_Toc2400"/>
      <w:r>
        <w:rPr>
          <w:rFonts w:hint="eastAsia" w:ascii="宋体" w:hAnsi="宋体"/>
          <w:b/>
          <w:sz w:val="32"/>
          <w:szCs w:val="32"/>
        </w:rPr>
        <w:t>项目编号：</w:t>
      </w:r>
      <w:bookmarkEnd w:id="75"/>
      <w:r>
        <w:rPr>
          <w:rFonts w:ascii="宋体" w:hAnsi="宋体"/>
          <w:b/>
          <w:sz w:val="32"/>
          <w:szCs w:val="32"/>
        </w:rPr>
        <w:t>YXGYJT202110001</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u w:val="single"/>
        </w:rPr>
      </w:pPr>
      <w:bookmarkStart w:id="76" w:name="_Toc10010"/>
      <w:r>
        <w:rPr>
          <w:rFonts w:hint="eastAsia" w:ascii="宋体" w:hAnsi="宋体"/>
          <w:b/>
          <w:sz w:val="32"/>
          <w:szCs w:val="32"/>
        </w:rPr>
        <w:t>项目名称：</w:t>
      </w:r>
      <w:bookmarkEnd w:id="76"/>
      <w:bookmarkStart w:id="77" w:name="_Toc8670"/>
      <w:r>
        <w:rPr>
          <w:rFonts w:hint="eastAsia" w:ascii="宋体" w:hAnsi="宋体"/>
          <w:b/>
          <w:sz w:val="32"/>
          <w:szCs w:val="32"/>
          <w:u w:val="single"/>
        </w:rPr>
        <w:t>供水管道工程涉路（高速）沉降监测采购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77"/>
    </w:p>
    <w:p>
      <w:pPr>
        <w:rPr>
          <w:rFonts w:ascii="宋体" w:hAnsi="宋体"/>
        </w:rPr>
      </w:pPr>
      <w:bookmarkStart w:id="78"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78"/>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79" w:name="_Toc1179"/>
      <w:r>
        <w:rPr>
          <w:rFonts w:hint="eastAsia" w:ascii="宋体" w:hAnsi="宋体"/>
          <w:b/>
          <w:sz w:val="32"/>
          <w:szCs w:val="32"/>
        </w:rPr>
        <w:t>日期： 年 月 日</w:t>
      </w:r>
      <w:bookmarkEnd w:id="79"/>
    </w:p>
    <w:p>
      <w:pPr>
        <w:rPr>
          <w:rFonts w:ascii="宋体"/>
          <w:b/>
          <w:bCs/>
          <w:sz w:val="24"/>
          <w:szCs w:val="24"/>
        </w:rPr>
      </w:pPr>
      <w:bookmarkStart w:id="80" w:name="_Toc24602"/>
      <w:r>
        <w:rPr>
          <w:rFonts w:hint="eastAsia" w:ascii="黑体" w:hAnsi="宋体" w:eastAsia="黑体"/>
          <w:bCs/>
          <w:sz w:val="24"/>
          <w:szCs w:val="24"/>
        </w:rPr>
        <w:br w:type="page"/>
      </w:r>
      <w:bookmarkStart w:id="81" w:name="OLE_LINK24"/>
      <w:r>
        <w:rPr>
          <w:rFonts w:hint="eastAsia" w:ascii="黑体" w:hAnsi="宋体" w:eastAsia="黑体"/>
          <w:bCs/>
          <w:sz w:val="28"/>
          <w:szCs w:val="28"/>
        </w:rPr>
        <w:t>（一）投标函（格式）：</w:t>
      </w:r>
    </w:p>
    <w:bookmarkEnd w:id="81"/>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2" w:name="OLE_LINK185"/>
      <w:r>
        <w:rPr>
          <w:rFonts w:hint="eastAsia" w:ascii="宋体" w:hAnsi="宋体"/>
          <w:bCs/>
          <w:sz w:val="24"/>
          <w:lang w:val="zh-CN"/>
        </w:rPr>
        <w:t xml:space="preserve">    致</w:t>
      </w:r>
      <w:bookmarkEnd w:id="82"/>
      <w:r>
        <w:rPr>
          <w:rFonts w:hint="eastAsia" w:ascii="宋体" w:hAnsi="宋体"/>
          <w:bCs/>
          <w:sz w:val="24"/>
          <w:u w:val="single"/>
          <w:lang w:val="zh-CN"/>
        </w:rPr>
        <w:t>宜兴水务集团有限公司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sz w:val="24"/>
          <w:u w:val="single"/>
        </w:rPr>
        <w:t>供水管道工程涉路（高速）沉降监测</w:t>
      </w:r>
      <w:r>
        <w:rPr>
          <w:rFonts w:hint="eastAsia" w:ascii="宋体" w:hAnsi="宋体"/>
          <w:bCs/>
          <w:sz w:val="24"/>
          <w:lang w:val="zh-CN"/>
        </w:rPr>
        <w:t>采购招标文件，经仔细阅读和研究，我方决定参加投标。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4"/>
        </w:numPr>
        <w:spacing w:line="276" w:lineRule="auto"/>
        <w:ind w:firstLine="480" w:firstLineChars="200"/>
        <w:rPr>
          <w:rFonts w:ascii="宋体" w:hAnsi="宋体"/>
          <w:bCs/>
          <w:sz w:val="24"/>
          <w:lang w:val="zh-CN"/>
        </w:rPr>
      </w:pPr>
      <w:bookmarkStart w:id="83"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3"/>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84" w:name="OLE_LINK34"/>
      <w:bookmarkStart w:id="85"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86" w:name="OLE_LINK28"/>
      <w:r>
        <w:rPr>
          <w:rFonts w:hint="eastAsia" w:ascii="宋体" w:hAnsi="宋体"/>
          <w:bCs/>
          <w:sz w:val="24"/>
          <w:lang w:val="zh-CN"/>
        </w:rPr>
        <w:t>投标人公章</w:t>
      </w:r>
      <w:bookmarkEnd w:id="86"/>
      <w:r>
        <w:rPr>
          <w:rFonts w:hint="eastAsia" w:ascii="宋体" w:hAnsi="宋体"/>
          <w:bCs/>
          <w:sz w:val="24"/>
          <w:lang w:val="zh-CN"/>
        </w:rPr>
        <w:t>：</w:t>
      </w:r>
    </w:p>
    <w:bookmarkEnd w:id="84"/>
    <w:bookmarkEnd w:id="85"/>
    <w:p>
      <w:pPr>
        <w:spacing w:line="480" w:lineRule="exact"/>
        <w:rPr>
          <w:rFonts w:ascii="黑体" w:hAnsi="宋体" w:eastAsia="黑体"/>
          <w:bCs/>
          <w:sz w:val="28"/>
          <w:szCs w:val="28"/>
        </w:rPr>
      </w:pPr>
      <w:bookmarkStart w:id="87" w:name="OLE_LINK146"/>
      <w:r>
        <w:rPr>
          <w:rFonts w:ascii="黑体" w:hAnsi="宋体" w:eastAsia="黑体"/>
          <w:bCs/>
          <w:sz w:val="24"/>
          <w:szCs w:val="24"/>
        </w:rPr>
        <w:br w:type="page"/>
      </w:r>
      <w:r>
        <w:rPr>
          <w:rFonts w:hint="eastAsia" w:ascii="黑体" w:hAnsi="宋体" w:eastAsia="黑体"/>
          <w:bCs/>
          <w:sz w:val="28"/>
          <w:szCs w:val="28"/>
        </w:rPr>
        <w:t>（二）报价文件：</w:t>
      </w:r>
      <w:bookmarkEnd w:id="87"/>
    </w:p>
    <w:bookmarkEnd w:id="80"/>
    <w:p>
      <w:pPr>
        <w:spacing w:before="156" w:beforeLines="50" w:after="156" w:afterLines="50"/>
        <w:jc w:val="center"/>
        <w:rPr>
          <w:rFonts w:hint="eastAsia" w:ascii="黑体" w:eastAsia="黑体"/>
          <w:bCs/>
          <w:sz w:val="28"/>
          <w:szCs w:val="28"/>
        </w:rPr>
      </w:pPr>
      <w:bookmarkStart w:id="88" w:name="OLE_LINK4"/>
      <w:bookmarkStart w:id="89" w:name="_Toc32423"/>
      <w:bookmarkStart w:id="90" w:name="OLE_LINK32"/>
      <w:r>
        <w:rPr>
          <w:rFonts w:hint="eastAsia" w:ascii="黑体" w:eastAsia="黑体"/>
          <w:bCs/>
          <w:sz w:val="28"/>
          <w:szCs w:val="28"/>
        </w:rPr>
        <w:t>开标一览表</w:t>
      </w:r>
      <w:bookmarkEnd w:id="88"/>
      <w:bookmarkEnd w:id="89"/>
    </w:p>
    <w:tbl>
      <w:tblPr>
        <w:tblStyle w:val="7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3260"/>
        <w:gridCol w:w="992"/>
        <w:gridCol w:w="1134"/>
        <w:gridCol w:w="1365"/>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1" w:hRule="atLeast"/>
          <w:jc w:val="center"/>
        </w:trPr>
        <w:tc>
          <w:tcPr>
            <w:tcW w:w="959" w:type="dxa"/>
            <w:noWrap w:val="0"/>
            <w:vAlign w:val="center"/>
          </w:tcPr>
          <w:p>
            <w:pPr>
              <w:spacing w:line="360" w:lineRule="auto"/>
              <w:jc w:val="center"/>
              <w:rPr>
                <w:rFonts w:ascii="宋体" w:hAnsi="宋体"/>
                <w:sz w:val="24"/>
                <w:szCs w:val="24"/>
              </w:rPr>
            </w:pPr>
            <w:r>
              <w:rPr>
                <w:rFonts w:hint="eastAsia" w:ascii="宋体" w:hAnsi="宋体"/>
                <w:sz w:val="24"/>
                <w:szCs w:val="24"/>
              </w:rPr>
              <w:t>序号</w:t>
            </w:r>
          </w:p>
        </w:tc>
        <w:tc>
          <w:tcPr>
            <w:tcW w:w="3260" w:type="dxa"/>
            <w:noWrap w:val="0"/>
            <w:vAlign w:val="center"/>
          </w:tcPr>
          <w:p>
            <w:pPr>
              <w:spacing w:line="360" w:lineRule="auto"/>
              <w:jc w:val="center"/>
              <w:rPr>
                <w:rFonts w:ascii="宋体" w:hAnsi="宋体"/>
                <w:sz w:val="24"/>
                <w:szCs w:val="24"/>
              </w:rPr>
            </w:pPr>
            <w:r>
              <w:rPr>
                <w:rFonts w:hint="eastAsia" w:ascii="宋体" w:hAnsi="宋体"/>
                <w:sz w:val="24"/>
                <w:szCs w:val="24"/>
              </w:rPr>
              <w:t>项目名称</w:t>
            </w:r>
          </w:p>
        </w:tc>
        <w:tc>
          <w:tcPr>
            <w:tcW w:w="992" w:type="dxa"/>
            <w:tcBorders>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单位</w:t>
            </w:r>
          </w:p>
        </w:tc>
        <w:tc>
          <w:tcPr>
            <w:tcW w:w="1134"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数量</w:t>
            </w:r>
          </w:p>
        </w:tc>
        <w:tc>
          <w:tcPr>
            <w:tcW w:w="1365"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单价</w:t>
            </w:r>
          </w:p>
        </w:tc>
        <w:tc>
          <w:tcPr>
            <w:tcW w:w="1470" w:type="dxa"/>
            <w:tcBorders>
              <w:lef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959" w:type="dxa"/>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3260" w:type="dxa"/>
            <w:noWrap w:val="0"/>
            <w:vAlign w:val="center"/>
          </w:tcPr>
          <w:p>
            <w:pPr>
              <w:jc w:val="center"/>
              <w:rPr>
                <w:rFonts w:ascii="宋体" w:hAnsi="宋体"/>
                <w:sz w:val="24"/>
                <w:szCs w:val="24"/>
              </w:rPr>
            </w:pPr>
            <w:r>
              <w:rPr>
                <w:rFonts w:hint="eastAsia" w:ascii="宋体"/>
                <w:sz w:val="24"/>
              </w:rPr>
              <w:t>氿滨水厂西厂区南出厂供水管道工程穿越S48高速公路沉降观测</w:t>
            </w:r>
          </w:p>
        </w:tc>
        <w:tc>
          <w:tcPr>
            <w:tcW w:w="992" w:type="dxa"/>
            <w:tcBorders>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项</w:t>
            </w:r>
          </w:p>
        </w:tc>
        <w:tc>
          <w:tcPr>
            <w:tcW w:w="1134"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1365" w:type="dxa"/>
            <w:tcBorders>
              <w:left w:val="single" w:color="auto" w:sz="4" w:space="0"/>
              <w:right w:val="single" w:color="auto" w:sz="4" w:space="0"/>
            </w:tcBorders>
            <w:noWrap w:val="0"/>
            <w:vAlign w:val="center"/>
          </w:tcPr>
          <w:p>
            <w:pPr>
              <w:spacing w:line="360" w:lineRule="auto"/>
              <w:rPr>
                <w:rFonts w:ascii="宋体" w:hAnsi="宋体"/>
                <w:sz w:val="24"/>
                <w:szCs w:val="24"/>
              </w:rPr>
            </w:pPr>
          </w:p>
        </w:tc>
        <w:tc>
          <w:tcPr>
            <w:tcW w:w="1470" w:type="dxa"/>
            <w:tcBorders>
              <w:left w:val="single" w:color="auto" w:sz="4" w:space="0"/>
            </w:tcBorders>
            <w:noWrap w:val="0"/>
            <w:vAlign w:val="center"/>
          </w:tcPr>
          <w:p>
            <w:pPr>
              <w:spacing w:line="360" w:lineRule="auto"/>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959" w:type="dxa"/>
            <w:noWrap w:val="0"/>
            <w:vAlign w:val="center"/>
          </w:tcPr>
          <w:p>
            <w:pPr>
              <w:spacing w:line="360" w:lineRule="auto"/>
              <w:jc w:val="center"/>
              <w:rPr>
                <w:rFonts w:hint="eastAsia" w:ascii="宋体" w:hAnsi="宋体"/>
                <w:sz w:val="24"/>
                <w:szCs w:val="24"/>
              </w:rPr>
            </w:pPr>
            <w:r>
              <w:rPr>
                <w:rFonts w:hint="eastAsia" w:ascii="宋体" w:hAnsi="宋体"/>
                <w:sz w:val="24"/>
                <w:szCs w:val="24"/>
              </w:rPr>
              <w:t>2</w:t>
            </w:r>
          </w:p>
        </w:tc>
        <w:tc>
          <w:tcPr>
            <w:tcW w:w="3260" w:type="dxa"/>
            <w:noWrap w:val="0"/>
            <w:vAlign w:val="center"/>
          </w:tcPr>
          <w:p>
            <w:pPr>
              <w:jc w:val="center"/>
              <w:rPr>
                <w:rFonts w:hint="eastAsia" w:ascii="宋体"/>
                <w:sz w:val="24"/>
              </w:rPr>
            </w:pPr>
            <w:r>
              <w:rPr>
                <w:rFonts w:hint="eastAsia" w:ascii="宋体"/>
                <w:sz w:val="24"/>
              </w:rPr>
              <w:t>X306（屺亭-高塍）DN600工业水管道改造工程穿越S48高速公路沉降观测</w:t>
            </w:r>
          </w:p>
        </w:tc>
        <w:tc>
          <w:tcPr>
            <w:tcW w:w="992" w:type="dxa"/>
            <w:tcBorders>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项</w:t>
            </w:r>
          </w:p>
        </w:tc>
        <w:tc>
          <w:tcPr>
            <w:tcW w:w="1134"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1365" w:type="dxa"/>
            <w:tcBorders>
              <w:left w:val="single" w:color="auto" w:sz="4" w:space="0"/>
              <w:right w:val="single" w:color="auto" w:sz="4" w:space="0"/>
            </w:tcBorders>
            <w:noWrap w:val="0"/>
            <w:vAlign w:val="center"/>
          </w:tcPr>
          <w:p>
            <w:pPr>
              <w:spacing w:line="360" w:lineRule="auto"/>
              <w:rPr>
                <w:rFonts w:ascii="宋体" w:hAnsi="宋体"/>
                <w:sz w:val="24"/>
                <w:szCs w:val="24"/>
              </w:rPr>
            </w:pPr>
          </w:p>
        </w:tc>
        <w:tc>
          <w:tcPr>
            <w:tcW w:w="1470" w:type="dxa"/>
            <w:tcBorders>
              <w:left w:val="single" w:color="auto" w:sz="4" w:space="0"/>
            </w:tcBorders>
            <w:noWrap w:val="0"/>
            <w:vAlign w:val="center"/>
          </w:tcPr>
          <w:p>
            <w:pPr>
              <w:spacing w:line="360" w:lineRule="auto"/>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7" w:hRule="atLeast"/>
          <w:jc w:val="center"/>
        </w:trPr>
        <w:tc>
          <w:tcPr>
            <w:tcW w:w="4219" w:type="dxa"/>
            <w:gridSpan w:val="2"/>
            <w:vMerge w:val="restart"/>
            <w:noWrap w:val="0"/>
            <w:vAlign w:val="center"/>
          </w:tcPr>
          <w:p>
            <w:pPr>
              <w:spacing w:line="360" w:lineRule="auto"/>
              <w:jc w:val="center"/>
              <w:rPr>
                <w:rFonts w:hint="eastAsia" w:ascii="宋体" w:hAnsi="宋体"/>
                <w:sz w:val="24"/>
                <w:szCs w:val="24"/>
              </w:rPr>
            </w:pPr>
            <w:r>
              <w:rPr>
                <w:rFonts w:hint="eastAsia" w:ascii="宋体" w:hAnsi="宋体"/>
                <w:sz w:val="24"/>
                <w:szCs w:val="24"/>
              </w:rPr>
              <w:t>合计</w:t>
            </w:r>
          </w:p>
        </w:tc>
        <w:tc>
          <w:tcPr>
            <w:tcW w:w="4961" w:type="dxa"/>
            <w:gridSpan w:val="4"/>
            <w:noWrap w:val="0"/>
            <w:vAlign w:val="center"/>
          </w:tcPr>
          <w:p>
            <w:pPr>
              <w:spacing w:line="360" w:lineRule="auto"/>
              <w:rPr>
                <w:rFonts w:ascii="宋体" w:hAnsi="宋体"/>
                <w:sz w:val="24"/>
                <w:szCs w:val="24"/>
              </w:rPr>
            </w:pPr>
            <w:r>
              <w:rPr>
                <w:rFonts w:hint="eastAsia" w:ascii="宋体" w:hAnsi="宋体"/>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7" w:hRule="atLeast"/>
          <w:jc w:val="center"/>
        </w:trPr>
        <w:tc>
          <w:tcPr>
            <w:tcW w:w="4219" w:type="dxa"/>
            <w:gridSpan w:val="2"/>
            <w:vMerge w:val="continue"/>
            <w:noWrap w:val="0"/>
            <w:vAlign w:val="center"/>
          </w:tcPr>
          <w:p>
            <w:pPr>
              <w:spacing w:line="360" w:lineRule="auto"/>
              <w:jc w:val="center"/>
              <w:rPr>
                <w:rFonts w:hint="eastAsia" w:ascii="宋体" w:hAnsi="宋体"/>
                <w:sz w:val="24"/>
                <w:szCs w:val="24"/>
              </w:rPr>
            </w:pPr>
          </w:p>
        </w:tc>
        <w:tc>
          <w:tcPr>
            <w:tcW w:w="4961" w:type="dxa"/>
            <w:gridSpan w:val="4"/>
            <w:noWrap w:val="0"/>
            <w:vAlign w:val="center"/>
          </w:tcPr>
          <w:p>
            <w:pPr>
              <w:spacing w:line="360" w:lineRule="auto"/>
              <w:rPr>
                <w:rFonts w:ascii="宋体" w:hAnsi="宋体"/>
                <w:sz w:val="24"/>
                <w:szCs w:val="24"/>
              </w:rPr>
            </w:pPr>
            <w:r>
              <w:rPr>
                <w:rFonts w:hint="eastAsia" w:ascii="宋体" w:hAnsi="宋体"/>
                <w:sz w:val="24"/>
                <w:szCs w:val="24"/>
              </w:rPr>
              <w:t>（大写）</w:t>
            </w:r>
          </w:p>
        </w:tc>
      </w:tr>
    </w:tbl>
    <w:p>
      <w:pPr>
        <w:ind w:left="1"/>
        <w:jc w:val="center"/>
        <w:rPr>
          <w:rFonts w:hint="eastAsia" w:ascii="宋体" w:hAnsi="宋体"/>
          <w:bCs/>
          <w:sz w:val="24"/>
          <w:lang w:val="zh-CN"/>
        </w:rPr>
      </w:pPr>
    </w:p>
    <w:p>
      <w:pPr>
        <w:ind w:left="1"/>
        <w:jc w:val="center"/>
        <w:rPr>
          <w:rFonts w:hint="eastAsia" w:ascii="宋体" w:hAnsi="宋体"/>
          <w:sz w:val="24"/>
          <w:szCs w:val="24"/>
        </w:rPr>
      </w:pPr>
      <w:r>
        <w:rPr>
          <w:rFonts w:hint="eastAsia" w:ascii="宋体" w:hAnsi="宋体"/>
          <w:bCs/>
          <w:sz w:val="24"/>
          <w:lang w:val="zh-CN"/>
        </w:rPr>
        <w:t xml:space="preserve">投标人签名盖章：                                       </w:t>
      </w:r>
      <w:r>
        <w:rPr>
          <w:rFonts w:hint="eastAsia" w:ascii="宋体" w:hAnsi="宋体"/>
          <w:sz w:val="24"/>
          <w:szCs w:val="24"/>
        </w:rPr>
        <w:t>日期：</w:t>
      </w:r>
      <w:bookmarkEnd w:id="90"/>
      <w:bookmarkStart w:id="91" w:name="OLE_LINK147"/>
    </w:p>
    <w:p>
      <w:pPr>
        <w:ind w:left="1"/>
        <w:jc w:val="center"/>
        <w:rPr>
          <w:rFonts w:ascii="宋体" w:hAnsi="宋体"/>
          <w:bCs/>
          <w:sz w:val="24"/>
        </w:rPr>
      </w:pPr>
    </w:p>
    <w:bookmarkEnd w:id="91"/>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25"/>
        </w:numPr>
        <w:ind w:firstLine="420" w:firstLineChars="20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numPr>
          <w:ilvl w:val="0"/>
          <w:numId w:val="25"/>
        </w:numPr>
        <w:ind w:firstLine="420" w:firstLineChars="200"/>
        <w:jc w:val="left"/>
        <w:rPr>
          <w:rFonts w:hint="eastAsia" w:ascii="宋体" w:hAnsi="宋体"/>
          <w:szCs w:val="21"/>
          <w:lang w:val="zh-CN"/>
        </w:rPr>
      </w:pPr>
      <w:r>
        <w:rPr>
          <w:rFonts w:hint="eastAsia" w:ascii="宋体" w:hAnsi="宋体"/>
          <w:szCs w:val="21"/>
          <w:lang w:val="zh-CN"/>
        </w:rPr>
        <w:t>每一项货物或服务仅接受一个价格，投标文件应对《</w:t>
      </w:r>
      <w:bookmarkStart w:id="92" w:name="OLE_LINK15"/>
      <w:r>
        <w:rPr>
          <w:rFonts w:hint="eastAsia" w:ascii="宋体" w:hAnsi="宋体"/>
          <w:szCs w:val="21"/>
          <w:lang w:val="zh-CN"/>
        </w:rPr>
        <w:t>开标一览表</w:t>
      </w:r>
      <w:bookmarkEnd w:id="92"/>
      <w:r>
        <w:rPr>
          <w:rFonts w:hint="eastAsia" w:ascii="宋体" w:hAnsi="宋体"/>
          <w:szCs w:val="21"/>
          <w:lang w:val="zh-CN"/>
        </w:rPr>
        <w:t>》中的全部货物或服务进行投标，只投其中部分货物或服务者，投标无效。</w:t>
      </w: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rPr>
          <w:rFonts w:ascii="黑体" w:hAnsi="宋体" w:eastAsia="黑体"/>
          <w:bCs/>
          <w:sz w:val="28"/>
          <w:szCs w:val="28"/>
        </w:rPr>
      </w:pPr>
      <w:bookmarkStart w:id="93" w:name="OLE_LINK151"/>
      <w:bookmarkStart w:id="94" w:name="_Toc8000"/>
      <w:r>
        <w:rPr>
          <w:rFonts w:hint="eastAsia" w:ascii="黑体" w:hAnsi="宋体" w:eastAsia="黑体"/>
          <w:bCs/>
          <w:sz w:val="28"/>
          <w:szCs w:val="28"/>
        </w:rPr>
        <w:t>（三）资格证明文件</w:t>
      </w:r>
      <w:bookmarkEnd w:id="93"/>
    </w:p>
    <w:p>
      <w:pPr>
        <w:ind w:firstLine="480" w:firstLineChars="200"/>
        <w:rPr>
          <w:rFonts w:ascii="黑体" w:eastAsia="黑体"/>
          <w:bCs/>
          <w:sz w:val="36"/>
        </w:rPr>
      </w:pPr>
      <w:r>
        <w:rPr>
          <w:rFonts w:hint="eastAsia" w:ascii="黑体" w:hAnsi="宋体" w:eastAsia="黑体"/>
          <w:bCs/>
          <w:sz w:val="24"/>
          <w:szCs w:val="24"/>
        </w:rPr>
        <w:t>1、关于资格的声明函（格式）：</w:t>
      </w:r>
      <w:bookmarkEnd w:id="94"/>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YXGYJT202110001</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宜兴水务集团有限公司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YXGYJT202110001</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YXGYJT202110001</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宜兴水务集团有限公司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73"/>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YXGYJT202110001</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投标人法定代表人授权委托书原件及被授权代表的身份证复印件（法定代表人亲自参加的除外）；</w:t>
      </w:r>
    </w:p>
    <w:p>
      <w:pPr>
        <w:tabs>
          <w:tab w:val="left" w:pos="0"/>
          <w:tab w:val="left" w:pos="255"/>
        </w:tabs>
        <w:spacing w:line="360" w:lineRule="auto"/>
        <w:ind w:left="508"/>
        <w:rPr>
          <w:rFonts w:hint="eastAsia" w:ascii="宋体" w:hAnsi="宋体"/>
          <w:b/>
          <w:bCs/>
          <w:sz w:val="24"/>
          <w:szCs w:val="24"/>
          <w:lang w:val="zh-CN"/>
        </w:rPr>
      </w:pPr>
      <w:r>
        <w:rPr>
          <w:rFonts w:hint="eastAsia" w:ascii="宋体" w:hAnsi="宋体"/>
          <w:b/>
          <w:bCs/>
          <w:sz w:val="24"/>
          <w:szCs w:val="24"/>
          <w:lang w:val="zh-CN"/>
        </w:rPr>
        <w:t>2、参加投标人员身份证原件；</w:t>
      </w:r>
    </w:p>
    <w:p>
      <w:pPr>
        <w:tabs>
          <w:tab w:val="left" w:pos="0"/>
          <w:tab w:val="left" w:pos="255"/>
        </w:tabs>
        <w:spacing w:line="360" w:lineRule="auto"/>
        <w:ind w:firstLine="504" w:firstLineChars="210"/>
        <w:rPr>
          <w:rFonts w:ascii="宋体" w:hAnsi="宋体"/>
          <w:bCs/>
          <w:sz w:val="24"/>
          <w:szCs w:val="24"/>
          <w:lang w:val="zh-CN"/>
        </w:rPr>
      </w:pPr>
      <w:r>
        <w:rPr>
          <w:rFonts w:hint="eastAsia" w:ascii="宋体" w:hAnsi="宋体"/>
          <w:bCs/>
          <w:sz w:val="24"/>
          <w:szCs w:val="24"/>
          <w:lang w:val="zh-CN"/>
        </w:rPr>
        <w:t>3、投标人具有独立承担民事责任能力的供应商营业执照或法人（登记）证书复印件；</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4、投标人依法缴纳近十二个月中任意一个月份税收的相关材料（提供相关主管部门证明或银行代扣证明）复印件；</w:t>
      </w:r>
    </w:p>
    <w:p>
      <w:pPr>
        <w:tabs>
          <w:tab w:val="left" w:pos="420"/>
          <w:tab w:val="left" w:pos="945"/>
          <w:tab w:val="left" w:pos="1155"/>
        </w:tabs>
        <w:spacing w:line="360" w:lineRule="auto"/>
        <w:ind w:firstLine="504" w:firstLineChars="210"/>
        <w:rPr>
          <w:rFonts w:hint="eastAsia" w:ascii="宋体" w:hAnsi="宋体"/>
          <w:sz w:val="24"/>
          <w:szCs w:val="24"/>
        </w:rPr>
      </w:pPr>
      <w:r>
        <w:rPr>
          <w:rFonts w:hint="eastAsia" w:ascii="宋体" w:hAnsi="宋体"/>
          <w:sz w:val="24"/>
          <w:szCs w:val="24"/>
        </w:rPr>
        <w:t>5、投标人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w:t>
      </w:r>
      <w:r>
        <w:rPr>
          <w:rFonts w:hint="eastAsia" w:ascii="宋体" w:hAnsi="宋体"/>
          <w:sz w:val="24"/>
          <w:szCs w:val="24"/>
        </w:rPr>
        <w:t>关主管部门证明或银行代扣证明）复印件；</w:t>
      </w:r>
    </w:p>
    <w:p>
      <w:pPr>
        <w:tabs>
          <w:tab w:val="left" w:pos="420"/>
          <w:tab w:val="left" w:pos="945"/>
          <w:tab w:val="left" w:pos="1155"/>
        </w:tabs>
        <w:spacing w:line="360" w:lineRule="auto"/>
        <w:ind w:firstLine="504" w:firstLineChars="210"/>
        <w:rPr>
          <w:rFonts w:hint="eastAsia" w:ascii="宋体" w:hAnsi="宋体"/>
          <w:sz w:val="24"/>
          <w:szCs w:val="24"/>
        </w:rPr>
      </w:pPr>
      <w:r>
        <w:rPr>
          <w:rFonts w:hint="eastAsia" w:ascii="宋体" w:hAnsi="宋体"/>
          <w:sz w:val="24"/>
          <w:szCs w:val="24"/>
        </w:rPr>
        <w:t>6、保证金缴纳证明复印件；</w:t>
      </w:r>
    </w:p>
    <w:p>
      <w:pPr>
        <w:tabs>
          <w:tab w:val="left" w:pos="420"/>
          <w:tab w:val="left" w:pos="945"/>
          <w:tab w:val="left" w:pos="1155"/>
        </w:tabs>
        <w:spacing w:line="360" w:lineRule="auto"/>
        <w:ind w:firstLine="504" w:firstLineChars="210"/>
        <w:rPr>
          <w:rFonts w:hint="eastAsia" w:ascii="宋体" w:hAnsi="宋体"/>
          <w:sz w:val="24"/>
          <w:szCs w:val="24"/>
        </w:rPr>
      </w:pPr>
      <w:r>
        <w:rPr>
          <w:rFonts w:hint="eastAsia" w:ascii="宋体" w:hAnsi="宋体"/>
          <w:sz w:val="24"/>
          <w:szCs w:val="24"/>
        </w:rPr>
        <w:t>7、投标人具有勘察甲级、测绘乙级及以上资质，提供原件；</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8、投标人具有同类沉降监测项目（涉及高速公路）业绩一份，提供原件。</w:t>
      </w:r>
    </w:p>
    <w:p>
      <w:pPr>
        <w:tabs>
          <w:tab w:val="left" w:pos="420"/>
          <w:tab w:val="left" w:pos="945"/>
          <w:tab w:val="left" w:pos="1155"/>
        </w:tabs>
        <w:spacing w:line="360" w:lineRule="auto"/>
        <w:ind w:firstLine="504" w:firstLineChars="210"/>
        <w:rPr>
          <w:rFonts w:ascii="宋体" w:hAnsi="宋体"/>
          <w:sz w:val="24"/>
          <w:szCs w:val="24"/>
        </w:rPr>
      </w:pPr>
    </w:p>
    <w:p>
      <w:pPr>
        <w:tabs>
          <w:tab w:val="left" w:pos="142"/>
          <w:tab w:val="left" w:pos="945"/>
          <w:tab w:val="left" w:pos="1155"/>
        </w:tabs>
        <w:spacing w:line="360" w:lineRule="auto"/>
        <w:ind w:firstLine="424" w:firstLineChars="177"/>
        <w:rPr>
          <w:rFonts w:hint="eastAsia" w:ascii="宋体" w:hAnsi="宋体" w:cs="宋体"/>
          <w:sz w:val="24"/>
          <w:szCs w:val="24"/>
        </w:rPr>
      </w:pP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95"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YXGYJT202110001</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5"/>
    </w:p>
    <w:p>
      <w:pPr>
        <w:tabs>
          <w:tab w:val="left" w:pos="255"/>
        </w:tabs>
        <w:spacing w:line="360" w:lineRule="auto"/>
        <w:jc w:val="left"/>
        <w:rPr>
          <w:rFonts w:ascii="宋体" w:hAnsi="宋体"/>
          <w:sz w:val="24"/>
          <w:szCs w:val="21"/>
        </w:rPr>
      </w:pPr>
    </w:p>
    <w:p>
      <w:pPr>
        <w:rPr>
          <w:rFonts w:hint="eastAsia" w:ascii="宋体" w:hAnsi="宋体"/>
          <w:b/>
          <w:bCs/>
          <w:sz w:val="36"/>
          <w:szCs w:val="36"/>
        </w:rPr>
      </w:pPr>
    </w:p>
    <w:p>
      <w:pPr>
        <w:jc w:val="left"/>
        <w:rPr>
          <w:rFonts w:hint="eastAsia" w:ascii="宋体" w:hAnsi="宋体"/>
          <w:b/>
          <w:bCs/>
          <w:sz w:val="36"/>
          <w:szCs w:val="36"/>
        </w:rPr>
      </w:pPr>
    </w:p>
    <w:p>
      <w:pPr>
        <w:jc w:val="left"/>
        <w:rPr>
          <w:rFonts w:hint="eastAsia" w:ascii="宋体" w:hAnsi="宋体"/>
          <w:b/>
          <w:bCs/>
          <w:sz w:val="18"/>
          <w:szCs w:val="18"/>
        </w:rPr>
      </w:pPr>
    </w:p>
    <w:p>
      <w:pPr>
        <w:jc w:val="left"/>
        <w:rPr>
          <w:rFonts w:hint="eastAsia" w:ascii="黑体" w:eastAsia="黑体"/>
          <w:b/>
          <w:sz w:val="44"/>
          <w:szCs w:val="44"/>
        </w:rPr>
      </w:pPr>
      <w:r>
        <w:rPr>
          <w:rFonts w:hint="eastAsia" w:ascii="黑体" w:hAnsi="宋体" w:eastAsia="黑体"/>
          <w:bCs/>
          <w:color w:val="000000"/>
          <w:sz w:val="24"/>
          <w:szCs w:val="24"/>
          <w:lang w:val="zh-CN"/>
        </w:rPr>
        <w:t>（五）供应商为完成本次采购项目所需提供的其他资料</w:t>
      </w:r>
      <w:r>
        <w:rPr>
          <w:rFonts w:hint="eastAsia" w:ascii="黑体" w:hAnsi="宋体" w:eastAsia="黑体"/>
          <w:bCs/>
          <w:color w:val="000000"/>
          <w:sz w:val="24"/>
          <w:szCs w:val="24"/>
        </w:rPr>
        <w:t>：</w:t>
      </w: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ascii="宋体" w:hAnsi="宋体"/>
          <w:b/>
          <w:bCs/>
          <w:sz w:val="36"/>
          <w:szCs w:val="36"/>
        </w:rPr>
      </w:pPr>
    </w:p>
    <w:p>
      <w:pPr>
        <w:jc w:val="center"/>
        <w:rPr>
          <w:rFonts w:hint="eastAsia" w:ascii="宋体" w:hAnsi="宋体"/>
          <w:b/>
          <w:bCs/>
          <w:sz w:val="44"/>
          <w:szCs w:val="44"/>
        </w:rPr>
      </w:pPr>
      <w:r>
        <w:rPr>
          <w:rFonts w:hint="eastAsia" w:ascii="宋体" w:hAnsi="宋体"/>
          <w:b/>
          <w:bCs/>
          <w:sz w:val="44"/>
          <w:szCs w:val="44"/>
        </w:rPr>
        <w:t>宜兴水务集团有限公司</w:t>
      </w:r>
    </w:p>
    <w:p>
      <w:pPr>
        <w:jc w:val="center"/>
        <w:rPr>
          <w:rFonts w:hint="eastAsia" w:ascii="宋体" w:hAnsi="宋体"/>
          <w:bCs/>
          <w:sz w:val="36"/>
          <w:szCs w:val="36"/>
        </w:rPr>
      </w:pPr>
      <w:r>
        <w:rPr>
          <w:rFonts w:hint="eastAsia" w:ascii="宋体" w:hAnsi="宋体"/>
          <w:bCs/>
          <w:sz w:val="36"/>
          <w:szCs w:val="36"/>
        </w:rPr>
        <w:t>供水管道工程涉路（高速）沉降监测</w:t>
      </w:r>
    </w:p>
    <w:p>
      <w:pPr>
        <w:jc w:val="center"/>
        <w:rPr>
          <w:rFonts w:hint="eastAsia" w:ascii="宋体" w:hAnsi="宋体"/>
          <w:bCs/>
          <w:sz w:val="36"/>
          <w:szCs w:val="36"/>
        </w:rPr>
      </w:pPr>
      <w:r>
        <w:rPr>
          <w:rFonts w:hint="eastAsia" w:ascii="宋体" w:hAnsi="宋体"/>
          <w:bCs/>
          <w:sz w:val="36"/>
          <w:szCs w:val="36"/>
        </w:rPr>
        <w:t>招标公告（第三次）</w:t>
      </w: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因工作需要，现组织宜兴水务集团有限公司对供水管道工程涉路（高速）沉降监测进行招标。现欢迎符合相关条件的供应商参加投标。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YXGYJT202110001</w:t>
      </w:r>
    </w:p>
    <w:p>
      <w:pPr>
        <w:jc w:val="left"/>
        <w:rPr>
          <w:rFonts w:ascii="仿宋_GB2312" w:eastAsia="仿宋_GB2312"/>
          <w:sz w:val="28"/>
          <w:szCs w:val="28"/>
        </w:rPr>
      </w:pPr>
      <w:r>
        <w:rPr>
          <w:rFonts w:hint="eastAsia" w:ascii="仿宋_GB2312" w:eastAsia="仿宋_GB2312"/>
          <w:sz w:val="28"/>
          <w:szCs w:val="28"/>
        </w:rPr>
        <w:t xml:space="preserve">    ②项目名称：供水管道工程涉路（高速）沉降监测采购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111"/>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29.8万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111"/>
        <w:ind w:firstLine="560" w:firstLineChars="200"/>
        <w:rPr>
          <w:rFonts w:ascii="仿宋_GB2312" w:eastAsia="仿宋_GB2312"/>
          <w:sz w:val="28"/>
          <w:szCs w:val="28"/>
        </w:rPr>
      </w:pPr>
      <w:r>
        <w:rPr>
          <w:rFonts w:hint="eastAsia" w:ascii="仿宋_GB2312" w:eastAsia="仿宋_GB2312"/>
          <w:sz w:val="28"/>
          <w:szCs w:val="28"/>
        </w:rPr>
        <w:t>①具有独立承担民事责任的能力；</w:t>
      </w:r>
    </w:p>
    <w:p>
      <w:pPr>
        <w:pStyle w:val="111"/>
        <w:ind w:firstLine="560" w:firstLineChars="200"/>
        <w:rPr>
          <w:rFonts w:ascii="仿宋_GB2312" w:eastAsia="仿宋_GB2312"/>
          <w:sz w:val="28"/>
          <w:szCs w:val="28"/>
        </w:rPr>
      </w:pPr>
      <w:r>
        <w:rPr>
          <w:rFonts w:hint="eastAsia" w:ascii="仿宋_GB2312" w:eastAsia="仿宋_GB2312"/>
          <w:sz w:val="28"/>
          <w:szCs w:val="28"/>
        </w:rPr>
        <w:t>②有依法缴纳税收和社会保障资金的良好记录；</w:t>
      </w:r>
    </w:p>
    <w:p>
      <w:pPr>
        <w:pStyle w:val="111"/>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③具有履行合同所必需的设备和专业技术能力；</w:t>
      </w:r>
    </w:p>
    <w:p>
      <w:pPr>
        <w:pStyle w:val="111"/>
        <w:ind w:firstLine="560" w:firstLineChars="200"/>
        <w:rPr>
          <w:rFonts w:ascii="仿宋_GB2312" w:eastAsia="仿宋_GB2312"/>
          <w:sz w:val="28"/>
          <w:szCs w:val="28"/>
        </w:rPr>
      </w:pPr>
      <w:r>
        <w:rPr>
          <w:rFonts w:hint="eastAsia" w:ascii="仿宋_GB2312" w:eastAsia="仿宋_GB2312"/>
          <w:sz w:val="28"/>
          <w:szCs w:val="28"/>
        </w:rPr>
        <w:t>④不接受联合体，不接受成交后分包；</w:t>
      </w:r>
    </w:p>
    <w:p>
      <w:pPr>
        <w:pStyle w:val="111"/>
        <w:ind w:firstLine="560" w:firstLineChars="200"/>
        <w:rPr>
          <w:rFonts w:hint="eastAsia" w:ascii="仿宋_GB2312" w:eastAsia="仿宋_GB2312"/>
          <w:sz w:val="28"/>
          <w:szCs w:val="28"/>
        </w:rPr>
      </w:pPr>
      <w:r>
        <w:rPr>
          <w:rFonts w:hint="eastAsia" w:ascii="仿宋_GB2312" w:eastAsia="仿宋_GB2312"/>
          <w:sz w:val="28"/>
          <w:szCs w:val="28"/>
        </w:rPr>
        <w:t>⑤无不良信用记录；</w:t>
      </w:r>
    </w:p>
    <w:p>
      <w:pPr>
        <w:pStyle w:val="111"/>
        <w:ind w:firstLine="560" w:firstLineChars="200"/>
        <w:rPr>
          <w:rFonts w:hint="eastAsia" w:ascii="仿宋_GB2312" w:eastAsia="仿宋_GB2312"/>
          <w:sz w:val="28"/>
          <w:szCs w:val="28"/>
        </w:rPr>
      </w:pPr>
      <w:r>
        <w:rPr>
          <w:rFonts w:hint="eastAsia" w:ascii="仿宋_GB2312" w:eastAsia="仿宋_GB2312"/>
          <w:sz w:val="28"/>
          <w:szCs w:val="28"/>
        </w:rPr>
        <w:t>⑥具有勘察甲级、测绘乙级及以上资质，提供原件。</w:t>
      </w:r>
    </w:p>
    <w:p>
      <w:pPr>
        <w:pStyle w:val="111"/>
        <w:ind w:firstLine="560" w:firstLineChars="200"/>
        <w:rPr>
          <w:rFonts w:hint="eastAsia" w:ascii="仿宋_GB2312" w:eastAsia="仿宋_GB2312"/>
          <w:sz w:val="28"/>
          <w:szCs w:val="28"/>
        </w:rPr>
      </w:pPr>
      <w:r>
        <w:rPr>
          <w:rFonts w:hint="eastAsia" w:ascii="仿宋_GB2312" w:eastAsia="仿宋_GB2312"/>
          <w:sz w:val="28"/>
          <w:szCs w:val="28"/>
        </w:rPr>
        <w:t>⑦具有同类沉降监测项目（涉及高速公路）业绩一份，提供原件。</w:t>
      </w:r>
    </w:p>
    <w:p>
      <w:pPr>
        <w:pStyle w:val="111"/>
        <w:rPr>
          <w:rFonts w:ascii="仿宋_GB2312" w:eastAsia="仿宋_GB2312"/>
          <w:b/>
          <w:sz w:val="28"/>
          <w:szCs w:val="28"/>
        </w:rPr>
      </w:pPr>
      <w:r>
        <w:rPr>
          <w:rFonts w:hint="eastAsia" w:ascii="仿宋_GB2312" w:eastAsia="仿宋_GB2312"/>
          <w:b/>
          <w:sz w:val="28"/>
          <w:szCs w:val="28"/>
        </w:rPr>
        <w:t xml:space="preserve">    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2021年11月11日</w:t>
      </w:r>
      <w:r>
        <w:rPr>
          <w:rFonts w:hint="eastAsia" w:ascii="仿宋_GB2312" w:eastAsia="仿宋_GB2312"/>
          <w:sz w:val="28"/>
          <w:szCs w:val="28"/>
        </w:rPr>
        <w:t>14:00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pStyle w:val="73"/>
        <w:spacing w:before="78" w:after="46"/>
        <w:ind w:firstLine="554" w:firstLineChars="198"/>
        <w:rPr>
          <w:rFonts w:ascii="仿宋" w:hAnsi="仿宋" w:eastAsia="仿宋"/>
          <w:b/>
          <w:sz w:val="28"/>
          <w:szCs w:val="28"/>
        </w:rPr>
      </w:pPr>
      <w:r>
        <w:rPr>
          <w:rFonts w:hint="eastAsia" w:ascii="仿宋_GB2312" w:eastAsia="仿宋_GB2312"/>
          <w:sz w:val="28"/>
          <w:szCs w:val="28"/>
        </w:rPr>
        <w:t>3、地点：</w:t>
      </w:r>
      <w:r>
        <w:rPr>
          <w:rFonts w:hint="eastAsia" w:ascii="仿宋" w:hAnsi="仿宋" w:eastAsia="仿宋"/>
          <w:b/>
          <w:sz w:val="28"/>
          <w:szCs w:val="28"/>
        </w:rPr>
        <w:t>供应商须递交符合招标文件要求的电子标书，于开标前30分钟发送到指定邮箱，由评委在开标时间截止后现场开启,邮件主题、标题中需标明所投标段名称。（标书必须每页加盖单位公章并由法人签字或盖章）邮箱为：yxgycyjtztb@126.com</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2021年11月4日-2021年11月7日。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96" w:name="OLE_LINK29"/>
            <w:bookmarkEnd w:id="96"/>
            <w:r>
              <w:rPr>
                <w:rFonts w:hint="eastAsia" w:ascii="仿宋_GB2312" w:eastAsia="仿宋_GB2312"/>
                <w:sz w:val="28"/>
                <w:szCs w:val="28"/>
              </w:rPr>
              <w:t>采购人：</w:t>
            </w:r>
            <w:r>
              <w:rPr>
                <w:rFonts w:hint="eastAsia" w:ascii="仿宋" w:hAnsi="仿宋" w:eastAsia="仿宋" w:cs="仿宋"/>
                <w:sz w:val="28"/>
                <w:szCs w:val="28"/>
              </w:rPr>
              <w:t>宜兴水务集团有限公司</w:t>
            </w:r>
          </w:p>
          <w:p>
            <w:pPr>
              <w:spacing w:line="560" w:lineRule="exact"/>
              <w:rPr>
                <w:rFonts w:ascii="仿宋_GB2312" w:eastAsia="仿宋_GB2312"/>
                <w:sz w:val="28"/>
                <w:szCs w:val="28"/>
              </w:rPr>
            </w:pPr>
            <w:r>
              <w:rPr>
                <w:rFonts w:hint="eastAsia" w:ascii="仿宋_GB2312" w:eastAsia="仿宋_GB2312"/>
                <w:sz w:val="28"/>
                <w:szCs w:val="28"/>
              </w:rPr>
              <w:t>联系人：</w:t>
            </w:r>
            <w:r>
              <w:rPr>
                <w:rFonts w:ascii="仿宋_GB2312" w:eastAsia="仿宋_GB2312"/>
                <w:sz w:val="28"/>
                <w:szCs w:val="28"/>
              </w:rPr>
              <w:t xml:space="preserve"> 刘先生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hint="eastAsia" w:eastAsia="仿宋_GB2312"/>
          <w:sz w:val="28"/>
          <w:szCs w:val="28"/>
        </w:rPr>
      </w:pPr>
    </w:p>
    <w:p>
      <w:pPr>
        <w:spacing w:line="560" w:lineRule="exact"/>
        <w:rPr>
          <w:rFonts w:hint="eastAsia" w:eastAsia="仿宋_GB2312"/>
          <w:sz w:val="28"/>
          <w:szCs w:val="28"/>
        </w:rPr>
      </w:pP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 w:hAnsi="仿宋" w:eastAsia="仿宋" w:cs="仿宋"/>
          <w:sz w:val="28"/>
          <w:szCs w:val="28"/>
        </w:rPr>
        <w:t>宜兴水务集团有限公司</w:t>
      </w:r>
      <w:r>
        <w:rPr>
          <w:rFonts w:hint="eastAsia" w:ascii="仿宋_GB2312" w:eastAsia="仿宋_GB2312"/>
          <w:sz w:val="28"/>
          <w:szCs w:val="28"/>
        </w:rPr>
        <w:t xml:space="preserve">                                          2021年11月4日</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2010609000101010101"/>
    <w:charset w:val="86"/>
    <w:family w:val="modern"/>
    <w:pitch w:val="default"/>
    <w:sig w:usb0="00000001" w:usb1="080E0000" w:usb2="00000010" w:usb3="00000000" w:csb0="00040000" w:csb1="00000000"/>
  </w:font>
  <w:font w:name="EU-F1">
    <w:altName w:val="宋体"/>
    <w:panose1 w:val="03000509000000000000"/>
    <w:charset w:val="86"/>
    <w:family w:val="script"/>
    <w:pitch w:val="default"/>
    <w:sig w:usb0="00000000"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10" w:usb1="19DF7CF8" w:usb2="00000033" w:usb3="00000000" w:csb0="00080000" w:csb1="00000000"/>
  </w:font>
  <w:font w:name="仿宋">
    <w:panose1 w:val="02010609060101010101"/>
    <w:charset w:val="86"/>
    <w:family w:val="modern"/>
    <w:pitch w:val="default"/>
    <w:sig w:usb0="800002BF" w:usb1="38CF7CFA" w:usb2="00000016" w:usb3="00000000" w:csb0="00040001" w:csb1="00000000"/>
  </w:font>
  <w:font w:name="金山简魏碑">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E0002EFF" w:usb1="C000785B"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26</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5"/>
      <w:lvlText w:val="%1."/>
      <w:lvlJc w:val="left"/>
      <w:pPr>
        <w:tabs>
          <w:tab w:val="left" w:pos="2040"/>
        </w:tabs>
        <w:ind w:left="2040" w:leftChars="800" w:hanging="360" w:hangingChars="200"/>
      </w:pPr>
    </w:lvl>
  </w:abstractNum>
  <w:abstractNum w:abstractNumId="1">
    <w:nsid w:val="FFFFFF7E"/>
    <w:multiLevelType w:val="singleLevel"/>
    <w:tmpl w:val="FFFFFF7E"/>
    <w:lvl w:ilvl="0" w:tentative="0">
      <w:start w:val="1"/>
      <w:numFmt w:val="decimal"/>
      <w:pStyle w:val="388"/>
      <w:lvlText w:val="%1."/>
      <w:lvlJc w:val="left"/>
      <w:pPr>
        <w:tabs>
          <w:tab w:val="left" w:pos="1200"/>
        </w:tabs>
        <w:ind w:left="1200" w:leftChars="400" w:hanging="360" w:hangingChars="200"/>
      </w:pPr>
    </w:lvl>
  </w:abstractNum>
  <w:abstractNum w:abstractNumId="2">
    <w:nsid w:val="FFFFFF7F"/>
    <w:multiLevelType w:val="singleLevel"/>
    <w:tmpl w:val="FFFFFF7F"/>
    <w:lvl w:ilvl="0" w:tentative="0">
      <w:start w:val="1"/>
      <w:numFmt w:val="decimal"/>
      <w:pStyle w:val="362"/>
      <w:lvlText w:val="%1."/>
      <w:lvlJc w:val="left"/>
      <w:pPr>
        <w:tabs>
          <w:tab w:val="left" w:pos="780"/>
        </w:tabs>
        <w:ind w:left="780" w:leftChars="200" w:hanging="360" w:hangingChars="200"/>
      </w:pPr>
    </w:lvl>
  </w:abstractNum>
  <w:abstractNum w:abstractNumId="3">
    <w:nsid w:val="FFFFFF80"/>
    <w:multiLevelType w:val="singleLevel"/>
    <w:tmpl w:val="FFFFFF80"/>
    <w:lvl w:ilvl="0" w:tentative="0">
      <w:start w:val="1"/>
      <w:numFmt w:val="bullet"/>
      <w:pStyle w:val="490"/>
      <w:lvlText w:val=""/>
      <w:lvlJc w:val="left"/>
      <w:pPr>
        <w:tabs>
          <w:tab w:val="left" w:pos="2040"/>
        </w:tabs>
        <w:ind w:left="2040" w:leftChars="800" w:hanging="360" w:hangingChars="200"/>
      </w:pPr>
      <w:rPr>
        <w:rFonts w:hint="default" w:ascii="Wingdings" w:hAnsi="Wingdings"/>
      </w:rPr>
    </w:lvl>
  </w:abstractNum>
  <w:abstractNum w:abstractNumId="4">
    <w:nsid w:val="FFFFFF81"/>
    <w:multiLevelType w:val="singleLevel"/>
    <w:tmpl w:val="FFFFFF81"/>
    <w:lvl w:ilvl="0" w:tentative="0">
      <w:start w:val="1"/>
      <w:numFmt w:val="bullet"/>
      <w:pStyle w:val="456"/>
      <w:lvlText w:val=""/>
      <w:lvlJc w:val="left"/>
      <w:pPr>
        <w:tabs>
          <w:tab w:val="left" w:pos="1620"/>
        </w:tabs>
        <w:ind w:left="1620" w:leftChars="600" w:hanging="360" w:hangingChars="200"/>
      </w:pPr>
      <w:rPr>
        <w:rFonts w:hint="default" w:ascii="Wingdings" w:hAnsi="Wingdings"/>
      </w:rPr>
    </w:lvl>
  </w:abstractNum>
  <w:abstractNum w:abstractNumId="5">
    <w:nsid w:val="FFFFFF82"/>
    <w:multiLevelType w:val="singleLevel"/>
    <w:tmpl w:val="FFFFFF82"/>
    <w:lvl w:ilvl="0" w:tentative="0">
      <w:start w:val="1"/>
      <w:numFmt w:val="bullet"/>
      <w:pStyle w:val="417"/>
      <w:lvlText w:val=""/>
      <w:lvlJc w:val="left"/>
      <w:pPr>
        <w:tabs>
          <w:tab w:val="left" w:pos="1200"/>
        </w:tabs>
        <w:ind w:left="1200" w:leftChars="400" w:hanging="360" w:hangingChars="200"/>
      </w:pPr>
      <w:rPr>
        <w:rFonts w:hint="default" w:ascii="Wingdings" w:hAnsi="Wingdings"/>
      </w:rPr>
    </w:lvl>
  </w:abstractNum>
  <w:abstractNum w:abstractNumId="6">
    <w:nsid w:val="FFFFFF88"/>
    <w:multiLevelType w:val="singleLevel"/>
    <w:tmpl w:val="FFFFFF88"/>
    <w:lvl w:ilvl="0" w:tentative="0">
      <w:start w:val="1"/>
      <w:numFmt w:val="decimal"/>
      <w:pStyle w:val="359"/>
      <w:lvlText w:val="%1."/>
      <w:lvlJc w:val="left"/>
      <w:pPr>
        <w:tabs>
          <w:tab w:val="left" w:pos="360"/>
        </w:tabs>
        <w:ind w:left="360" w:hanging="360" w:hangingChars="20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29"/>
      <w:lvlText w:val="%5．"/>
      <w:lvlJc w:val="left"/>
      <w:pPr>
        <w:tabs>
          <w:tab w:val="left" w:pos="360"/>
        </w:tabs>
        <w:ind w:left="360" w:hanging="360"/>
      </w:pPr>
      <w:rPr>
        <w:rFonts w:hint="default"/>
      </w:rPr>
    </w:lvl>
    <w:lvl w:ilvl="5" w:tentative="0">
      <w:start w:val="5"/>
      <w:numFmt w:val="decimal"/>
      <w:pStyle w:val="234"/>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3">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6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4"/>
  </w:num>
  <w:num w:numId="2">
    <w:abstractNumId w:val="10"/>
  </w:num>
  <w:num w:numId="3">
    <w:abstractNumId w:val="17"/>
  </w:num>
  <w:num w:numId="4">
    <w:abstractNumId w:val="16"/>
  </w:num>
  <w:num w:numId="5">
    <w:abstractNumId w:val="15"/>
  </w:num>
  <w:num w:numId="6">
    <w:abstractNumId w:val="14"/>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3"/>
  </w:num>
  <w:num w:numId="15">
    <w:abstractNumId w:val="18"/>
  </w:num>
  <w:num w:numId="16">
    <w:abstractNumId w:val="9"/>
  </w:num>
  <w:num w:numId="17">
    <w:abstractNumId w:val="22"/>
  </w:num>
  <w:num w:numId="18">
    <w:abstractNumId w:val="11"/>
  </w:num>
  <w:num w:numId="19">
    <w:abstractNumId w:val="19"/>
  </w:num>
  <w:num w:numId="20">
    <w:abstractNumId w:val="20"/>
  </w:num>
  <w:num w:numId="21">
    <w:abstractNumId w:val="7"/>
  </w:num>
  <w:num w:numId="22">
    <w:abstractNumId w:val="12"/>
  </w:num>
  <w:num w:numId="23">
    <w:abstractNumId w:val="13"/>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27A8A"/>
    <w:rsid w:val="00042CC3"/>
    <w:rsid w:val="0004721A"/>
    <w:rsid w:val="00047392"/>
    <w:rsid w:val="000547E1"/>
    <w:rsid w:val="00056566"/>
    <w:rsid w:val="00063081"/>
    <w:rsid w:val="00063887"/>
    <w:rsid w:val="0007007A"/>
    <w:rsid w:val="00073B7B"/>
    <w:rsid w:val="000770C1"/>
    <w:rsid w:val="00077B4D"/>
    <w:rsid w:val="00084272"/>
    <w:rsid w:val="00086532"/>
    <w:rsid w:val="000874F5"/>
    <w:rsid w:val="00094142"/>
    <w:rsid w:val="00094306"/>
    <w:rsid w:val="000975B0"/>
    <w:rsid w:val="000A5CBB"/>
    <w:rsid w:val="000B34F3"/>
    <w:rsid w:val="000B70EF"/>
    <w:rsid w:val="000B76C4"/>
    <w:rsid w:val="000C4351"/>
    <w:rsid w:val="000D028C"/>
    <w:rsid w:val="000D0A31"/>
    <w:rsid w:val="000D1636"/>
    <w:rsid w:val="000D45B7"/>
    <w:rsid w:val="000D4D3F"/>
    <w:rsid w:val="000E1BC8"/>
    <w:rsid w:val="000E2AA6"/>
    <w:rsid w:val="000E2ABB"/>
    <w:rsid w:val="000E2D0A"/>
    <w:rsid w:val="000E775E"/>
    <w:rsid w:val="0010640D"/>
    <w:rsid w:val="00107521"/>
    <w:rsid w:val="00110153"/>
    <w:rsid w:val="00113F56"/>
    <w:rsid w:val="00115C57"/>
    <w:rsid w:val="001162F4"/>
    <w:rsid w:val="00143AB6"/>
    <w:rsid w:val="001451C9"/>
    <w:rsid w:val="00145CF6"/>
    <w:rsid w:val="00156D11"/>
    <w:rsid w:val="00157AB9"/>
    <w:rsid w:val="00162D73"/>
    <w:rsid w:val="00163B02"/>
    <w:rsid w:val="00170EE9"/>
    <w:rsid w:val="00173360"/>
    <w:rsid w:val="00173521"/>
    <w:rsid w:val="00173B31"/>
    <w:rsid w:val="0017472D"/>
    <w:rsid w:val="001768A0"/>
    <w:rsid w:val="00194751"/>
    <w:rsid w:val="001A11E5"/>
    <w:rsid w:val="001A3569"/>
    <w:rsid w:val="001B3697"/>
    <w:rsid w:val="001B387B"/>
    <w:rsid w:val="001B6385"/>
    <w:rsid w:val="001C3F2D"/>
    <w:rsid w:val="001D2806"/>
    <w:rsid w:val="001D475E"/>
    <w:rsid w:val="001D5E1B"/>
    <w:rsid w:val="001E02B5"/>
    <w:rsid w:val="001E0D85"/>
    <w:rsid w:val="001E410B"/>
    <w:rsid w:val="001E527B"/>
    <w:rsid w:val="001E7BC1"/>
    <w:rsid w:val="001F7061"/>
    <w:rsid w:val="001F7345"/>
    <w:rsid w:val="002033E0"/>
    <w:rsid w:val="00203A1C"/>
    <w:rsid w:val="0020510D"/>
    <w:rsid w:val="00205341"/>
    <w:rsid w:val="00205424"/>
    <w:rsid w:val="00211160"/>
    <w:rsid w:val="0021668E"/>
    <w:rsid w:val="00216917"/>
    <w:rsid w:val="00223458"/>
    <w:rsid w:val="00225291"/>
    <w:rsid w:val="00233599"/>
    <w:rsid w:val="00233630"/>
    <w:rsid w:val="002375AF"/>
    <w:rsid w:val="002404C7"/>
    <w:rsid w:val="00243C15"/>
    <w:rsid w:val="00251986"/>
    <w:rsid w:val="00253543"/>
    <w:rsid w:val="00263ED9"/>
    <w:rsid w:val="002674E8"/>
    <w:rsid w:val="00271FC1"/>
    <w:rsid w:val="002746EC"/>
    <w:rsid w:val="00280EDD"/>
    <w:rsid w:val="0028335F"/>
    <w:rsid w:val="00284CC6"/>
    <w:rsid w:val="00284E4B"/>
    <w:rsid w:val="0029577C"/>
    <w:rsid w:val="00296193"/>
    <w:rsid w:val="002A1E2E"/>
    <w:rsid w:val="002A24D8"/>
    <w:rsid w:val="002A59D1"/>
    <w:rsid w:val="002B08FF"/>
    <w:rsid w:val="002B39BB"/>
    <w:rsid w:val="002C4912"/>
    <w:rsid w:val="002C70BA"/>
    <w:rsid w:val="002D5406"/>
    <w:rsid w:val="002E51F7"/>
    <w:rsid w:val="002F4A28"/>
    <w:rsid w:val="002F54DA"/>
    <w:rsid w:val="0030271C"/>
    <w:rsid w:val="00313819"/>
    <w:rsid w:val="003210B7"/>
    <w:rsid w:val="00325CA3"/>
    <w:rsid w:val="00327191"/>
    <w:rsid w:val="0033574A"/>
    <w:rsid w:val="00342F5B"/>
    <w:rsid w:val="0034450C"/>
    <w:rsid w:val="00344939"/>
    <w:rsid w:val="003451BB"/>
    <w:rsid w:val="00345223"/>
    <w:rsid w:val="00347BD6"/>
    <w:rsid w:val="0036073A"/>
    <w:rsid w:val="00361340"/>
    <w:rsid w:val="00362009"/>
    <w:rsid w:val="00362D21"/>
    <w:rsid w:val="00367385"/>
    <w:rsid w:val="003723DA"/>
    <w:rsid w:val="0037783C"/>
    <w:rsid w:val="00377A1A"/>
    <w:rsid w:val="00381F69"/>
    <w:rsid w:val="0038324F"/>
    <w:rsid w:val="00386C3D"/>
    <w:rsid w:val="003937B6"/>
    <w:rsid w:val="00393C62"/>
    <w:rsid w:val="00394046"/>
    <w:rsid w:val="00395745"/>
    <w:rsid w:val="00396495"/>
    <w:rsid w:val="003A0C62"/>
    <w:rsid w:val="003B376F"/>
    <w:rsid w:val="003C2658"/>
    <w:rsid w:val="003C65B1"/>
    <w:rsid w:val="003C74E2"/>
    <w:rsid w:val="003D28D6"/>
    <w:rsid w:val="003D35EE"/>
    <w:rsid w:val="003E1D25"/>
    <w:rsid w:val="003E3D34"/>
    <w:rsid w:val="003F27C7"/>
    <w:rsid w:val="003F3E55"/>
    <w:rsid w:val="003F7B1A"/>
    <w:rsid w:val="00405A13"/>
    <w:rsid w:val="00413E46"/>
    <w:rsid w:val="00420F76"/>
    <w:rsid w:val="00422955"/>
    <w:rsid w:val="0042563F"/>
    <w:rsid w:val="00430918"/>
    <w:rsid w:val="00440A31"/>
    <w:rsid w:val="00443203"/>
    <w:rsid w:val="0045406E"/>
    <w:rsid w:val="00455367"/>
    <w:rsid w:val="004555CB"/>
    <w:rsid w:val="0046176D"/>
    <w:rsid w:val="00465523"/>
    <w:rsid w:val="00466628"/>
    <w:rsid w:val="00470D01"/>
    <w:rsid w:val="0047225A"/>
    <w:rsid w:val="004756A8"/>
    <w:rsid w:val="00490924"/>
    <w:rsid w:val="00496BF9"/>
    <w:rsid w:val="004A16AA"/>
    <w:rsid w:val="004A467A"/>
    <w:rsid w:val="004B012F"/>
    <w:rsid w:val="004B2387"/>
    <w:rsid w:val="004B2460"/>
    <w:rsid w:val="004B2BC3"/>
    <w:rsid w:val="004B3B04"/>
    <w:rsid w:val="004C0068"/>
    <w:rsid w:val="004D4322"/>
    <w:rsid w:val="004D65D3"/>
    <w:rsid w:val="004D7347"/>
    <w:rsid w:val="004E1819"/>
    <w:rsid w:val="004E3D88"/>
    <w:rsid w:val="004E4701"/>
    <w:rsid w:val="004E5E09"/>
    <w:rsid w:val="004F1D66"/>
    <w:rsid w:val="004F3C95"/>
    <w:rsid w:val="00505606"/>
    <w:rsid w:val="00510E70"/>
    <w:rsid w:val="00511196"/>
    <w:rsid w:val="00517120"/>
    <w:rsid w:val="00517E1D"/>
    <w:rsid w:val="00520A70"/>
    <w:rsid w:val="005212A3"/>
    <w:rsid w:val="00522576"/>
    <w:rsid w:val="005234BB"/>
    <w:rsid w:val="00524272"/>
    <w:rsid w:val="00524564"/>
    <w:rsid w:val="005312F1"/>
    <w:rsid w:val="0053192E"/>
    <w:rsid w:val="00531F3F"/>
    <w:rsid w:val="00533CEB"/>
    <w:rsid w:val="00536EB9"/>
    <w:rsid w:val="00537CEA"/>
    <w:rsid w:val="00542DF9"/>
    <w:rsid w:val="00543359"/>
    <w:rsid w:val="00546DA6"/>
    <w:rsid w:val="00552B9D"/>
    <w:rsid w:val="00554A82"/>
    <w:rsid w:val="0056381F"/>
    <w:rsid w:val="00563CCD"/>
    <w:rsid w:val="005661B9"/>
    <w:rsid w:val="00572186"/>
    <w:rsid w:val="00575902"/>
    <w:rsid w:val="0057717E"/>
    <w:rsid w:val="005B245A"/>
    <w:rsid w:val="005B3469"/>
    <w:rsid w:val="005B4FA7"/>
    <w:rsid w:val="005B7C97"/>
    <w:rsid w:val="005C1146"/>
    <w:rsid w:val="005C2860"/>
    <w:rsid w:val="005C6322"/>
    <w:rsid w:val="005D1EDF"/>
    <w:rsid w:val="005D2C97"/>
    <w:rsid w:val="005D4983"/>
    <w:rsid w:val="005F2D3B"/>
    <w:rsid w:val="005F73AF"/>
    <w:rsid w:val="005F7EE1"/>
    <w:rsid w:val="0060445B"/>
    <w:rsid w:val="00611F53"/>
    <w:rsid w:val="00612EEF"/>
    <w:rsid w:val="006170A3"/>
    <w:rsid w:val="00624DB0"/>
    <w:rsid w:val="006250B2"/>
    <w:rsid w:val="0063354D"/>
    <w:rsid w:val="0063460A"/>
    <w:rsid w:val="00636A45"/>
    <w:rsid w:val="00641E38"/>
    <w:rsid w:val="00647542"/>
    <w:rsid w:val="00655169"/>
    <w:rsid w:val="00657F7E"/>
    <w:rsid w:val="006626C6"/>
    <w:rsid w:val="00667851"/>
    <w:rsid w:val="0067075C"/>
    <w:rsid w:val="00673B42"/>
    <w:rsid w:val="006811B1"/>
    <w:rsid w:val="00684F1A"/>
    <w:rsid w:val="0068693F"/>
    <w:rsid w:val="006908DD"/>
    <w:rsid w:val="00690A61"/>
    <w:rsid w:val="00697679"/>
    <w:rsid w:val="00697BBB"/>
    <w:rsid w:val="006A5C46"/>
    <w:rsid w:val="006B1DA4"/>
    <w:rsid w:val="006B5A6E"/>
    <w:rsid w:val="006C2FFD"/>
    <w:rsid w:val="006C5913"/>
    <w:rsid w:val="006C6B04"/>
    <w:rsid w:val="006D196A"/>
    <w:rsid w:val="006E72CE"/>
    <w:rsid w:val="006F590D"/>
    <w:rsid w:val="006F6722"/>
    <w:rsid w:val="007026D5"/>
    <w:rsid w:val="0070499C"/>
    <w:rsid w:val="0070658A"/>
    <w:rsid w:val="00706755"/>
    <w:rsid w:val="007069BB"/>
    <w:rsid w:val="00710B2E"/>
    <w:rsid w:val="00714C03"/>
    <w:rsid w:val="007241D7"/>
    <w:rsid w:val="0073120C"/>
    <w:rsid w:val="00731C9A"/>
    <w:rsid w:val="00732591"/>
    <w:rsid w:val="0073294A"/>
    <w:rsid w:val="0073295A"/>
    <w:rsid w:val="00734982"/>
    <w:rsid w:val="00737C04"/>
    <w:rsid w:val="007416A4"/>
    <w:rsid w:val="00742E78"/>
    <w:rsid w:val="00746F06"/>
    <w:rsid w:val="007477BC"/>
    <w:rsid w:val="00751B1C"/>
    <w:rsid w:val="00760775"/>
    <w:rsid w:val="007657E1"/>
    <w:rsid w:val="007670E3"/>
    <w:rsid w:val="00773A65"/>
    <w:rsid w:val="00773E58"/>
    <w:rsid w:val="0077483E"/>
    <w:rsid w:val="00776638"/>
    <w:rsid w:val="0078335A"/>
    <w:rsid w:val="00794980"/>
    <w:rsid w:val="00795C42"/>
    <w:rsid w:val="00796EFB"/>
    <w:rsid w:val="007A2405"/>
    <w:rsid w:val="007A376A"/>
    <w:rsid w:val="007B1578"/>
    <w:rsid w:val="007B553F"/>
    <w:rsid w:val="007C3291"/>
    <w:rsid w:val="007C5599"/>
    <w:rsid w:val="007C7CDD"/>
    <w:rsid w:val="007C7D69"/>
    <w:rsid w:val="007D20CA"/>
    <w:rsid w:val="007D3608"/>
    <w:rsid w:val="007D6775"/>
    <w:rsid w:val="007E3572"/>
    <w:rsid w:val="007E62F1"/>
    <w:rsid w:val="007F188A"/>
    <w:rsid w:val="007F2D64"/>
    <w:rsid w:val="007F5A69"/>
    <w:rsid w:val="007F766F"/>
    <w:rsid w:val="00801052"/>
    <w:rsid w:val="00803E7C"/>
    <w:rsid w:val="00804046"/>
    <w:rsid w:val="0080567E"/>
    <w:rsid w:val="00806B1F"/>
    <w:rsid w:val="00810172"/>
    <w:rsid w:val="00810F54"/>
    <w:rsid w:val="008230C0"/>
    <w:rsid w:val="00824119"/>
    <w:rsid w:val="00824387"/>
    <w:rsid w:val="0083410C"/>
    <w:rsid w:val="00836091"/>
    <w:rsid w:val="00836D8E"/>
    <w:rsid w:val="00840EA7"/>
    <w:rsid w:val="00841471"/>
    <w:rsid w:val="00845FF7"/>
    <w:rsid w:val="008461EA"/>
    <w:rsid w:val="008521FA"/>
    <w:rsid w:val="00861B44"/>
    <w:rsid w:val="0086330F"/>
    <w:rsid w:val="008648EB"/>
    <w:rsid w:val="00870C76"/>
    <w:rsid w:val="008742D8"/>
    <w:rsid w:val="0087544B"/>
    <w:rsid w:val="0088423A"/>
    <w:rsid w:val="00891430"/>
    <w:rsid w:val="0089150E"/>
    <w:rsid w:val="00891F3F"/>
    <w:rsid w:val="008953DE"/>
    <w:rsid w:val="008B4989"/>
    <w:rsid w:val="008B5106"/>
    <w:rsid w:val="008D0D82"/>
    <w:rsid w:val="008D2342"/>
    <w:rsid w:val="008D2564"/>
    <w:rsid w:val="008D33D1"/>
    <w:rsid w:val="008D74F7"/>
    <w:rsid w:val="008E14E9"/>
    <w:rsid w:val="008E637F"/>
    <w:rsid w:val="008F05D2"/>
    <w:rsid w:val="008F194F"/>
    <w:rsid w:val="008F5CE2"/>
    <w:rsid w:val="008F6B7B"/>
    <w:rsid w:val="00900085"/>
    <w:rsid w:val="0090199D"/>
    <w:rsid w:val="00901CE3"/>
    <w:rsid w:val="00901DC6"/>
    <w:rsid w:val="00904D0F"/>
    <w:rsid w:val="00905D4E"/>
    <w:rsid w:val="00907400"/>
    <w:rsid w:val="00911781"/>
    <w:rsid w:val="00916218"/>
    <w:rsid w:val="00916FFD"/>
    <w:rsid w:val="00922A8A"/>
    <w:rsid w:val="00923D0D"/>
    <w:rsid w:val="0092743B"/>
    <w:rsid w:val="00932F13"/>
    <w:rsid w:val="00933662"/>
    <w:rsid w:val="0094024A"/>
    <w:rsid w:val="009432E3"/>
    <w:rsid w:val="00954B02"/>
    <w:rsid w:val="00957623"/>
    <w:rsid w:val="00960456"/>
    <w:rsid w:val="00961492"/>
    <w:rsid w:val="0096255D"/>
    <w:rsid w:val="009639E0"/>
    <w:rsid w:val="00963F99"/>
    <w:rsid w:val="009655E6"/>
    <w:rsid w:val="00965A95"/>
    <w:rsid w:val="00974FF2"/>
    <w:rsid w:val="00977195"/>
    <w:rsid w:val="00981F6E"/>
    <w:rsid w:val="009856C4"/>
    <w:rsid w:val="00990BD8"/>
    <w:rsid w:val="00991592"/>
    <w:rsid w:val="009927AB"/>
    <w:rsid w:val="00993DA8"/>
    <w:rsid w:val="00996823"/>
    <w:rsid w:val="00996891"/>
    <w:rsid w:val="00996FC8"/>
    <w:rsid w:val="009A0FB8"/>
    <w:rsid w:val="009A420C"/>
    <w:rsid w:val="009A7A42"/>
    <w:rsid w:val="009B018C"/>
    <w:rsid w:val="009B033D"/>
    <w:rsid w:val="009B19EF"/>
    <w:rsid w:val="009B3CF3"/>
    <w:rsid w:val="009B7E5A"/>
    <w:rsid w:val="009C1577"/>
    <w:rsid w:val="009C298E"/>
    <w:rsid w:val="009C2BD8"/>
    <w:rsid w:val="009C45FD"/>
    <w:rsid w:val="009C5527"/>
    <w:rsid w:val="009C7C3F"/>
    <w:rsid w:val="009D33C1"/>
    <w:rsid w:val="009D51EB"/>
    <w:rsid w:val="009D6BFD"/>
    <w:rsid w:val="009F64CF"/>
    <w:rsid w:val="00A02009"/>
    <w:rsid w:val="00A14BBD"/>
    <w:rsid w:val="00A15FA3"/>
    <w:rsid w:val="00A176AD"/>
    <w:rsid w:val="00A2421A"/>
    <w:rsid w:val="00A24A80"/>
    <w:rsid w:val="00A2544B"/>
    <w:rsid w:val="00A300F9"/>
    <w:rsid w:val="00A36160"/>
    <w:rsid w:val="00A42129"/>
    <w:rsid w:val="00A52BEF"/>
    <w:rsid w:val="00A52FF9"/>
    <w:rsid w:val="00A5785A"/>
    <w:rsid w:val="00A678FA"/>
    <w:rsid w:val="00A71D1F"/>
    <w:rsid w:val="00A72C5E"/>
    <w:rsid w:val="00A73643"/>
    <w:rsid w:val="00A75634"/>
    <w:rsid w:val="00A76493"/>
    <w:rsid w:val="00A91BD7"/>
    <w:rsid w:val="00A927BE"/>
    <w:rsid w:val="00AA2DFC"/>
    <w:rsid w:val="00AA30CA"/>
    <w:rsid w:val="00AA616E"/>
    <w:rsid w:val="00AB010D"/>
    <w:rsid w:val="00AB6CF9"/>
    <w:rsid w:val="00AB6D18"/>
    <w:rsid w:val="00AC2325"/>
    <w:rsid w:val="00AC4069"/>
    <w:rsid w:val="00AC6C6F"/>
    <w:rsid w:val="00AD04E4"/>
    <w:rsid w:val="00AD0AA0"/>
    <w:rsid w:val="00AD499B"/>
    <w:rsid w:val="00AE4A15"/>
    <w:rsid w:val="00B00209"/>
    <w:rsid w:val="00B01FB6"/>
    <w:rsid w:val="00B02D95"/>
    <w:rsid w:val="00B032CC"/>
    <w:rsid w:val="00B139D7"/>
    <w:rsid w:val="00B17D9D"/>
    <w:rsid w:val="00B23D40"/>
    <w:rsid w:val="00B24081"/>
    <w:rsid w:val="00B254B9"/>
    <w:rsid w:val="00B30897"/>
    <w:rsid w:val="00B3107D"/>
    <w:rsid w:val="00B36F53"/>
    <w:rsid w:val="00B40E4D"/>
    <w:rsid w:val="00B51323"/>
    <w:rsid w:val="00B525E9"/>
    <w:rsid w:val="00B536EC"/>
    <w:rsid w:val="00B64171"/>
    <w:rsid w:val="00B70A8E"/>
    <w:rsid w:val="00B71F2D"/>
    <w:rsid w:val="00B767C3"/>
    <w:rsid w:val="00B805B3"/>
    <w:rsid w:val="00B82198"/>
    <w:rsid w:val="00B829D0"/>
    <w:rsid w:val="00B84C7E"/>
    <w:rsid w:val="00B939D6"/>
    <w:rsid w:val="00BA3969"/>
    <w:rsid w:val="00BA5309"/>
    <w:rsid w:val="00BB7ACA"/>
    <w:rsid w:val="00BC5813"/>
    <w:rsid w:val="00BE515A"/>
    <w:rsid w:val="00BE6166"/>
    <w:rsid w:val="00BE6A20"/>
    <w:rsid w:val="00BF15C8"/>
    <w:rsid w:val="00BF1F2A"/>
    <w:rsid w:val="00BF2413"/>
    <w:rsid w:val="00BF7E55"/>
    <w:rsid w:val="00C01B20"/>
    <w:rsid w:val="00C02141"/>
    <w:rsid w:val="00C032FB"/>
    <w:rsid w:val="00C0566C"/>
    <w:rsid w:val="00C1057C"/>
    <w:rsid w:val="00C20209"/>
    <w:rsid w:val="00C23280"/>
    <w:rsid w:val="00C25F3D"/>
    <w:rsid w:val="00C26875"/>
    <w:rsid w:val="00C32A38"/>
    <w:rsid w:val="00C33F56"/>
    <w:rsid w:val="00C34B72"/>
    <w:rsid w:val="00C407EC"/>
    <w:rsid w:val="00C43230"/>
    <w:rsid w:val="00C46E18"/>
    <w:rsid w:val="00C47587"/>
    <w:rsid w:val="00C61B60"/>
    <w:rsid w:val="00C6537F"/>
    <w:rsid w:val="00C7013D"/>
    <w:rsid w:val="00C737B6"/>
    <w:rsid w:val="00C77C14"/>
    <w:rsid w:val="00C77E15"/>
    <w:rsid w:val="00C82860"/>
    <w:rsid w:val="00C930F2"/>
    <w:rsid w:val="00C939B8"/>
    <w:rsid w:val="00C9493F"/>
    <w:rsid w:val="00C97C1C"/>
    <w:rsid w:val="00CA0016"/>
    <w:rsid w:val="00CA38FB"/>
    <w:rsid w:val="00CA6480"/>
    <w:rsid w:val="00CA6D38"/>
    <w:rsid w:val="00CB4AC9"/>
    <w:rsid w:val="00CD0508"/>
    <w:rsid w:val="00CD5E41"/>
    <w:rsid w:val="00CD660B"/>
    <w:rsid w:val="00CE088D"/>
    <w:rsid w:val="00CE71BE"/>
    <w:rsid w:val="00CF7F05"/>
    <w:rsid w:val="00D006C8"/>
    <w:rsid w:val="00D05CBF"/>
    <w:rsid w:val="00D12B95"/>
    <w:rsid w:val="00D12BA3"/>
    <w:rsid w:val="00D14147"/>
    <w:rsid w:val="00D22767"/>
    <w:rsid w:val="00D23C42"/>
    <w:rsid w:val="00D26052"/>
    <w:rsid w:val="00D2694D"/>
    <w:rsid w:val="00D3393D"/>
    <w:rsid w:val="00D3536F"/>
    <w:rsid w:val="00D375AE"/>
    <w:rsid w:val="00D416F0"/>
    <w:rsid w:val="00D46709"/>
    <w:rsid w:val="00D5472D"/>
    <w:rsid w:val="00D55F92"/>
    <w:rsid w:val="00D57E88"/>
    <w:rsid w:val="00D66B2E"/>
    <w:rsid w:val="00D67BC6"/>
    <w:rsid w:val="00D74B01"/>
    <w:rsid w:val="00D7530A"/>
    <w:rsid w:val="00D777D5"/>
    <w:rsid w:val="00D8328E"/>
    <w:rsid w:val="00DA06C5"/>
    <w:rsid w:val="00DC7154"/>
    <w:rsid w:val="00DC7F06"/>
    <w:rsid w:val="00DD0194"/>
    <w:rsid w:val="00DD0C97"/>
    <w:rsid w:val="00DD7C73"/>
    <w:rsid w:val="00DE2542"/>
    <w:rsid w:val="00DF662D"/>
    <w:rsid w:val="00E05E02"/>
    <w:rsid w:val="00E12FFF"/>
    <w:rsid w:val="00E21119"/>
    <w:rsid w:val="00E22EB7"/>
    <w:rsid w:val="00E26EED"/>
    <w:rsid w:val="00E34100"/>
    <w:rsid w:val="00E343F2"/>
    <w:rsid w:val="00E36E09"/>
    <w:rsid w:val="00E37681"/>
    <w:rsid w:val="00E3773E"/>
    <w:rsid w:val="00E37BD1"/>
    <w:rsid w:val="00E45A95"/>
    <w:rsid w:val="00E51B26"/>
    <w:rsid w:val="00E55128"/>
    <w:rsid w:val="00E56CB4"/>
    <w:rsid w:val="00E57313"/>
    <w:rsid w:val="00E57464"/>
    <w:rsid w:val="00E60F37"/>
    <w:rsid w:val="00E66277"/>
    <w:rsid w:val="00E67D6F"/>
    <w:rsid w:val="00E7084A"/>
    <w:rsid w:val="00E73771"/>
    <w:rsid w:val="00E8076E"/>
    <w:rsid w:val="00E8219F"/>
    <w:rsid w:val="00E83B31"/>
    <w:rsid w:val="00E83D8E"/>
    <w:rsid w:val="00E85259"/>
    <w:rsid w:val="00E87948"/>
    <w:rsid w:val="00E93E4C"/>
    <w:rsid w:val="00E943CF"/>
    <w:rsid w:val="00E94B85"/>
    <w:rsid w:val="00E96F4C"/>
    <w:rsid w:val="00E97F57"/>
    <w:rsid w:val="00EA0AFE"/>
    <w:rsid w:val="00EA2906"/>
    <w:rsid w:val="00EA2F1D"/>
    <w:rsid w:val="00EA3FDE"/>
    <w:rsid w:val="00EA44F3"/>
    <w:rsid w:val="00EB2A2B"/>
    <w:rsid w:val="00EB3C1D"/>
    <w:rsid w:val="00EB48F2"/>
    <w:rsid w:val="00EB54B0"/>
    <w:rsid w:val="00EC77A9"/>
    <w:rsid w:val="00ED0BED"/>
    <w:rsid w:val="00ED343B"/>
    <w:rsid w:val="00ED3FD6"/>
    <w:rsid w:val="00ED44EA"/>
    <w:rsid w:val="00ED4ECF"/>
    <w:rsid w:val="00EE1134"/>
    <w:rsid w:val="00EE2EEC"/>
    <w:rsid w:val="00EE3DCD"/>
    <w:rsid w:val="00EE5F8B"/>
    <w:rsid w:val="00EF1D49"/>
    <w:rsid w:val="00EF7024"/>
    <w:rsid w:val="00F03A85"/>
    <w:rsid w:val="00F03B15"/>
    <w:rsid w:val="00F05F98"/>
    <w:rsid w:val="00F06ECE"/>
    <w:rsid w:val="00F10BDA"/>
    <w:rsid w:val="00F13507"/>
    <w:rsid w:val="00F16BF2"/>
    <w:rsid w:val="00F20AD4"/>
    <w:rsid w:val="00F220FB"/>
    <w:rsid w:val="00F23886"/>
    <w:rsid w:val="00F26171"/>
    <w:rsid w:val="00F27FE8"/>
    <w:rsid w:val="00F373AB"/>
    <w:rsid w:val="00F37D08"/>
    <w:rsid w:val="00F43B65"/>
    <w:rsid w:val="00F4434A"/>
    <w:rsid w:val="00F507DE"/>
    <w:rsid w:val="00F51DCC"/>
    <w:rsid w:val="00F55979"/>
    <w:rsid w:val="00F57D25"/>
    <w:rsid w:val="00F632D2"/>
    <w:rsid w:val="00F63BB0"/>
    <w:rsid w:val="00F70ABE"/>
    <w:rsid w:val="00F73FDD"/>
    <w:rsid w:val="00F751C5"/>
    <w:rsid w:val="00F814E7"/>
    <w:rsid w:val="00F81AF0"/>
    <w:rsid w:val="00F822F0"/>
    <w:rsid w:val="00FA1DD3"/>
    <w:rsid w:val="00FA4CBF"/>
    <w:rsid w:val="00FA6C2F"/>
    <w:rsid w:val="00FB0C38"/>
    <w:rsid w:val="00FB136F"/>
    <w:rsid w:val="00FB49F8"/>
    <w:rsid w:val="00FB53D7"/>
    <w:rsid w:val="00FC20AC"/>
    <w:rsid w:val="00FC298F"/>
    <w:rsid w:val="00FC7E69"/>
    <w:rsid w:val="00FD33BD"/>
    <w:rsid w:val="00FD369F"/>
    <w:rsid w:val="00FD5D5E"/>
    <w:rsid w:val="00FD628A"/>
    <w:rsid w:val="00FD6F1A"/>
    <w:rsid w:val="00FE1913"/>
    <w:rsid w:val="00FE43DF"/>
    <w:rsid w:val="00FE73C8"/>
    <w:rsid w:val="00FF5420"/>
    <w:rsid w:val="00FF5BF0"/>
    <w:rsid w:val="01BC5A23"/>
    <w:rsid w:val="088C2CFA"/>
    <w:rsid w:val="0A3B412B"/>
    <w:rsid w:val="0E6024DC"/>
    <w:rsid w:val="1009308B"/>
    <w:rsid w:val="168A3D2C"/>
    <w:rsid w:val="1908229C"/>
    <w:rsid w:val="1A7B546E"/>
    <w:rsid w:val="215A19BE"/>
    <w:rsid w:val="23EC2F12"/>
    <w:rsid w:val="2A7B2887"/>
    <w:rsid w:val="2AED2CDD"/>
    <w:rsid w:val="2BC11C46"/>
    <w:rsid w:val="2D161B30"/>
    <w:rsid w:val="30D41037"/>
    <w:rsid w:val="312E356C"/>
    <w:rsid w:val="31497D8B"/>
    <w:rsid w:val="319E5533"/>
    <w:rsid w:val="33060EBA"/>
    <w:rsid w:val="3CEA44D4"/>
    <w:rsid w:val="3E9876E2"/>
    <w:rsid w:val="3E987883"/>
    <w:rsid w:val="3EE424B4"/>
    <w:rsid w:val="40574364"/>
    <w:rsid w:val="420B6FB7"/>
    <w:rsid w:val="42EC32E2"/>
    <w:rsid w:val="43443D9B"/>
    <w:rsid w:val="437171AF"/>
    <w:rsid w:val="45156357"/>
    <w:rsid w:val="45ED31E3"/>
    <w:rsid w:val="46D51EE4"/>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D601BDC"/>
    <w:rsid w:val="70285A41"/>
    <w:rsid w:val="72007BC7"/>
    <w:rsid w:val="72430013"/>
    <w:rsid w:val="754A1135"/>
    <w:rsid w:val="76961D80"/>
    <w:rsid w:val="787539A8"/>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3">
    <w:name w:val="heading 1"/>
    <w:basedOn w:val="1"/>
    <w:next w:val="1"/>
    <w:link w:val="94"/>
    <w:qFormat/>
    <w:locked/>
    <w:uiPriority w:val="0"/>
    <w:pPr>
      <w:keepNext/>
      <w:spacing w:before="227" w:line="240" w:lineRule="exact"/>
      <w:ind w:firstLine="420"/>
      <w:outlineLvl w:val="0"/>
    </w:pPr>
    <w:rPr>
      <w:color w:val="000000"/>
      <w:sz w:val="24"/>
    </w:rPr>
  </w:style>
  <w:style w:type="paragraph" w:styleId="4">
    <w:name w:val="heading 2"/>
    <w:basedOn w:val="1"/>
    <w:next w:val="1"/>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6"/>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7"/>
    <w:qFormat/>
    <w:locked/>
    <w:uiPriority w:val="0"/>
    <w:pPr>
      <w:keepNext/>
      <w:snapToGrid w:val="0"/>
      <w:spacing w:beforeLines="20" w:afterLines="20"/>
      <w:jc w:val="center"/>
      <w:outlineLvl w:val="3"/>
    </w:pPr>
    <w:rPr>
      <w:sz w:val="18"/>
      <w:szCs w:val="18"/>
    </w:rPr>
  </w:style>
  <w:style w:type="paragraph" w:styleId="7">
    <w:name w:val="heading 5"/>
    <w:basedOn w:val="1"/>
    <w:next w:val="1"/>
    <w:link w:val="98"/>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99"/>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0"/>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1"/>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2"/>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uiPriority w:val="1"/>
  </w:style>
  <w:style w:type="table" w:default="1" w:styleId="75">
    <w:name w:val="Normal Table"/>
    <w:semiHidden/>
    <w:unhideWhenUsed/>
    <w:qFormat/>
    <w:uiPriority w:val="99"/>
    <w:tblPr>
      <w:tblStyle w:val="75"/>
      <w:tblCellMar>
        <w:top w:w="0" w:type="dxa"/>
        <w:left w:w="108" w:type="dxa"/>
        <w:bottom w:w="0" w:type="dxa"/>
        <w:right w:w="108" w:type="dxa"/>
      </w:tblCellMar>
    </w:tblPr>
    <w:trPr>
      <w:wBefore w:w="0" w:type="dxa"/>
    </w:trPr>
  </w:style>
  <w:style w:type="paragraph" w:styleId="2">
    <w:name w:val="macro"/>
    <w:basedOn w:val="1"/>
    <w:link w:val="237"/>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255"/>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23"/>
    <w:uiPriority w:val="0"/>
    <w:pPr>
      <w:shd w:val="clear" w:color="auto" w:fill="000080"/>
    </w:pPr>
  </w:style>
  <w:style w:type="paragraph" w:styleId="26">
    <w:name w:val="annotation text"/>
    <w:basedOn w:val="1"/>
    <w:link w:val="103"/>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60"/>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5"/>
    <w:qFormat/>
    <w:uiPriority w:val="0"/>
    <w:rPr>
      <w:sz w:val="20"/>
    </w:rPr>
  </w:style>
  <w:style w:type="paragraph" w:styleId="31">
    <w:name w:val="Body Text Indent"/>
    <w:basedOn w:val="1"/>
    <w:link w:val="106"/>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242"/>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58"/>
    <w:qFormat/>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24"/>
    <w:uiPriority w:val="0"/>
    <w:pPr>
      <w:autoSpaceDE w:val="0"/>
      <w:autoSpaceDN w:val="0"/>
      <w:adjustRightInd w:val="0"/>
      <w:textAlignment w:val="baseline"/>
    </w:pPr>
    <w:rPr>
      <w:rFonts w:ascii="Arial" w:hAnsi="Arial"/>
    </w:rPr>
  </w:style>
  <w:style w:type="paragraph" w:styleId="45">
    <w:name w:val="Body Text Indent 2"/>
    <w:basedOn w:val="1"/>
    <w:link w:val="133"/>
    <w:uiPriority w:val="0"/>
    <w:pPr>
      <w:autoSpaceDE w:val="0"/>
      <w:autoSpaceDN w:val="0"/>
      <w:adjustRightInd w:val="0"/>
      <w:spacing w:line="360" w:lineRule="auto"/>
      <w:ind w:left="1080"/>
      <w:textAlignment w:val="baseline"/>
    </w:pPr>
  </w:style>
  <w:style w:type="paragraph" w:styleId="46">
    <w:name w:val="endnote text"/>
    <w:basedOn w:val="47"/>
    <w:link w:val="25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07"/>
    <w:unhideWhenUsed/>
    <w:qFormat/>
    <w:uiPriority w:val="0"/>
    <w:rPr>
      <w:sz w:val="18"/>
      <w:szCs w:val="18"/>
    </w:rPr>
  </w:style>
  <w:style w:type="paragraph" w:styleId="49">
    <w:name w:val="footer"/>
    <w:basedOn w:val="1"/>
    <w:link w:val="108"/>
    <w:qFormat/>
    <w:uiPriority w:val="0"/>
    <w:pPr>
      <w:tabs>
        <w:tab w:val="center" w:pos="4153"/>
        <w:tab w:val="right" w:pos="8306"/>
      </w:tabs>
      <w:snapToGrid w:val="0"/>
      <w:jc w:val="left"/>
    </w:pPr>
    <w:rPr>
      <w:sz w:val="18"/>
      <w:szCs w:val="18"/>
    </w:rPr>
  </w:style>
  <w:style w:type="paragraph" w:styleId="50">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274"/>
    <w:qFormat/>
    <w:locked/>
    <w:uiPriority w:val="0"/>
    <w:pPr>
      <w:topLinePunct w:val="0"/>
      <w:adjustRightInd/>
      <w:snapToGrid w:val="0"/>
      <w:spacing w:before="360" w:after="680"/>
    </w:pPr>
    <w:rPr>
      <w:rFonts w:eastAsia="黑体"/>
      <w:b w:val="0"/>
      <w:sz w:val="48"/>
    </w:rPr>
  </w:style>
  <w:style w:type="paragraph" w:styleId="57">
    <w:name w:val="Title"/>
    <w:basedOn w:val="1"/>
    <w:link w:val="23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247"/>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2"/>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10"/>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275"/>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04"/>
    <w:unhideWhenUsed/>
    <w:qFormat/>
    <w:uiPriority w:val="0"/>
    <w:rPr>
      <w:b/>
      <w:bCs/>
    </w:rPr>
  </w:style>
  <w:style w:type="paragraph" w:styleId="73">
    <w:name w:val="Body Text First Indent"/>
    <w:basedOn w:val="30"/>
    <w:link w:val="213"/>
    <w:uiPriority w:val="0"/>
    <w:pPr>
      <w:spacing w:after="120"/>
      <w:ind w:firstLine="420" w:firstLineChars="100"/>
    </w:pPr>
    <w:rPr>
      <w:sz w:val="21"/>
    </w:rPr>
  </w:style>
  <w:style w:type="paragraph" w:styleId="74">
    <w:name w:val="Body Text First Indent 2"/>
    <w:basedOn w:val="31"/>
    <w:link w:val="232"/>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标题 1 Char"/>
    <w:basedOn w:val="77"/>
    <w:link w:val="3"/>
    <w:uiPriority w:val="0"/>
    <w:rPr>
      <w:rFonts w:ascii="Times New Roman" w:hAnsi="Times New Roman"/>
      <w:color w:val="000000"/>
      <w:kern w:val="2"/>
      <w:sz w:val="24"/>
    </w:rPr>
  </w:style>
  <w:style w:type="character" w:customStyle="1" w:styleId="95">
    <w:name w:val="标题 2 Char"/>
    <w:basedOn w:val="77"/>
    <w:link w:val="4"/>
    <w:uiPriority w:val="0"/>
    <w:rPr>
      <w:rFonts w:ascii="Arial" w:hAnsi="Arial" w:eastAsia="黑体"/>
      <w:sz w:val="32"/>
    </w:rPr>
  </w:style>
  <w:style w:type="character" w:customStyle="1" w:styleId="96">
    <w:name w:val="标题 3 Char"/>
    <w:basedOn w:val="77"/>
    <w:link w:val="5"/>
    <w:qFormat/>
    <w:uiPriority w:val="0"/>
    <w:rPr>
      <w:rFonts w:ascii="宋体" w:hAnsi="宋体" w:cs="宋体"/>
      <w:b/>
      <w:bCs/>
      <w:sz w:val="27"/>
      <w:szCs w:val="27"/>
    </w:rPr>
  </w:style>
  <w:style w:type="character" w:customStyle="1" w:styleId="97">
    <w:name w:val="标题 4 Char"/>
    <w:basedOn w:val="77"/>
    <w:link w:val="6"/>
    <w:uiPriority w:val="0"/>
    <w:rPr>
      <w:rFonts w:ascii="Times New Roman" w:hAnsi="Times New Roman"/>
      <w:kern w:val="2"/>
      <w:sz w:val="18"/>
      <w:szCs w:val="18"/>
    </w:rPr>
  </w:style>
  <w:style w:type="character" w:customStyle="1" w:styleId="98">
    <w:name w:val="标题 5 Char"/>
    <w:basedOn w:val="77"/>
    <w:link w:val="7"/>
    <w:uiPriority w:val="0"/>
    <w:rPr>
      <w:rFonts w:ascii="Times New Roman" w:hAnsi="Times New Roman"/>
      <w:b/>
      <w:kern w:val="2"/>
      <w:sz w:val="28"/>
    </w:rPr>
  </w:style>
  <w:style w:type="character" w:customStyle="1" w:styleId="99">
    <w:name w:val="标题 6 Char"/>
    <w:basedOn w:val="77"/>
    <w:link w:val="8"/>
    <w:uiPriority w:val="0"/>
    <w:rPr>
      <w:rFonts w:ascii="Arial" w:hAnsi="Arial" w:eastAsia="黑体"/>
      <w:b/>
      <w:kern w:val="2"/>
      <w:sz w:val="24"/>
    </w:rPr>
  </w:style>
  <w:style w:type="character" w:customStyle="1" w:styleId="100">
    <w:name w:val="标题 7 Char"/>
    <w:basedOn w:val="77"/>
    <w:link w:val="9"/>
    <w:uiPriority w:val="0"/>
    <w:rPr>
      <w:rFonts w:ascii="Times New Roman" w:hAnsi="Times New Roman"/>
      <w:b/>
      <w:kern w:val="2"/>
      <w:sz w:val="24"/>
    </w:rPr>
  </w:style>
  <w:style w:type="character" w:customStyle="1" w:styleId="101">
    <w:name w:val="标题 8 Char"/>
    <w:basedOn w:val="77"/>
    <w:link w:val="10"/>
    <w:uiPriority w:val="0"/>
    <w:rPr>
      <w:rFonts w:ascii="宋体" w:hAnsi="Times New Roman"/>
      <w:b/>
      <w:sz w:val="21"/>
    </w:rPr>
  </w:style>
  <w:style w:type="character" w:customStyle="1" w:styleId="102">
    <w:name w:val="标题 9 Char"/>
    <w:basedOn w:val="77"/>
    <w:link w:val="12"/>
    <w:uiPriority w:val="0"/>
    <w:rPr>
      <w:rFonts w:ascii="Arial" w:hAnsi="Arial" w:eastAsia="黑体"/>
      <w:kern w:val="2"/>
      <w:sz w:val="21"/>
    </w:rPr>
  </w:style>
  <w:style w:type="character" w:customStyle="1" w:styleId="103">
    <w:name w:val="批注文字 Char"/>
    <w:basedOn w:val="77"/>
    <w:link w:val="26"/>
    <w:qFormat/>
    <w:uiPriority w:val="99"/>
    <w:rPr>
      <w:kern w:val="2"/>
      <w:sz w:val="21"/>
    </w:rPr>
  </w:style>
  <w:style w:type="character" w:customStyle="1" w:styleId="104">
    <w:name w:val="批注主题 Char"/>
    <w:basedOn w:val="103"/>
    <w:link w:val="72"/>
    <w:qFormat/>
    <w:uiPriority w:val="0"/>
    <w:rPr>
      <w:b/>
      <w:bCs/>
    </w:rPr>
  </w:style>
  <w:style w:type="character" w:customStyle="1" w:styleId="105">
    <w:name w:val="正文文本 Char"/>
    <w:basedOn w:val="77"/>
    <w:link w:val="30"/>
    <w:uiPriority w:val="0"/>
    <w:rPr>
      <w:rFonts w:ascii="Times New Roman" w:hAnsi="Times New Roman"/>
      <w:kern w:val="2"/>
    </w:rPr>
  </w:style>
  <w:style w:type="character" w:customStyle="1" w:styleId="106">
    <w:name w:val="正文文本缩进 Char"/>
    <w:basedOn w:val="77"/>
    <w:link w:val="31"/>
    <w:uiPriority w:val="0"/>
    <w:rPr>
      <w:b/>
      <w:kern w:val="2"/>
      <w:sz w:val="30"/>
    </w:rPr>
  </w:style>
  <w:style w:type="character" w:customStyle="1" w:styleId="107">
    <w:name w:val="批注框文本 Char"/>
    <w:basedOn w:val="77"/>
    <w:link w:val="48"/>
    <w:qFormat/>
    <w:uiPriority w:val="0"/>
    <w:rPr>
      <w:kern w:val="2"/>
      <w:sz w:val="18"/>
      <w:szCs w:val="18"/>
    </w:rPr>
  </w:style>
  <w:style w:type="character" w:customStyle="1" w:styleId="108">
    <w:name w:val="页脚 Char"/>
    <w:aliases w:val="f Char,ft Char,Footer1 Char"/>
    <w:basedOn w:val="77"/>
    <w:link w:val="49"/>
    <w:qFormat/>
    <w:locked/>
    <w:uiPriority w:val="0"/>
    <w:rPr>
      <w:rFonts w:ascii="Times New Roman" w:hAnsi="Times New Roman" w:eastAsia="宋体" w:cs="Times New Roman"/>
      <w:sz w:val="18"/>
      <w:szCs w:val="18"/>
    </w:rPr>
  </w:style>
  <w:style w:type="character" w:customStyle="1" w:styleId="109">
    <w:name w:val="页眉 Char"/>
    <w:basedOn w:val="77"/>
    <w:link w:val="50"/>
    <w:semiHidden/>
    <w:qFormat/>
    <w:locked/>
    <w:uiPriority w:val="99"/>
    <w:rPr>
      <w:rFonts w:ascii="Times New Roman" w:hAnsi="Times New Roman" w:eastAsia="宋体" w:cs="Times New Roman"/>
      <w:sz w:val="18"/>
      <w:szCs w:val="18"/>
    </w:rPr>
  </w:style>
  <w:style w:type="character" w:customStyle="1" w:styleId="110">
    <w:name w:val="正文文本 2 Char"/>
    <w:basedOn w:val="77"/>
    <w:link w:val="66"/>
    <w:qFormat/>
    <w:uiPriority w:val="0"/>
    <w:rPr>
      <w:kern w:val="2"/>
      <w:sz w:val="21"/>
    </w:rPr>
  </w:style>
  <w:style w:type="paragraph" w:customStyle="1" w:styleId="111">
    <w:name w:val="普通文字"/>
    <w:basedOn w:val="1"/>
    <w:next w:val="1"/>
    <w:qFormat/>
    <w:uiPriority w:val="99"/>
    <w:rPr>
      <w:rFonts w:ascii="宋体"/>
      <w:kern w:val="0"/>
      <w:sz w:val="24"/>
      <w:u w:val="none" w:color="000000"/>
    </w:rPr>
  </w:style>
  <w:style w:type="character" w:customStyle="1" w:styleId="112">
    <w:name w:val="明显参考1"/>
    <w:basedOn w:val="77"/>
    <w:qFormat/>
    <w:uiPriority w:val="99"/>
    <w:rPr>
      <w:rFonts w:cs="Times New Roman"/>
      <w:b/>
      <w:bCs/>
      <w:smallCaps/>
      <w:color w:val="C0504D"/>
      <w:spacing w:val="5"/>
      <w:u w:val="single"/>
    </w:rPr>
  </w:style>
  <w:style w:type="paragraph" w:customStyle="1" w:styleId="113">
    <w:name w:val="正文_1_1"/>
    <w:qFormat/>
    <w:uiPriority w:val="0"/>
    <w:pPr>
      <w:widowControl w:val="0"/>
      <w:jc w:val="both"/>
    </w:pPr>
    <w:rPr>
      <w:kern w:val="2"/>
      <w:sz w:val="21"/>
      <w:szCs w:val="22"/>
      <w:lang w:val="en-US" w:eastAsia="zh-CN" w:bidi="ar-SA"/>
    </w:rPr>
  </w:style>
  <w:style w:type="paragraph" w:styleId="114">
    <w:name w:val="List Paragraph"/>
    <w:basedOn w:val="1"/>
    <w:qFormat/>
    <w:uiPriority w:val="0"/>
    <w:pPr>
      <w:ind w:firstLine="420" w:firstLineChars="200"/>
    </w:pPr>
  </w:style>
  <w:style w:type="paragraph" w:customStyle="1" w:styleId="115">
    <w:name w:val="正文_1"/>
    <w:qFormat/>
    <w:uiPriority w:val="0"/>
    <w:pPr>
      <w:widowControl w:val="0"/>
      <w:jc w:val="both"/>
    </w:pPr>
    <w:rPr>
      <w:kern w:val="2"/>
      <w:sz w:val="21"/>
      <w:szCs w:val="22"/>
      <w:lang w:val="en-US" w:eastAsia="zh-CN" w:bidi="ar-SA"/>
    </w:rPr>
  </w:style>
  <w:style w:type="paragraph" w:customStyle="1" w:styleId="116">
    <w:name w:val="正文_1_0"/>
    <w:qFormat/>
    <w:uiPriority w:val="0"/>
    <w:pPr>
      <w:widowControl w:val="0"/>
      <w:jc w:val="both"/>
    </w:pPr>
    <w:rPr>
      <w:kern w:val="2"/>
      <w:sz w:val="21"/>
      <w:szCs w:val="22"/>
      <w:lang w:val="en-US" w:eastAsia="zh-CN" w:bidi="ar-SA"/>
    </w:rPr>
  </w:style>
  <w:style w:type="paragraph" w:customStyle="1" w:styleId="117">
    <w:name w:val="Normal_0_0"/>
    <w:qFormat/>
    <w:uiPriority w:val="0"/>
    <w:rPr>
      <w:rFonts w:ascii="黑体" w:hAnsi="黑体" w:eastAsia="黑体"/>
      <w:b/>
      <w:sz w:val="32"/>
      <w:szCs w:val="24"/>
      <w:lang w:val="en-US" w:eastAsia="zh-CN" w:bidi="ar-SA"/>
    </w:rPr>
  </w:style>
  <w:style w:type="character" w:customStyle="1" w:styleId="118">
    <w:name w:val="样式 标题 1 + 加粗 Char Char"/>
    <w:basedOn w:val="119"/>
    <w:uiPriority w:val="0"/>
    <w:rPr>
      <w:b/>
      <w:bCs/>
    </w:rPr>
  </w:style>
  <w:style w:type="character" w:customStyle="1" w:styleId="119">
    <w:name w:val="标题 1 Char Char"/>
    <w:basedOn w:val="77"/>
    <w:uiPriority w:val="0"/>
    <w:rPr>
      <w:rFonts w:eastAsia="黑体"/>
      <w:kern w:val="44"/>
      <w:sz w:val="28"/>
      <w:szCs w:val="28"/>
      <w:lang w:val="en-US" w:eastAsia="zh-CN" w:bidi="ar-SA"/>
    </w:rPr>
  </w:style>
  <w:style w:type="character" w:customStyle="1" w:styleId="120">
    <w:name w:val="表头 Char Char"/>
    <w:basedOn w:val="77"/>
    <w:uiPriority w:val="0"/>
    <w:rPr>
      <w:rFonts w:eastAsia="黑体"/>
      <w:kern w:val="2"/>
      <w:sz w:val="21"/>
      <w:szCs w:val="21"/>
      <w:lang w:val="en-US" w:eastAsia="zh-CN" w:bidi="ar-SA"/>
    </w:rPr>
  </w:style>
  <w:style w:type="character" w:customStyle="1" w:styleId="121">
    <w:name w:val="样式 标题 2 + 五号 Char Char"/>
    <w:basedOn w:val="77"/>
    <w:uiPriority w:val="0"/>
    <w:rPr>
      <w:rFonts w:eastAsia="黑体"/>
      <w:bCs/>
      <w:kern w:val="2"/>
      <w:sz w:val="21"/>
      <w:szCs w:val="21"/>
      <w:lang w:val="en-US" w:eastAsia="zh-CN" w:bidi="ar-SA"/>
    </w:rPr>
  </w:style>
  <w:style w:type="character" w:customStyle="1" w:styleId="122">
    <w:name w:val="正文文本缩进 3 Char"/>
    <w:basedOn w:val="77"/>
    <w:link w:val="60"/>
    <w:uiPriority w:val="0"/>
    <w:rPr>
      <w:rFonts w:ascii="Times New Roman" w:hAnsi="Times New Roman"/>
      <w:kern w:val="2"/>
      <w:sz w:val="24"/>
    </w:rPr>
  </w:style>
  <w:style w:type="character" w:customStyle="1" w:styleId="123">
    <w:name w:val="文档结构图 Char"/>
    <w:basedOn w:val="77"/>
    <w:link w:val="25"/>
    <w:uiPriority w:val="0"/>
    <w:rPr>
      <w:rFonts w:ascii="Times New Roman" w:hAnsi="Times New Roman"/>
      <w:kern w:val="2"/>
      <w:sz w:val="21"/>
      <w:shd w:val="clear" w:color="auto" w:fill="000080"/>
    </w:rPr>
  </w:style>
  <w:style w:type="character" w:customStyle="1" w:styleId="124">
    <w:name w:val="日期 Char"/>
    <w:basedOn w:val="77"/>
    <w:link w:val="44"/>
    <w:uiPriority w:val="0"/>
    <w:rPr>
      <w:rFonts w:ascii="Arial" w:hAnsi="Arial"/>
      <w:kern w:val="2"/>
      <w:sz w:val="21"/>
    </w:rPr>
  </w:style>
  <w:style w:type="paragraph" w:customStyle="1" w:styleId="125">
    <w:name w:val="p0"/>
    <w:basedOn w:val="1"/>
    <w:qFormat/>
    <w:uiPriority w:val="0"/>
    <w:pPr>
      <w:widowControl/>
      <w:spacing w:after="200" w:line="273" w:lineRule="auto"/>
      <w:jc w:val="left"/>
    </w:pPr>
    <w:rPr>
      <w:rFonts w:ascii="Calibri" w:hAnsi="Calibri" w:cs="宋体"/>
      <w:kern w:val="0"/>
      <w:sz w:val="22"/>
      <w:szCs w:val="22"/>
    </w:rPr>
  </w:style>
  <w:style w:type="paragraph" w:customStyle="1" w:styleId="126">
    <w:name w:val="表文"/>
    <w:basedOn w:val="1"/>
    <w:uiPriority w:val="0"/>
    <w:pPr>
      <w:topLinePunct/>
      <w:spacing w:before="40" w:after="40"/>
    </w:pPr>
    <w:rPr>
      <w:sz w:val="18"/>
      <w:szCs w:val="18"/>
    </w:rPr>
  </w:style>
  <w:style w:type="paragraph" w:customStyle="1" w:styleId="127">
    <w:name w:val="样式 样式 标题 2 + 段前: 0.5 行 段后: 0.5 行 + 首行缩进:  2 字符 段前: 0.5 行 段后: 0..."/>
    <w:basedOn w:val="128"/>
    <w:uiPriority w:val="0"/>
  </w:style>
  <w:style w:type="paragraph" w:customStyle="1" w:styleId="128">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29">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30">
    <w:name w:val="批注主题 Char Char"/>
    <w:basedOn w:val="26"/>
    <w:next w:val="26"/>
    <w:uiPriority w:val="0"/>
    <w:rPr>
      <w:b/>
      <w:bCs/>
    </w:rPr>
  </w:style>
  <w:style w:type="paragraph" w:customStyle="1" w:styleId="131">
    <w:name w:val="表头"/>
    <w:basedOn w:val="1"/>
    <w:link w:val="132"/>
    <w:uiPriority w:val="0"/>
    <w:pPr>
      <w:topLinePunct/>
      <w:spacing w:before="160" w:after="60"/>
      <w:jc w:val="center"/>
    </w:pPr>
    <w:rPr>
      <w:rFonts w:eastAsia="黑体"/>
      <w:szCs w:val="21"/>
    </w:rPr>
  </w:style>
  <w:style w:type="character" w:customStyle="1" w:styleId="132">
    <w:name w:val="表头 Char"/>
    <w:basedOn w:val="77"/>
    <w:link w:val="131"/>
    <w:uiPriority w:val="0"/>
    <w:rPr>
      <w:rFonts w:ascii="Times New Roman" w:hAnsi="Times New Roman" w:eastAsia="黑体"/>
      <w:kern w:val="2"/>
      <w:sz w:val="21"/>
      <w:szCs w:val="21"/>
    </w:rPr>
  </w:style>
  <w:style w:type="character" w:customStyle="1" w:styleId="133">
    <w:name w:val="正文文本缩进 2 Char"/>
    <w:basedOn w:val="77"/>
    <w:link w:val="45"/>
    <w:uiPriority w:val="0"/>
    <w:rPr>
      <w:rFonts w:ascii="Times New Roman" w:hAnsi="Times New Roman"/>
      <w:kern w:val="2"/>
      <w:sz w:val="21"/>
    </w:rPr>
  </w:style>
  <w:style w:type="paragraph" w:customStyle="1" w:styleId="134">
    <w:name w:val="默认段落字体 Para Char Char Char Char Char"/>
    <w:basedOn w:val="1"/>
    <w:uiPriority w:val="0"/>
    <w:rPr>
      <w:rFonts w:ascii="宋体" w:hAnsi="宋体"/>
      <w:b/>
      <w:color w:val="000000"/>
      <w:sz w:val="24"/>
      <w:szCs w:val="24"/>
    </w:rPr>
  </w:style>
  <w:style w:type="paragraph" w:customStyle="1" w:styleId="135">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36">
    <w:name w:val="样式6"/>
    <w:basedOn w:val="1"/>
    <w:uiPriority w:val="0"/>
    <w:pPr>
      <w:topLinePunct/>
      <w:spacing w:before="160" w:after="60"/>
      <w:jc w:val="center"/>
    </w:pPr>
    <w:rPr>
      <w:rFonts w:eastAsia="黑体"/>
      <w:szCs w:val="21"/>
    </w:rPr>
  </w:style>
  <w:style w:type="paragraph" w:customStyle="1" w:styleId="137">
    <w:name w:val="Char Char"/>
    <w:basedOn w:val="1"/>
    <w:uiPriority w:val="0"/>
    <w:rPr>
      <w:szCs w:val="21"/>
    </w:rPr>
  </w:style>
  <w:style w:type="paragraph" w:customStyle="1" w:styleId="138">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139">
    <w:name w:val="Char Char Char Char"/>
    <w:basedOn w:val="1"/>
    <w:uiPriority w:val="0"/>
    <w:rPr>
      <w:szCs w:val="24"/>
    </w:rPr>
  </w:style>
  <w:style w:type="paragraph" w:customStyle="1" w:styleId="140">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41">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42">
    <w:name w:val="Char"/>
    <w:basedOn w:val="1"/>
    <w:uiPriority w:val="0"/>
    <w:rPr>
      <w:szCs w:val="24"/>
    </w:rPr>
  </w:style>
  <w:style w:type="paragraph" w:customStyle="1" w:styleId="143">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44">
    <w:name w:val="批注框文本 Char Char"/>
    <w:basedOn w:val="1"/>
    <w:uiPriority w:val="0"/>
    <w:rPr>
      <w:sz w:val="18"/>
      <w:szCs w:val="18"/>
    </w:rPr>
  </w:style>
  <w:style w:type="paragraph" w:customStyle="1" w:styleId="145">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46">
    <w:name w:val="正文格式"/>
    <w:basedOn w:val="1"/>
    <w:uiPriority w:val="0"/>
    <w:pPr>
      <w:topLinePunct/>
      <w:ind w:firstLine="420" w:firstLineChars="200"/>
    </w:pPr>
    <w:rPr>
      <w:rFonts w:ascii="宋体" w:hAnsi="宋体"/>
      <w:bCs/>
      <w:szCs w:val="21"/>
    </w:rPr>
  </w:style>
  <w:style w:type="paragraph" w:customStyle="1" w:styleId="147">
    <w:name w:val="段"/>
    <w:link w:val="148"/>
    <w:uiPriority w:val="0"/>
    <w:pPr>
      <w:autoSpaceDE w:val="0"/>
      <w:autoSpaceDN w:val="0"/>
      <w:ind w:firstLine="200" w:firstLineChars="200"/>
      <w:jc w:val="both"/>
    </w:pPr>
    <w:rPr>
      <w:rFonts w:ascii="宋体" w:hAnsi="Times New Roman"/>
      <w:sz w:val="21"/>
      <w:lang w:val="en-US" w:eastAsia="zh-CN" w:bidi="ar-SA"/>
    </w:rPr>
  </w:style>
  <w:style w:type="character" w:customStyle="1" w:styleId="148">
    <w:name w:val="段 Char Char"/>
    <w:basedOn w:val="77"/>
    <w:link w:val="147"/>
    <w:uiPriority w:val="0"/>
    <w:rPr>
      <w:rFonts w:ascii="宋体" w:hAnsi="Times New Roman"/>
      <w:sz w:val="21"/>
      <w:lang w:val="en-US" w:eastAsia="zh-CN" w:bidi="ar-SA"/>
    </w:rPr>
  </w:style>
  <w:style w:type="paragraph" w:customStyle="1" w:styleId="149">
    <w:name w:val="样式1"/>
    <w:basedOn w:val="1"/>
    <w:link w:val="150"/>
    <w:uiPriority w:val="0"/>
    <w:rPr>
      <w:sz w:val="28"/>
      <w:szCs w:val="24"/>
    </w:rPr>
  </w:style>
  <w:style w:type="character" w:customStyle="1" w:styleId="150">
    <w:name w:val="样式1 Char"/>
    <w:basedOn w:val="77"/>
    <w:link w:val="149"/>
    <w:locked/>
    <w:uiPriority w:val="0"/>
    <w:rPr>
      <w:rFonts w:ascii="Times New Roman" w:hAnsi="Times New Roman"/>
      <w:kern w:val="2"/>
      <w:sz w:val="28"/>
      <w:szCs w:val="24"/>
    </w:rPr>
  </w:style>
  <w:style w:type="paragraph" w:customStyle="1" w:styleId="151">
    <w:name w:val="样式4"/>
    <w:basedOn w:val="152"/>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52">
    <w:name w:val="样式3"/>
    <w:basedOn w:val="149"/>
    <w:uiPriority w:val="0"/>
  </w:style>
  <w:style w:type="paragraph" w:customStyle="1" w:styleId="153">
    <w:name w:val="样式2"/>
    <w:basedOn w:val="149"/>
    <w:link w:val="154"/>
    <w:uiPriority w:val="0"/>
  </w:style>
  <w:style w:type="character" w:customStyle="1" w:styleId="154">
    <w:name w:val="样式2 Char Char"/>
    <w:link w:val="153"/>
    <w:uiPriority w:val="0"/>
    <w:rPr>
      <w:rFonts w:ascii="Times New Roman" w:hAnsi="Times New Roman"/>
      <w:kern w:val="2"/>
      <w:sz w:val="28"/>
      <w:szCs w:val="24"/>
    </w:rPr>
  </w:style>
  <w:style w:type="paragraph" w:customStyle="1" w:styleId="155">
    <w:name w:val="正文1"/>
    <w:basedOn w:val="149"/>
    <w:link w:val="156"/>
    <w:qFormat/>
    <w:uiPriority w:val="0"/>
  </w:style>
  <w:style w:type="character" w:customStyle="1" w:styleId="156">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55"/>
    <w:uiPriority w:val="0"/>
    <w:rPr>
      <w:rFonts w:ascii="Times New Roman" w:hAnsi="Times New Roman"/>
      <w:kern w:val="2"/>
      <w:sz w:val="28"/>
      <w:szCs w:val="24"/>
    </w:rPr>
  </w:style>
  <w:style w:type="character" w:customStyle="1" w:styleId="157">
    <w:name w:val="纯文本 Char"/>
    <w:basedOn w:val="77"/>
    <w:link w:val="41"/>
    <w:qFormat/>
    <w:uiPriority w:val="0"/>
    <w:rPr>
      <w:rFonts w:ascii="宋体" w:hAnsi="Courier New"/>
      <w:kern w:val="2"/>
      <w:sz w:val="21"/>
    </w:rPr>
  </w:style>
  <w:style w:type="character" w:customStyle="1" w:styleId="158">
    <w:name w:val="纯文本 Char1"/>
    <w:basedOn w:val="77"/>
    <w:link w:val="41"/>
    <w:semiHidden/>
    <w:uiPriority w:val="99"/>
    <w:rPr>
      <w:rFonts w:ascii="宋体" w:hAnsi="Courier New" w:cs="Courier New"/>
      <w:kern w:val="2"/>
      <w:sz w:val="21"/>
      <w:szCs w:val="21"/>
    </w:rPr>
  </w:style>
  <w:style w:type="character" w:customStyle="1" w:styleId="159">
    <w:name w:val="正文文本 3 Char"/>
    <w:basedOn w:val="77"/>
    <w:link w:val="28"/>
    <w:uiPriority w:val="0"/>
    <w:rPr>
      <w:kern w:val="2"/>
      <w:sz w:val="16"/>
      <w:szCs w:val="16"/>
    </w:rPr>
  </w:style>
  <w:style w:type="character" w:customStyle="1" w:styleId="160">
    <w:name w:val="正文文本 3 Char1"/>
    <w:basedOn w:val="77"/>
    <w:link w:val="28"/>
    <w:semiHidden/>
    <w:uiPriority w:val="99"/>
    <w:rPr>
      <w:rFonts w:ascii="Times New Roman" w:hAnsi="Times New Roman"/>
      <w:kern w:val="2"/>
      <w:sz w:val="16"/>
      <w:szCs w:val="16"/>
    </w:rPr>
  </w:style>
  <w:style w:type="character" w:customStyle="1" w:styleId="161">
    <w:name w:val="样式 标题 1 + 加粗 Char"/>
    <w:basedOn w:val="94"/>
    <w:uiPriority w:val="0"/>
    <w:rPr>
      <w:rFonts w:eastAsia="黑体"/>
      <w:b/>
      <w:bCs/>
      <w:sz w:val="28"/>
      <w:szCs w:val="28"/>
      <w:lang w:val="en-US" w:eastAsia="zh-CN" w:bidi="ar-SA"/>
    </w:rPr>
  </w:style>
  <w:style w:type="paragraph" w:customStyle="1" w:styleId="16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63">
    <w:name w:val="二级条标题"/>
    <w:basedOn w:val="162"/>
    <w:next w:val="1"/>
    <w:uiPriority w:val="0"/>
    <w:pPr>
      <w:numPr>
        <w:ilvl w:val="3"/>
        <w:numId w:val="1"/>
      </w:numPr>
      <w:outlineLvl w:val="3"/>
    </w:pPr>
  </w:style>
  <w:style w:type="paragraph" w:customStyle="1" w:styleId="164">
    <w:name w:val="正文表标题"/>
    <w:next w:val="1"/>
    <w:uiPriority w:val="0"/>
    <w:pPr>
      <w:jc w:val="center"/>
    </w:pPr>
    <w:rPr>
      <w:rFonts w:ascii="黑体" w:hAnsi="Times New Roman" w:eastAsia="黑体"/>
      <w:sz w:val="21"/>
      <w:lang w:val="en-US" w:eastAsia="zh-CN" w:bidi="ar-SA"/>
    </w:rPr>
  </w:style>
  <w:style w:type="paragraph" w:customStyle="1" w:styleId="165">
    <w:name w:val="注："/>
    <w:next w:val="1"/>
    <w:uiPriority w:val="0"/>
    <w:pPr>
      <w:widowControl w:val="0"/>
      <w:tabs>
        <w:tab w:val="left" w:pos="780"/>
      </w:tabs>
      <w:autoSpaceDE w:val="0"/>
      <w:autoSpaceDN w:val="0"/>
      <w:ind w:left="780" w:hanging="360"/>
      <w:jc w:val="both"/>
    </w:pPr>
    <w:rPr>
      <w:rFonts w:ascii="宋体" w:hAnsi="Times New Roman"/>
      <w:sz w:val="18"/>
      <w:lang w:val="en-US" w:eastAsia="zh-CN" w:bidi="ar-SA"/>
    </w:rPr>
  </w:style>
  <w:style w:type="character" w:customStyle="1" w:styleId="166">
    <w:name w:val="msoins"/>
    <w:uiPriority w:val="0"/>
    <w:rPr>
      <w:u w:val="single"/>
    </w:rPr>
  </w:style>
  <w:style w:type="character" w:customStyle="1" w:styleId="167">
    <w:name w:val="样式 正文（首行缩进两字） Char + 加粗 Char Char"/>
    <w:uiPriority w:val="0"/>
    <w:rPr>
      <w:rFonts w:eastAsia="宋体"/>
      <w:b/>
      <w:kern w:val="2"/>
      <w:sz w:val="21"/>
      <w:lang w:val="en-US" w:eastAsia="zh-CN"/>
    </w:rPr>
  </w:style>
  <w:style w:type="character" w:customStyle="1" w:styleId="168">
    <w:name w:val="style251"/>
    <w:uiPriority w:val="0"/>
    <w:rPr>
      <w:rFonts w:eastAsia="宋体"/>
      <w:kern w:val="2"/>
      <w:sz w:val="21"/>
      <w:lang w:val="en-US" w:eastAsia="zh-CN"/>
    </w:rPr>
  </w:style>
  <w:style w:type="character" w:customStyle="1" w:styleId="169">
    <w:name w:val="着重强调"/>
    <w:uiPriority w:val="0"/>
    <w:rPr>
      <w:rFonts w:ascii="Arial" w:hAnsi="Arial"/>
      <w:b/>
      <w:spacing w:val="-4"/>
    </w:rPr>
  </w:style>
  <w:style w:type="character" w:customStyle="1" w:styleId="170">
    <w:name w:val="发布"/>
    <w:uiPriority w:val="0"/>
    <w:rPr>
      <w:rFonts w:ascii="黑体" w:eastAsia="黑体"/>
      <w:spacing w:val="22"/>
      <w:w w:val="100"/>
      <w:position w:val="3"/>
      <w:sz w:val="28"/>
    </w:rPr>
  </w:style>
  <w:style w:type="character" w:customStyle="1" w:styleId="171">
    <w:name w:val="样式 样式 正文缩进正文缩进 Char正文（首行缩进两字） Char Char正文（首行缩进两字） Char1正文（首行缩进两.... Char Char"/>
    <w:basedOn w:val="172"/>
    <w:link w:val="174"/>
    <w:uiPriority w:val="0"/>
  </w:style>
  <w:style w:type="character" w:customStyle="1" w:styleId="172">
    <w:name w:val="样式 正文缩进正文缩进 Char正文（首行缩进两字） Char Char正文（首行缩进两字） Char1正文（首行缩进两...1 Char Char"/>
    <w:link w:val="173"/>
    <w:uiPriority w:val="0"/>
    <w:rPr>
      <w:kern w:val="2"/>
      <w:sz w:val="21"/>
    </w:rPr>
  </w:style>
  <w:style w:type="paragraph" w:customStyle="1" w:styleId="173">
    <w:name w:val="样式 正文缩进正文缩进 Char正文（首行缩进两字） Char Char正文（首行缩进两字） Char1正文（首行缩进两...1"/>
    <w:basedOn w:val="1"/>
    <w:link w:val="172"/>
    <w:uiPriority w:val="0"/>
    <w:pPr>
      <w:spacing w:beforeLines="10" w:line="312" w:lineRule="auto"/>
      <w:ind w:firstLine="200" w:firstLineChars="200"/>
    </w:pPr>
    <w:rPr>
      <w:rFonts w:ascii="Calibri" w:hAnsi="Calibri"/>
    </w:rPr>
  </w:style>
  <w:style w:type="paragraph" w:customStyle="1" w:styleId="174">
    <w:name w:val="样式 样式 正文缩进正文缩进 Char正文（首行缩进两字） Char Char正文（首行缩进两字） Char1正文（首行缩进两...."/>
    <w:basedOn w:val="173"/>
    <w:link w:val="171"/>
    <w:uiPriority w:val="0"/>
    <w:pPr>
      <w:spacing w:line="300" w:lineRule="auto"/>
    </w:pPr>
    <w:rPr>
      <w:rFonts w:ascii="Calibri" w:hAnsi="Calibri"/>
    </w:rPr>
  </w:style>
  <w:style w:type="character" w:customStyle="1" w:styleId="175">
    <w:name w:val="样式 Times New Roman 首行缩进:  0.74 厘米 段前: 0.1 行 行距1.15 Char Char"/>
    <w:link w:val="176"/>
    <w:uiPriority w:val="0"/>
    <w:rPr>
      <w:rFonts w:hAnsi="宋体"/>
      <w:kern w:val="2"/>
      <w:sz w:val="21"/>
    </w:rPr>
  </w:style>
  <w:style w:type="paragraph" w:customStyle="1" w:styleId="176">
    <w:name w:val="样式 Times New Roman 首行缩进:  0.74 厘米 段前: 0.1 行 行距1.15"/>
    <w:basedOn w:val="1"/>
    <w:link w:val="175"/>
    <w:uiPriority w:val="0"/>
    <w:pPr>
      <w:spacing w:line="276" w:lineRule="auto"/>
      <w:ind w:firstLine="420"/>
    </w:pPr>
    <w:rPr>
      <w:rFonts w:ascii="Calibri" w:hAnsi="宋体"/>
    </w:rPr>
  </w:style>
  <w:style w:type="character" w:customStyle="1" w:styleId="177">
    <w:name w:val="样式 样式 Times New Roman 首行缩进:  0.74 厘米 段前: 0行 行距1.15 + (符号) Tim... Char Char"/>
    <w:basedOn w:val="175"/>
    <w:link w:val="178"/>
    <w:uiPriority w:val="0"/>
  </w:style>
  <w:style w:type="paragraph" w:customStyle="1" w:styleId="178">
    <w:name w:val="样式 样式 Times New Roman 首行缩进:  0.74 厘米 段前: 0行 行距1.15 + (符号) Tim..."/>
    <w:basedOn w:val="176"/>
    <w:link w:val="177"/>
    <w:uiPriority w:val="0"/>
  </w:style>
  <w:style w:type="character" w:customStyle="1" w:styleId="179">
    <w:name w:val="表格条文首行缩进 Char Char"/>
    <w:link w:val="180"/>
    <w:uiPriority w:val="0"/>
    <w:rPr>
      <w:rFonts w:ascii="宋体" w:hAnsi="宋体"/>
      <w:sz w:val="24"/>
    </w:rPr>
  </w:style>
  <w:style w:type="paragraph" w:customStyle="1" w:styleId="180">
    <w:name w:val="表格条文首行缩进"/>
    <w:basedOn w:val="1"/>
    <w:link w:val="179"/>
    <w:uiPriority w:val="0"/>
    <w:pPr>
      <w:spacing w:line="360" w:lineRule="auto"/>
      <w:ind w:firstLine="480" w:firstLineChars="200"/>
      <w:jc w:val="left"/>
    </w:pPr>
    <w:rPr>
      <w:rFonts w:ascii="宋体" w:hAnsi="宋体"/>
      <w:kern w:val="0"/>
      <w:sz w:val="24"/>
    </w:rPr>
  </w:style>
  <w:style w:type="character" w:customStyle="1" w:styleId="181">
    <w:name w:val="个人撰写风格"/>
    <w:uiPriority w:val="0"/>
    <w:rPr>
      <w:rFonts w:ascii="Arial" w:hAnsi="Arial" w:eastAsia="宋体"/>
      <w:color w:val="auto"/>
      <w:sz w:val="20"/>
    </w:rPr>
  </w:style>
  <w:style w:type="character" w:customStyle="1" w:styleId="182">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83">
    <w:name w:val="样式 宋体"/>
    <w:uiPriority w:val="0"/>
    <w:rPr>
      <w:rFonts w:ascii="宋体" w:eastAsia="宋体"/>
      <w:sz w:val="18"/>
    </w:rPr>
  </w:style>
  <w:style w:type="character" w:customStyle="1" w:styleId="184">
    <w:name w:val="样式 a) Char Char"/>
    <w:link w:val="185"/>
    <w:uiPriority w:val="0"/>
    <w:rPr>
      <w:kern w:val="2"/>
      <w:sz w:val="21"/>
    </w:rPr>
  </w:style>
  <w:style w:type="paragraph" w:customStyle="1" w:styleId="185">
    <w:name w:val="样式 a)"/>
    <w:basedOn w:val="1"/>
    <w:next w:val="1"/>
    <w:link w:val="184"/>
    <w:uiPriority w:val="0"/>
    <w:pPr>
      <w:tabs>
        <w:tab w:val="left" w:pos="780"/>
      </w:tabs>
      <w:spacing w:beforeLines="10" w:line="312" w:lineRule="auto"/>
      <w:ind w:firstLine="200" w:firstLineChars="200"/>
    </w:pPr>
    <w:rPr>
      <w:rFonts w:ascii="Calibri" w:hAnsi="Calibri"/>
    </w:rPr>
  </w:style>
  <w:style w:type="character" w:customStyle="1" w:styleId="186">
    <w:name w:val="样式 标题 2 + 段前: 0.1 行 Char Char"/>
    <w:link w:val="187"/>
    <w:uiPriority w:val="0"/>
    <w:rPr>
      <w:b/>
      <w:kern w:val="2"/>
      <w:sz w:val="21"/>
    </w:rPr>
  </w:style>
  <w:style w:type="paragraph" w:customStyle="1" w:styleId="187">
    <w:name w:val="样式 标题 2 + 段前: 0.1 行"/>
    <w:basedOn w:val="4"/>
    <w:link w:val="186"/>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88">
    <w:name w:val="样式 正文（首行缩进两字） Char + Times New Roman Char Char"/>
    <w:basedOn w:val="189"/>
    <w:link w:val="191"/>
    <w:uiPriority w:val="0"/>
  </w:style>
  <w:style w:type="character" w:customStyle="1" w:styleId="189">
    <w:name w:val="样式1正文（首行缩进两字） Char Char Char"/>
    <w:link w:val="190"/>
    <w:uiPriority w:val="0"/>
    <w:rPr>
      <w:kern w:val="2"/>
      <w:sz w:val="21"/>
    </w:rPr>
  </w:style>
  <w:style w:type="paragraph" w:customStyle="1" w:styleId="190">
    <w:name w:val="样式1正文（首行缩进两字） Char"/>
    <w:basedOn w:val="1"/>
    <w:next w:val="1"/>
    <w:link w:val="189"/>
    <w:uiPriority w:val="0"/>
    <w:pPr>
      <w:topLinePunct/>
      <w:snapToGrid w:val="0"/>
      <w:spacing w:before="40" w:after="40"/>
      <w:ind w:firstLine="396" w:firstLineChars="200"/>
    </w:pPr>
    <w:rPr>
      <w:rFonts w:ascii="Calibri" w:hAnsi="Calibri"/>
    </w:rPr>
  </w:style>
  <w:style w:type="paragraph" w:customStyle="1" w:styleId="191">
    <w:name w:val="样式 正文（首行缩进两字） Char + Times New Roman"/>
    <w:basedOn w:val="190"/>
    <w:link w:val="188"/>
    <w:uiPriority w:val="0"/>
    <w:pPr>
      <w:ind w:firstLine="0" w:firstLineChars="0"/>
      <w:jc w:val="center"/>
    </w:pPr>
    <w:rPr>
      <w:rFonts w:ascii="Calibri" w:hAnsi="Calibri"/>
    </w:rPr>
  </w:style>
  <w:style w:type="character" w:customStyle="1" w:styleId="192">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193">
    <w:name w:val="列表编号 2 Char Char"/>
    <w:uiPriority w:val="0"/>
    <w:rPr>
      <w:rFonts w:ascii="Arial" w:hAnsi="Arial" w:eastAsia="宋体"/>
      <w:sz w:val="18"/>
      <w:lang w:val="en-US" w:eastAsia="zh-CN"/>
    </w:rPr>
  </w:style>
  <w:style w:type="character" w:customStyle="1" w:styleId="194">
    <w:name w:val="Char Char2"/>
    <w:uiPriority w:val="0"/>
    <w:rPr>
      <w:rFonts w:ascii="Arial" w:hAnsi="Arial" w:eastAsia="宋体"/>
      <w:kern w:val="2"/>
      <w:sz w:val="21"/>
      <w:lang w:val="en-US" w:eastAsia="zh-CN"/>
    </w:rPr>
  </w:style>
  <w:style w:type="character" w:customStyle="1" w:styleId="195">
    <w:name w:val="科东_正文 Char Char"/>
    <w:link w:val="196"/>
    <w:uiPriority w:val="0"/>
    <w:rPr>
      <w:kern w:val="2"/>
      <w:sz w:val="24"/>
    </w:rPr>
  </w:style>
  <w:style w:type="paragraph" w:customStyle="1" w:styleId="196">
    <w:name w:val="科东_正文"/>
    <w:basedOn w:val="1"/>
    <w:link w:val="195"/>
    <w:uiPriority w:val="0"/>
    <w:pPr>
      <w:spacing w:line="360" w:lineRule="auto"/>
      <w:ind w:firstLine="200" w:firstLineChars="200"/>
    </w:pPr>
    <w:rPr>
      <w:rFonts w:ascii="Calibri" w:hAnsi="Calibri"/>
      <w:sz w:val="24"/>
    </w:rPr>
  </w:style>
  <w:style w:type="character" w:customStyle="1" w:styleId="197">
    <w:name w:val="个人答复风格"/>
    <w:uiPriority w:val="0"/>
    <w:rPr>
      <w:rFonts w:ascii="Arial" w:hAnsi="Arial" w:eastAsia="宋体"/>
      <w:color w:val="auto"/>
      <w:sz w:val="20"/>
    </w:rPr>
  </w:style>
  <w:style w:type="character" w:customStyle="1" w:styleId="198">
    <w:name w:val="样式1 正文（首行缩进2字） Char + 首行缩进:  2 字符 段前: 0 行 Char Char"/>
    <w:link w:val="199"/>
    <w:uiPriority w:val="0"/>
    <w:rPr>
      <w:rFonts w:hAnsi="Arial"/>
      <w:kern w:val="2"/>
      <w:sz w:val="21"/>
    </w:rPr>
  </w:style>
  <w:style w:type="paragraph" w:customStyle="1" w:styleId="199">
    <w:name w:val="样式1 正文（首行缩进2字） Char + 首行缩进:  2 字符 段前: 0 行"/>
    <w:basedOn w:val="1"/>
    <w:next w:val="1"/>
    <w:link w:val="198"/>
    <w:uiPriority w:val="0"/>
    <w:pPr>
      <w:spacing w:line="276" w:lineRule="auto"/>
      <w:ind w:firstLine="420" w:firstLineChars="200"/>
    </w:pPr>
    <w:rPr>
      <w:rFonts w:ascii="Calibri" w:hAnsi="Arial"/>
    </w:rPr>
  </w:style>
  <w:style w:type="character" w:customStyle="1" w:styleId="200">
    <w:name w:val="样式 a首行缩进:  0 字符 段前: 0 行 + 黑体 Char Char"/>
    <w:link w:val="201"/>
    <w:uiPriority w:val="0"/>
    <w:rPr>
      <w:rFonts w:eastAsia="黑体"/>
      <w:sz w:val="21"/>
    </w:rPr>
  </w:style>
  <w:style w:type="paragraph" w:customStyle="1" w:styleId="201">
    <w:name w:val="样式 a首行缩进:  0 字符 段前: 0 行 + 黑体"/>
    <w:basedOn w:val="202"/>
    <w:link w:val="200"/>
    <w:uiPriority w:val="0"/>
    <w:rPr>
      <w:rFonts w:eastAsia="黑体"/>
    </w:rPr>
  </w:style>
  <w:style w:type="paragraph" w:customStyle="1" w:styleId="202">
    <w:name w:val="样式 a首行缩进:  2 字符 段前: 0 行"/>
    <w:basedOn w:val="1"/>
    <w:link w:val="203"/>
    <w:uiPriority w:val="0"/>
    <w:pPr>
      <w:adjustRightInd w:val="0"/>
      <w:spacing w:afterLines="50"/>
      <w:jc w:val="left"/>
      <w:textAlignment w:val="baseline"/>
    </w:pPr>
    <w:rPr>
      <w:rFonts w:ascii="Calibri" w:hAnsi="Calibri"/>
      <w:kern w:val="0"/>
    </w:rPr>
  </w:style>
  <w:style w:type="character" w:customStyle="1" w:styleId="203">
    <w:name w:val="样式 a首行缩进:  2 字符 段前: 0 行 Char Char"/>
    <w:link w:val="202"/>
    <w:uiPriority w:val="0"/>
    <w:rPr>
      <w:sz w:val="21"/>
    </w:rPr>
  </w:style>
  <w:style w:type="character" w:customStyle="1" w:styleId="204">
    <w:name w:val="朱2 Char Char"/>
    <w:basedOn w:val="154"/>
    <w:link w:val="205"/>
    <w:uiPriority w:val="0"/>
  </w:style>
  <w:style w:type="paragraph" w:customStyle="1" w:styleId="205">
    <w:name w:val="朱2"/>
    <w:basedOn w:val="153"/>
    <w:link w:val="204"/>
    <w:uiPriority w:val="0"/>
    <w:pPr>
      <w:topLinePunct/>
      <w:adjustRightInd w:val="0"/>
      <w:spacing w:line="312" w:lineRule="exact"/>
    </w:pPr>
  </w:style>
  <w:style w:type="character" w:customStyle="1" w:styleId="206">
    <w:name w:val="Lincer表格样式 Char Char"/>
    <w:link w:val="207"/>
    <w:uiPriority w:val="0"/>
    <w:rPr>
      <w:kern w:val="2"/>
      <w:sz w:val="21"/>
    </w:rPr>
  </w:style>
  <w:style w:type="paragraph" w:customStyle="1" w:styleId="207">
    <w:name w:val="Lincer表格样式"/>
    <w:basedOn w:val="1"/>
    <w:link w:val="206"/>
    <w:uiPriority w:val="0"/>
    <w:pPr>
      <w:ind w:left="344" w:hanging="344" w:hangingChars="164"/>
    </w:pPr>
    <w:rPr>
      <w:rFonts w:ascii="Calibri" w:hAnsi="Calibri"/>
    </w:rPr>
  </w:style>
  <w:style w:type="character" w:customStyle="1" w:styleId="208">
    <w:name w:val="Reference"/>
    <w:uiPriority w:val="0"/>
    <w:rPr>
      <w:rFonts w:ascii="Arial" w:hAnsi="Arial"/>
      <w:sz w:val="20"/>
      <w:lang w:val="en-US" w:eastAsia="zh-CN"/>
    </w:rPr>
  </w:style>
  <w:style w:type="character" w:customStyle="1" w:styleId="209">
    <w:name w:val="上标"/>
    <w:uiPriority w:val="0"/>
    <w:rPr>
      <w:b/>
      <w:vertAlign w:val="superscript"/>
    </w:rPr>
  </w:style>
  <w:style w:type="character" w:customStyle="1" w:styleId="210">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211">
    <w:name w:val="附录标题2 Char Char"/>
    <w:link w:val="212"/>
    <w:uiPriority w:val="0"/>
    <w:rPr>
      <w:rFonts w:ascii="Arial" w:hAnsi="Arial" w:eastAsia="黑体"/>
      <w:kern w:val="2"/>
      <w:sz w:val="21"/>
    </w:rPr>
  </w:style>
  <w:style w:type="paragraph" w:customStyle="1" w:styleId="212">
    <w:name w:val="附录标题2"/>
    <w:basedOn w:val="4"/>
    <w:next w:val="73"/>
    <w:link w:val="21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13">
    <w:name w:val="正文首行缩进 Char"/>
    <w:basedOn w:val="105"/>
    <w:link w:val="73"/>
    <w:uiPriority w:val="0"/>
    <w:rPr>
      <w:sz w:val="21"/>
    </w:rPr>
  </w:style>
  <w:style w:type="character" w:customStyle="1" w:styleId="214">
    <w:name w:val="样式1 悬挂缩进: 4 字符 段前: 0.1 行，小五 Char Char"/>
    <w:link w:val="215"/>
    <w:uiPriority w:val="0"/>
    <w:rPr>
      <w:kern w:val="2"/>
      <w:sz w:val="18"/>
    </w:rPr>
  </w:style>
  <w:style w:type="paragraph" w:customStyle="1" w:styleId="215">
    <w:name w:val="样式1 悬挂缩进: 4 字符 段前: 0.1 行，小五"/>
    <w:basedOn w:val="1"/>
    <w:link w:val="214"/>
    <w:uiPriority w:val="0"/>
    <w:pPr>
      <w:spacing w:beforeLines="10" w:line="312" w:lineRule="auto"/>
      <w:ind w:left="400" w:leftChars="400"/>
    </w:pPr>
    <w:rPr>
      <w:rFonts w:ascii="Calibri" w:hAnsi="Calibri"/>
      <w:sz w:val="18"/>
    </w:rPr>
  </w:style>
  <w:style w:type="character" w:customStyle="1" w:styleId="216">
    <w:name w:val="附录三 Char Char"/>
    <w:link w:val="217"/>
    <w:uiPriority w:val="0"/>
    <w:rPr>
      <w:rFonts w:ascii="E-F1" w:eastAsia="黑体"/>
      <w:kern w:val="21"/>
      <w:sz w:val="21"/>
    </w:rPr>
  </w:style>
  <w:style w:type="paragraph" w:customStyle="1" w:styleId="217">
    <w:name w:val="附录三"/>
    <w:basedOn w:val="1"/>
    <w:link w:val="216"/>
    <w:uiPriority w:val="0"/>
    <w:pPr>
      <w:tabs>
        <w:tab w:val="center" w:pos="4706"/>
        <w:tab w:val="right" w:pos="9072"/>
      </w:tabs>
      <w:spacing w:before="120" w:after="60" w:line="312" w:lineRule="exact"/>
    </w:pPr>
    <w:rPr>
      <w:rFonts w:ascii="E-F1" w:hAnsi="Calibri" w:eastAsia="黑体"/>
      <w:kern w:val="21"/>
    </w:rPr>
  </w:style>
  <w:style w:type="character" w:customStyle="1" w:styleId="218">
    <w:name w:val="SoDA Field"/>
    <w:uiPriority w:val="0"/>
    <w:rPr>
      <w:color w:val="0000FF"/>
    </w:rPr>
  </w:style>
  <w:style w:type="character" w:customStyle="1" w:styleId="219">
    <w:name w:val="样式1 样式 标题 2 + 段前: 0行 Char Char"/>
    <w:uiPriority w:val="0"/>
    <w:rPr>
      <w:rFonts w:eastAsia="黑体"/>
      <w:b/>
      <w:kern w:val="2"/>
      <w:sz w:val="21"/>
      <w:lang w:val="en-US" w:eastAsia="zh-CN"/>
    </w:rPr>
  </w:style>
  <w:style w:type="character" w:customStyle="1" w:styleId="220">
    <w:name w:val="_标准条文 Char Char"/>
    <w:link w:val="221"/>
    <w:uiPriority w:val="0"/>
    <w:rPr>
      <w:rFonts w:ascii="Arial" w:hAnsi="Arial"/>
      <w:kern w:val="2"/>
      <w:sz w:val="21"/>
    </w:rPr>
  </w:style>
  <w:style w:type="paragraph" w:customStyle="1" w:styleId="221">
    <w:name w:val="_标准条文"/>
    <w:basedOn w:val="1"/>
    <w:link w:val="220"/>
    <w:uiPriority w:val="0"/>
    <w:pPr>
      <w:overflowPunct w:val="0"/>
      <w:snapToGrid w:val="0"/>
      <w:spacing w:line="276" w:lineRule="auto"/>
      <w:ind w:firstLine="420" w:firstLineChars="200"/>
    </w:pPr>
    <w:rPr>
      <w:rFonts w:ascii="Arial" w:hAnsi="Arial"/>
    </w:rPr>
  </w:style>
  <w:style w:type="character" w:customStyle="1" w:styleId="222">
    <w:name w:val="标语"/>
    <w:uiPriority w:val="0"/>
    <w:rPr>
      <w:i/>
      <w:spacing w:val="-6"/>
      <w:sz w:val="24"/>
    </w:rPr>
  </w:style>
  <w:style w:type="character" w:customStyle="1" w:styleId="223">
    <w:name w:val="short_text1"/>
    <w:uiPriority w:val="0"/>
    <w:rPr>
      <w:sz w:val="29"/>
    </w:rPr>
  </w:style>
  <w:style w:type="character" w:customStyle="1" w:styleId="224">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225">
    <w:name w:val="样式 样式 样式 标题 2 + 段前: 0.1 行 + 段前: 0.1 行 + Times New Roman Char Char"/>
    <w:basedOn w:val="219"/>
    <w:link w:val="226"/>
    <w:uiPriority w:val="0"/>
  </w:style>
  <w:style w:type="paragraph" w:customStyle="1" w:styleId="226">
    <w:name w:val="样式 样式 样式 标题 2 + 段前: 0.1 行 + 段前: 0.1 行 + Times New Roman"/>
    <w:basedOn w:val="227"/>
    <w:link w:val="225"/>
    <w:uiPriority w:val="0"/>
    <w:pPr>
      <w:tabs>
        <w:tab w:val="left" w:pos="500"/>
      </w:tabs>
      <w:spacing w:beforeLines="50" w:afterLines="50" w:line="240" w:lineRule="auto"/>
    </w:pPr>
    <w:rPr>
      <w:rFonts w:ascii="Calibri" w:hAnsi="Calibri" w:eastAsia="黑体"/>
    </w:rPr>
  </w:style>
  <w:style w:type="paragraph" w:customStyle="1" w:styleId="227">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28">
    <w:name w:val="样式 目录 1 + 首行缩进:  0.74 厘米"/>
    <w:basedOn w:val="51"/>
    <w:uiPriority w:val="0"/>
    <w:pPr>
      <w:spacing w:beforeLines="10" w:line="312" w:lineRule="auto"/>
    </w:pPr>
    <w:rPr>
      <w:bCs w:val="0"/>
    </w:rPr>
  </w:style>
  <w:style w:type="paragraph" w:customStyle="1" w:styleId="229">
    <w:name w:val="三级无标题条"/>
    <w:basedOn w:val="1"/>
    <w:uiPriority w:val="0"/>
    <w:pPr>
      <w:numPr>
        <w:ilvl w:val="4"/>
        <w:numId w:val="2"/>
      </w:numPr>
    </w:pPr>
    <w:rPr>
      <w:b/>
    </w:rPr>
  </w:style>
  <w:style w:type="paragraph" w:customStyle="1" w:styleId="230">
    <w:name w:val="样式 样式 正文文本 2 + 段前: 0.1 行 + 悬挂缩进: 0.03 字符 段后: 1.2 磅 行距: 单倍行距"/>
    <w:basedOn w:val="231"/>
    <w:uiPriority w:val="0"/>
  </w:style>
  <w:style w:type="paragraph" w:customStyle="1" w:styleId="231">
    <w:name w:val="样式 正文文本 2 + 段前: 0.1 行"/>
    <w:basedOn w:val="66"/>
    <w:uiPriority w:val="0"/>
    <w:pPr>
      <w:spacing w:beforeLines="10" w:after="0" w:line="264" w:lineRule="auto"/>
      <w:jc w:val="left"/>
    </w:pPr>
    <w:rPr>
      <w:sz w:val="18"/>
    </w:rPr>
  </w:style>
  <w:style w:type="character" w:customStyle="1" w:styleId="232">
    <w:name w:val="正文首行缩进 2 Char"/>
    <w:basedOn w:val="106"/>
    <w:link w:val="74"/>
    <w:uiPriority w:val="0"/>
    <w:rPr>
      <w:rFonts w:ascii="Times New Roman" w:hAnsi="Times New Roman"/>
      <w:sz w:val="21"/>
    </w:rPr>
  </w:style>
  <w:style w:type="paragraph" w:customStyle="1" w:styleId="233">
    <w:name w:val="样式 正文（首行缩进两字） Char + 黑色 首行缩进:  2 字符 段前: 0.1 行"/>
    <w:basedOn w:val="190"/>
    <w:uiPriority w:val="0"/>
    <w:pPr>
      <w:spacing w:before="24" w:afterLines="10"/>
      <w:ind w:firstLine="200"/>
    </w:pPr>
    <w:rPr>
      <w:color w:val="000000"/>
    </w:rPr>
  </w:style>
  <w:style w:type="paragraph" w:customStyle="1" w:styleId="234">
    <w:name w:val="四级无标题条"/>
    <w:basedOn w:val="1"/>
    <w:uiPriority w:val="0"/>
    <w:pPr>
      <w:numPr>
        <w:ilvl w:val="5"/>
        <w:numId w:val="2"/>
      </w:numPr>
    </w:pPr>
    <w:rPr>
      <w:rFonts w:eastAsia="黑体"/>
      <w:b/>
    </w:rPr>
  </w:style>
  <w:style w:type="paragraph" w:customStyle="1" w:styleId="235">
    <w:name w:val="封面标准文稿类别"/>
    <w:uiPriority w:val="0"/>
    <w:pPr>
      <w:widowControl w:val="0"/>
      <w:adjustRightInd w:val="0"/>
      <w:spacing w:before="440" w:line="400" w:lineRule="exact"/>
      <w:jc w:val="center"/>
      <w:textAlignment w:val="baseline"/>
    </w:pPr>
    <w:rPr>
      <w:rFonts w:ascii="宋体" w:hAnsi="Times New Roman"/>
      <w:sz w:val="24"/>
      <w:lang w:val="en-US" w:eastAsia="zh-CN" w:bidi="ar-SA"/>
    </w:rPr>
  </w:style>
  <w:style w:type="paragraph" w:customStyle="1" w:styleId="236">
    <w:name w:val="图片"/>
    <w:basedOn w:val="1"/>
    <w:uiPriority w:val="0"/>
    <w:pPr>
      <w:topLinePunct/>
      <w:snapToGrid w:val="0"/>
      <w:spacing w:before="160" w:after="60"/>
      <w:jc w:val="center"/>
    </w:pPr>
  </w:style>
  <w:style w:type="character" w:customStyle="1" w:styleId="237">
    <w:name w:val="宏文本 Char"/>
    <w:basedOn w:val="77"/>
    <w:link w:val="2"/>
    <w:uiPriority w:val="0"/>
    <w:rPr>
      <w:rFonts w:ascii="Courier New" w:hAnsi="Courier New"/>
      <w:sz w:val="21"/>
    </w:rPr>
  </w:style>
  <w:style w:type="character" w:customStyle="1" w:styleId="238">
    <w:name w:val="标题 Char"/>
    <w:basedOn w:val="77"/>
    <w:link w:val="57"/>
    <w:uiPriority w:val="0"/>
    <w:rPr>
      <w:rFonts w:ascii="Arial" w:hAnsi="Arial"/>
      <w:b/>
      <w:kern w:val="2"/>
      <w:sz w:val="32"/>
    </w:rPr>
  </w:style>
  <w:style w:type="paragraph" w:customStyle="1" w:styleId="239">
    <w:name w:val="标准书脚_偶数页"/>
    <w:uiPriority w:val="0"/>
    <w:pPr>
      <w:widowControl w:val="0"/>
      <w:adjustRightInd w:val="0"/>
      <w:spacing w:before="120" w:line="360" w:lineRule="atLeast"/>
      <w:jc w:val="both"/>
      <w:textAlignment w:val="baseline"/>
    </w:pPr>
    <w:rPr>
      <w:rFonts w:ascii="Times New Roman" w:hAnsi="Times New Roman"/>
      <w:sz w:val="18"/>
      <w:lang w:val="en-US" w:eastAsia="zh-CN" w:bidi="ar-SA"/>
    </w:rPr>
  </w:style>
  <w:style w:type="paragraph" w:customStyle="1" w:styleId="240">
    <w:name w:val="样式1 样式 标题 5 + 段前: 0 行"/>
    <w:basedOn w:val="241"/>
    <w:next w:val="1"/>
    <w:uiPriority w:val="0"/>
    <w:pPr>
      <w:tabs>
        <w:tab w:val="left" w:pos="1050"/>
        <w:tab w:val="left" w:pos="1080"/>
      </w:tabs>
      <w:spacing w:beforeLines="0" w:line="276" w:lineRule="auto"/>
    </w:pPr>
  </w:style>
  <w:style w:type="paragraph" w:customStyle="1" w:styleId="241">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character" w:customStyle="1" w:styleId="242">
    <w:name w:val="HTML 地址 Char"/>
    <w:basedOn w:val="77"/>
    <w:link w:val="37"/>
    <w:uiPriority w:val="0"/>
    <w:rPr>
      <w:rFonts w:ascii="Times New Roman" w:hAnsi="Times New Roman"/>
      <w:i/>
      <w:kern w:val="2"/>
      <w:sz w:val="21"/>
    </w:rPr>
  </w:style>
  <w:style w:type="paragraph" w:customStyle="1" w:styleId="243">
    <w:name w:val="样式 正文（首行缩进两字） Char + 首行缩进:  2 字符"/>
    <w:basedOn w:val="190"/>
    <w:uiPriority w:val="0"/>
    <w:pPr>
      <w:spacing w:afterLines="10"/>
      <w:ind w:firstLine="200"/>
      <w:jc w:val="center"/>
    </w:pPr>
    <w:rPr>
      <w:b/>
    </w:rPr>
  </w:style>
  <w:style w:type="paragraph" w:customStyle="1" w:styleId="244">
    <w:name w:val="样式 首行缩进:  0 厘米 行距: 单倍行距"/>
    <w:basedOn w:val="1"/>
    <w:uiPriority w:val="0"/>
    <w:pPr>
      <w:adjustRightInd w:val="0"/>
      <w:textAlignment w:val="baseline"/>
    </w:pPr>
    <w:rPr>
      <w:kern w:val="0"/>
    </w:rPr>
  </w:style>
  <w:style w:type="paragraph" w:customStyle="1" w:styleId="245">
    <w:name w:val="样式 样式 样式 首行缩进:  0.77 厘米 段前: 0.1 行 + 首行缩进:  2 字符 段前: 0.1 行 + 首行缩进..."/>
    <w:basedOn w:val="246"/>
    <w:uiPriority w:val="0"/>
    <w:pPr>
      <w:ind w:firstLine="420"/>
    </w:pPr>
  </w:style>
  <w:style w:type="paragraph" w:customStyle="1" w:styleId="246">
    <w:name w:val="样式 样式 首行缩进:  0.77 厘米 段前: 0.1 行 + 首行缩进:  2 字符 段前: 0.1 行"/>
    <w:basedOn w:val="1"/>
    <w:uiPriority w:val="0"/>
    <w:pPr>
      <w:spacing w:line="276" w:lineRule="auto"/>
      <w:ind w:firstLine="200" w:firstLineChars="200"/>
    </w:pPr>
  </w:style>
  <w:style w:type="character" w:customStyle="1" w:styleId="247">
    <w:name w:val="脚注文本 Char"/>
    <w:basedOn w:val="77"/>
    <w:link w:val="58"/>
    <w:uiPriority w:val="0"/>
    <w:rPr>
      <w:rFonts w:ascii="Times New Roman" w:hAnsi="Times New Roman"/>
      <w:kern w:val="2"/>
      <w:sz w:val="18"/>
    </w:rPr>
  </w:style>
  <w:style w:type="paragraph" w:customStyle="1" w:styleId="248">
    <w:name w:val="术语定义三级条标题"/>
    <w:basedOn w:val="249"/>
    <w:next w:val="147"/>
    <w:uiPriority w:val="0"/>
    <w:pPr>
      <w:tabs>
        <w:tab w:val="left" w:pos="420"/>
        <w:tab w:val="left" w:pos="1575"/>
      </w:tabs>
      <w:ind w:left="1575"/>
    </w:pPr>
  </w:style>
  <w:style w:type="paragraph" w:customStyle="1" w:styleId="249">
    <w:name w:val="术语定义条标题"/>
    <w:basedOn w:val="250"/>
    <w:next w:val="147"/>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0">
    <w:name w:val="章标题"/>
    <w:next w:val="147"/>
    <w:uiPriority w:val="0"/>
    <w:pPr>
      <w:widowControl w:val="0"/>
      <w:adjustRightInd w:val="0"/>
      <w:spacing w:beforeLines="50" w:afterLines="50" w:line="360" w:lineRule="atLeast"/>
      <w:jc w:val="both"/>
      <w:textAlignment w:val="baseline"/>
      <w:outlineLvl w:val="1"/>
    </w:pPr>
    <w:rPr>
      <w:rFonts w:ascii="黑体" w:hAnsi="Times New Roman" w:eastAsia="黑体"/>
      <w:sz w:val="21"/>
      <w:lang w:val="en-US" w:eastAsia="zh-CN" w:bidi="ar-SA"/>
    </w:rPr>
  </w:style>
  <w:style w:type="paragraph" w:customStyle="1" w:styleId="251">
    <w:name w:val="其他发布部门"/>
    <w:basedOn w:val="252"/>
    <w:uiPriority w:val="0"/>
    <w:pPr>
      <w:spacing w:line="0" w:lineRule="atLeast"/>
    </w:pPr>
    <w:rPr>
      <w:rFonts w:ascii="黑体" w:eastAsia="黑体"/>
      <w:b w:val="0"/>
    </w:rPr>
  </w:style>
  <w:style w:type="paragraph" w:customStyle="1" w:styleId="252">
    <w:name w:val="发布部门"/>
    <w:next w:val="147"/>
    <w:uiPriority w:val="0"/>
    <w:pPr>
      <w:widowControl w:val="0"/>
      <w:adjustRightInd w:val="0"/>
      <w:spacing w:line="360" w:lineRule="atLeast"/>
      <w:jc w:val="center"/>
      <w:textAlignment w:val="baseline"/>
    </w:pPr>
    <w:rPr>
      <w:rFonts w:ascii="宋体" w:hAnsi="Times New Roman"/>
      <w:b/>
      <w:spacing w:val="20"/>
      <w:w w:val="135"/>
      <w:sz w:val="36"/>
      <w:lang w:val="en-US" w:eastAsia="zh-CN" w:bidi="ar-SA"/>
    </w:rPr>
  </w:style>
  <w:style w:type="paragraph" w:customStyle="1" w:styleId="253">
    <w:name w:val="PARAGRAPH"/>
    <w:uiPriority w:val="0"/>
    <w:pPr>
      <w:tabs>
        <w:tab w:val="center" w:pos="4536"/>
        <w:tab w:val="right" w:pos="9072"/>
      </w:tabs>
      <w:spacing w:before="100" w:after="200"/>
      <w:jc w:val="both"/>
    </w:pPr>
    <w:rPr>
      <w:rFonts w:ascii="Arial" w:hAnsi="Arial"/>
      <w:spacing w:val="8"/>
      <w:lang w:val="en-US" w:eastAsia="en-US" w:bidi="ar-SA"/>
    </w:rPr>
  </w:style>
  <w:style w:type="character" w:customStyle="1" w:styleId="254">
    <w:name w:val="尾注文本 Char"/>
    <w:basedOn w:val="77"/>
    <w:link w:val="46"/>
    <w:uiPriority w:val="0"/>
    <w:rPr>
      <w:rFonts w:ascii="Arial" w:hAnsi="Arial"/>
      <w:sz w:val="18"/>
    </w:rPr>
  </w:style>
  <w:style w:type="character" w:customStyle="1" w:styleId="255">
    <w:name w:val="注释标题 Char"/>
    <w:basedOn w:val="77"/>
    <w:link w:val="17"/>
    <w:uiPriority w:val="0"/>
    <w:rPr>
      <w:rFonts w:ascii="Arial" w:hAnsi="Arial" w:eastAsia="黑体"/>
      <w:kern w:val="2"/>
      <w:sz w:val="21"/>
    </w:rPr>
  </w:style>
  <w:style w:type="paragraph" w:customStyle="1" w:styleId="256">
    <w:name w:val="正文文字样式"/>
    <w:basedOn w:val="1"/>
    <w:uiPriority w:val="0"/>
    <w:pPr>
      <w:spacing w:line="480" w:lineRule="exact"/>
      <w:ind w:firstLine="480" w:firstLineChars="200"/>
    </w:pPr>
    <w:rPr>
      <w:sz w:val="24"/>
    </w:rPr>
  </w:style>
  <w:style w:type="paragraph" w:customStyle="1" w:styleId="257">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258">
    <w:name w:val="朱1"/>
    <w:basedOn w:val="149"/>
    <w:uiPriority w:val="0"/>
  </w:style>
  <w:style w:type="paragraph" w:customStyle="1" w:styleId="259">
    <w:name w:val="CM40"/>
    <w:basedOn w:val="260"/>
    <w:next w:val="260"/>
    <w:uiPriority w:val="0"/>
    <w:pPr>
      <w:spacing w:line="320" w:lineRule="atLeast"/>
    </w:pPr>
    <w:rPr>
      <w:rFonts w:ascii="Times New Roman"/>
      <w:color w:val="auto"/>
    </w:rPr>
  </w:style>
  <w:style w:type="paragraph" w:customStyle="1" w:styleId="260">
    <w:name w:val="Default"/>
    <w:uiPriority w:val="0"/>
    <w:pPr>
      <w:widowControl w:val="0"/>
      <w:autoSpaceDE w:val="0"/>
      <w:autoSpaceDN w:val="0"/>
      <w:adjustRightInd w:val="0"/>
    </w:pPr>
    <w:rPr>
      <w:rFonts w:ascii="宋体" w:hAnsi="Times New Roman"/>
      <w:color w:val="000000"/>
      <w:sz w:val="24"/>
      <w:lang w:val="en-US" w:eastAsia="zh-CN" w:bidi="ar-SA"/>
    </w:rPr>
  </w:style>
  <w:style w:type="paragraph" w:customStyle="1" w:styleId="261">
    <w:name w:val="样式1 样式 编号 a + Times New Roman 段前: 0 行 行距: 多倍行距 1.15 字行 + 左侧... + ..."/>
    <w:basedOn w:val="262"/>
    <w:uiPriority w:val="0"/>
    <w:pPr>
      <w:spacing w:before="0" w:afterLines="0"/>
      <w:ind w:left="620" w:hanging="200" w:hangingChars="200"/>
    </w:pPr>
  </w:style>
  <w:style w:type="paragraph" w:customStyle="1" w:styleId="262">
    <w:name w:val="样式 编号 a + Times New Roman 段前: 0 行 行距: 多倍行距 1.15 字行 + 左侧..."/>
    <w:basedOn w:val="190"/>
    <w:next w:val="263"/>
    <w:uiPriority w:val="0"/>
    <w:pPr>
      <w:spacing w:before="24" w:afterLines="10"/>
      <w:ind w:firstLine="0" w:firstLineChars="0"/>
    </w:pPr>
  </w:style>
  <w:style w:type="paragraph" w:customStyle="1" w:styleId="263">
    <w:name w:val="样式1-4 Times New Roman行距: 多倍行距 1.15 字行 + 左侧:  4 字符"/>
    <w:basedOn w:val="264"/>
    <w:uiPriority w:val="0"/>
    <w:pPr>
      <w:tabs>
        <w:tab w:val="left" w:pos="315"/>
      </w:tabs>
      <w:ind w:left="840" w:leftChars="400"/>
    </w:pPr>
  </w:style>
  <w:style w:type="paragraph" w:customStyle="1" w:styleId="264">
    <w:name w:val="样式 Times New Roman 段前: 0.1 行 行距: 多倍行距 1.2 字行"/>
    <w:basedOn w:val="1"/>
    <w:uiPriority w:val="0"/>
    <w:pPr>
      <w:spacing w:line="276" w:lineRule="auto"/>
      <w:ind w:left="420" w:leftChars="200"/>
    </w:pPr>
  </w:style>
  <w:style w:type="paragraph" w:customStyle="1" w:styleId="265">
    <w:name w:val="图表脚注"/>
    <w:next w:val="147"/>
    <w:uiPriority w:val="0"/>
    <w:pPr>
      <w:widowControl w:val="0"/>
      <w:adjustRightInd w:val="0"/>
      <w:spacing w:line="360" w:lineRule="atLeast"/>
      <w:ind w:left="300" w:leftChars="200" w:hanging="100" w:hangingChars="100"/>
      <w:jc w:val="both"/>
      <w:textAlignment w:val="baseline"/>
    </w:pPr>
    <w:rPr>
      <w:rFonts w:ascii="宋体" w:hAnsi="Times New Roman"/>
      <w:sz w:val="18"/>
      <w:lang w:val="en-US" w:eastAsia="zh-CN" w:bidi="ar-SA"/>
    </w:rPr>
  </w:style>
  <w:style w:type="paragraph" w:customStyle="1" w:styleId="266">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7">
    <w:name w:val="图说"/>
    <w:basedOn w:val="1"/>
    <w:uiPriority w:val="0"/>
    <w:pPr>
      <w:topLinePunct/>
      <w:spacing w:before="60" w:after="160"/>
      <w:jc w:val="center"/>
    </w:pPr>
    <w:rPr>
      <w:sz w:val="18"/>
    </w:rPr>
  </w:style>
  <w:style w:type="paragraph" w:customStyle="1" w:styleId="268">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269">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sz w:val="32"/>
      <w:lang w:val="en-US" w:eastAsia="zh-CN" w:bidi="ar-SA"/>
    </w:rPr>
  </w:style>
  <w:style w:type="paragraph" w:customStyle="1" w:styleId="270">
    <w:name w:val="默认段落字体 Para Char Char Char Char"/>
    <w:basedOn w:val="1"/>
    <w:uiPriority w:val="0"/>
  </w:style>
  <w:style w:type="paragraph" w:customStyle="1" w:styleId="271">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2">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3">
    <w:name w:val="正文_配电_小四"/>
    <w:basedOn w:val="1"/>
    <w:uiPriority w:val="0"/>
    <w:pPr>
      <w:spacing w:line="360" w:lineRule="auto"/>
      <w:ind w:firstLine="200" w:firstLineChars="200"/>
    </w:pPr>
    <w:rPr>
      <w:rFonts w:ascii="宋体" w:hAnsi="宋体"/>
      <w:kern w:val="0"/>
      <w:sz w:val="24"/>
    </w:rPr>
  </w:style>
  <w:style w:type="character" w:customStyle="1" w:styleId="274">
    <w:name w:val="副标题 Char"/>
    <w:basedOn w:val="77"/>
    <w:link w:val="56"/>
    <w:uiPriority w:val="0"/>
    <w:rPr>
      <w:rFonts w:ascii="Arial" w:hAnsi="Arial" w:eastAsia="黑体"/>
      <w:kern w:val="2"/>
      <w:sz w:val="48"/>
    </w:rPr>
  </w:style>
  <w:style w:type="character" w:customStyle="1" w:styleId="275">
    <w:name w:val="HTML 预设格式 Char"/>
    <w:basedOn w:val="77"/>
    <w:link w:val="68"/>
    <w:uiPriority w:val="0"/>
    <w:rPr>
      <w:rFonts w:ascii="Courier New" w:hAnsi="Courier New"/>
      <w:kern w:val="2"/>
    </w:rPr>
  </w:style>
  <w:style w:type="paragraph" w:customStyle="1" w:styleId="276">
    <w:name w:val="样式1 标题 3 + 段前: 0.1 行 + 段前: 0.1 行 + 段前: 0.5 行 段后: 0.5 行"/>
    <w:basedOn w:val="277"/>
    <w:uiPriority w:val="0"/>
    <w:pPr>
      <w:tabs>
        <w:tab w:val="left" w:pos="700"/>
      </w:tabs>
      <w:spacing w:beforeLines="30" w:afterLines="30" w:line="240" w:lineRule="auto"/>
    </w:pPr>
    <w:rPr>
      <w:rFonts w:eastAsia="黑体"/>
      <w:b w:val="0"/>
    </w:rPr>
  </w:style>
  <w:style w:type="paragraph" w:customStyle="1" w:styleId="27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78">
    <w:name w:val="CM64"/>
    <w:basedOn w:val="260"/>
    <w:next w:val="260"/>
    <w:uiPriority w:val="0"/>
    <w:rPr>
      <w:rFonts w:ascii="Times New Roman"/>
      <w:color w:val="auto"/>
    </w:rPr>
  </w:style>
  <w:style w:type="paragraph" w:customStyle="1" w:styleId="279">
    <w:name w:val="a"/>
    <w:basedOn w:val="280"/>
    <w:uiPriority w:val="0"/>
    <w:pPr>
      <w:tabs>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rFonts w:ascii="Times New Roman" w:hAnsi="Times New Roman"/>
      <w:kern w:val="2"/>
      <w:sz w:val="21"/>
      <w:lang w:val="en-US" w:eastAsia="zh-CN" w:bidi="ar-SA"/>
    </w:rPr>
  </w:style>
  <w:style w:type="paragraph" w:customStyle="1" w:styleId="282">
    <w:name w:val="a.a.a"/>
    <w:basedOn w:val="1"/>
    <w:uiPriority w:val="0"/>
    <w:pPr>
      <w:spacing w:beforeLines="50" w:afterLines="50"/>
      <w:jc w:val="left"/>
      <w:outlineLvl w:val="2"/>
    </w:pPr>
    <w:rPr>
      <w:rFonts w:ascii="黑体" w:hAnsi="宋体" w:eastAsia="黑体"/>
      <w:sz w:val="24"/>
    </w:rPr>
  </w:style>
  <w:style w:type="paragraph" w:customStyle="1" w:styleId="283">
    <w:name w:val="副标题1"/>
    <w:basedOn w:val="57"/>
    <w:next w:val="1"/>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47"/>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47"/>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47"/>
    <w:uiPriority w:val="0"/>
    <w:pPr>
      <w:numPr>
        <w:ilvl w:val="1"/>
        <w:numId w:val="3"/>
      </w:numPr>
      <w:spacing w:before="640" w:after="560" w:line="480" w:lineRule="exact"/>
      <w:jc w:val="center"/>
      <w:outlineLvl w:val="1"/>
    </w:pPr>
    <w:rPr>
      <w:rFonts w:ascii="黑体" w:hAnsi="Times New Roman" w:eastAsia="黑体"/>
      <w:b/>
      <w:sz w:val="28"/>
      <w:lang w:val="en-US" w:eastAsia="zh-CN" w:bidi="ar-SA"/>
    </w:rPr>
  </w:style>
  <w:style w:type="paragraph" w:customStyle="1" w:styleId="295">
    <w:name w:val="样式 标题 2H2h2h21Heading 2 HiddenHeading 2 CCBSheading 2l2C..."/>
    <w:basedOn w:val="3"/>
    <w:next w:val="280"/>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ascii="Times New Roman" w:hAnsi="Times New Roman" w:eastAsia="黑体"/>
      <w:sz w:val="28"/>
      <w:lang w:val="en-US" w:eastAsia="zh-CN" w:bidi="ar-SA"/>
    </w:rPr>
  </w:style>
  <w:style w:type="paragraph" w:customStyle="1" w:styleId="297">
    <w:name w:val="_列项符号2"/>
    <w:basedOn w:val="24"/>
    <w:uiPriority w:val="0"/>
    <w:pPr>
      <w:tabs>
        <w:tab w:val="left" w:pos="820"/>
      </w:tabs>
      <w:snapToGrid w:val="0"/>
      <w:spacing w:line="276" w:lineRule="auto"/>
      <w:ind w:left="820" w:hanging="420"/>
    </w:pPr>
  </w:style>
  <w:style w:type="paragraph" w:customStyle="1" w:styleId="298">
    <w:name w:val="自控1"/>
    <w:basedOn w:val="147"/>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47"/>
    <w:uiPriority w:val="0"/>
    <w:pPr>
      <w:outlineLvl w:val="6"/>
    </w:pPr>
  </w:style>
  <w:style w:type="paragraph" w:customStyle="1" w:styleId="307">
    <w:name w:val="附录四级条标题"/>
    <w:basedOn w:val="308"/>
    <w:next w:val="147"/>
    <w:uiPriority w:val="0"/>
    <w:pPr>
      <w:outlineLvl w:val="5"/>
    </w:pPr>
  </w:style>
  <w:style w:type="paragraph" w:customStyle="1" w:styleId="308">
    <w:name w:val="附录三级条标题"/>
    <w:basedOn w:val="309"/>
    <w:next w:val="147"/>
    <w:uiPriority w:val="0"/>
    <w:pPr>
      <w:outlineLvl w:val="4"/>
    </w:pPr>
  </w:style>
  <w:style w:type="paragraph" w:customStyle="1" w:styleId="309">
    <w:name w:val="附录二级条标题"/>
    <w:basedOn w:val="310"/>
    <w:next w:val="147"/>
    <w:uiPriority w:val="0"/>
    <w:pPr>
      <w:outlineLvl w:val="3"/>
    </w:pPr>
  </w:style>
  <w:style w:type="paragraph" w:customStyle="1" w:styleId="310">
    <w:name w:val="附录一级条标题"/>
    <w:basedOn w:val="311"/>
    <w:next w:val="147"/>
    <w:uiPriority w:val="0"/>
    <w:pPr>
      <w:autoSpaceDN w:val="0"/>
      <w:spacing w:beforeLines="0" w:afterLines="0"/>
      <w:outlineLvl w:val="2"/>
    </w:pPr>
  </w:style>
  <w:style w:type="paragraph" w:customStyle="1" w:styleId="311">
    <w:name w:val="附录章标题"/>
    <w:next w:val="147"/>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kern w:val="21"/>
      <w:sz w:val="21"/>
      <w:lang w:val="en-US" w:eastAsia="zh-CN" w:bidi="ar-SA"/>
    </w:rPr>
  </w:style>
  <w:style w:type="paragraph" w:customStyle="1" w:styleId="31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sz w:val="21"/>
      <w:lang w:val="en-US" w:eastAsia="zh-CN" w:bidi="ar-SA"/>
    </w:rPr>
  </w:style>
  <w:style w:type="paragraph" w:customStyle="1" w:styleId="315">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16">
    <w:name w:val="引言二级条标题"/>
    <w:basedOn w:val="317"/>
    <w:next w:val="147"/>
    <w:uiPriority w:val="0"/>
    <w:pPr>
      <w:numPr>
        <w:ilvl w:val="1"/>
        <w:numId w:val="5"/>
      </w:numPr>
      <w:ind w:leftChars="0" w:firstLineChars="0"/>
    </w:pPr>
  </w:style>
  <w:style w:type="paragraph" w:customStyle="1" w:styleId="317">
    <w:name w:val="引言一级条标题"/>
    <w:basedOn w:val="1"/>
    <w:next w:val="147"/>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21"/>
    <w:uiPriority w:val="0"/>
    <w:pPr>
      <w:snapToGrid w:val="0"/>
      <w:spacing w:beforeLines="15" w:afterLines="15"/>
      <w:jc w:val="center"/>
    </w:pPr>
    <w:rPr>
      <w:sz w:val="21"/>
    </w:rPr>
  </w:style>
  <w:style w:type="paragraph" w:customStyle="1" w:styleId="324">
    <w:name w:val="四级条标题"/>
    <w:basedOn w:val="325"/>
    <w:next w:val="147"/>
    <w:uiPriority w:val="0"/>
    <w:pPr>
      <w:tabs>
        <w:tab w:val="left" w:pos="-1080"/>
      </w:tabs>
      <w:outlineLvl w:val="5"/>
    </w:pPr>
  </w:style>
  <w:style w:type="paragraph" w:customStyle="1" w:styleId="325">
    <w:name w:val="三级条标题"/>
    <w:basedOn w:val="163"/>
    <w:next w:val="147"/>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69"/>
    <w:next w:val="147"/>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hAnsi="Times New Roman"/>
      <w:sz w:val="21"/>
      <w:lang w:val="en-US" w:eastAsia="zh-CN" w:bidi="ar-SA"/>
    </w:rPr>
  </w:style>
  <w:style w:type="paragraph" w:customStyle="1" w:styleId="348">
    <w:name w:val="无标题条"/>
    <w:next w:val="147"/>
    <w:uiPriority w:val="0"/>
    <w:pPr>
      <w:jc w:val="both"/>
    </w:pPr>
    <w:rPr>
      <w:rFonts w:ascii="Times New Roman" w:hAnsi="Times New Roman"/>
      <w:sz w:val="21"/>
      <w:lang w:val="en-US" w:eastAsia="zh-CN" w:bidi="ar-SA"/>
    </w:rPr>
  </w:style>
  <w:style w:type="paragraph" w:customStyle="1" w:styleId="349">
    <w:name w:val="朱公式"/>
    <w:basedOn w:val="19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19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27"/>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1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7"/>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65"/>
    <w:next w:val="147"/>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190"/>
    <w:next w:val="19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hAnsi="Times New Roman"/>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27"/>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19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31"/>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31"/>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hAnsi="Times New Roman"/>
      <w:sz w:val="28"/>
      <w:lang w:val="en-US" w:eastAsia="zh-CN" w:bidi="ar-SA"/>
    </w:rPr>
  </w:style>
  <w:style w:type="paragraph" w:customStyle="1" w:styleId="380">
    <w:name w:val="五级条标题"/>
    <w:basedOn w:val="324"/>
    <w:next w:val="147"/>
    <w:uiPriority w:val="0"/>
    <w:pPr>
      <w:outlineLvl w:val="6"/>
    </w:pPr>
  </w:style>
  <w:style w:type="paragraph" w:customStyle="1" w:styleId="381">
    <w:name w:val="术语定义五级条标题"/>
    <w:basedOn w:val="250"/>
    <w:next w:val="147"/>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69"/>
    <w:next w:val="1"/>
    <w:uiPriority w:val="0"/>
    <w:pPr>
      <w:spacing w:after="200"/>
    </w:pPr>
    <w:rPr>
      <w:sz w:val="21"/>
    </w:rPr>
  </w:style>
  <w:style w:type="paragraph" w:customStyle="1" w:styleId="384">
    <w:name w:val="样式 标题 5 + 段前: 0.1 行2"/>
    <w:basedOn w:val="240"/>
    <w:next w:val="240"/>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hAnsi="Times New Roman"/>
      <w:sz w:val="21"/>
      <w:lang w:val="en-US" w:eastAsia="zh-CN" w:bidi="ar-SA"/>
    </w:rPr>
  </w:style>
  <w:style w:type="paragraph" w:customStyle="1" w:styleId="386">
    <w:name w:val=".."/>
    <w:basedOn w:val="260"/>
    <w:next w:val="260"/>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47"/>
    <w:uiPriority w:val="0"/>
    <w:pPr>
      <w:widowControl/>
      <w:numPr>
        <w:ilvl w:val="0"/>
        <w:numId w:val="9"/>
      </w:numPr>
      <w:tabs>
        <w:tab w:val="left" w:pos="210"/>
        <w:tab w:val="left" w:pos="420"/>
      </w:tabs>
      <w:adjustRightInd/>
      <w:spacing w:line="360" w:lineRule="auto"/>
    </w:pPr>
    <w:rPr>
      <w:rFonts w:ascii="宋体" w:hAnsi="宋体" w:eastAsia="宋体"/>
    </w:rPr>
  </w:style>
  <w:style w:type="paragraph" w:customStyle="1" w:styleId="389">
    <w:name w:val="附录表标题"/>
    <w:next w:val="147"/>
    <w:uiPriority w:val="0"/>
    <w:pPr>
      <w:widowControl w:val="0"/>
      <w:tabs>
        <w:tab w:val="left" w:pos="360"/>
      </w:tabs>
      <w:adjustRightInd w:val="0"/>
      <w:spacing w:line="360" w:lineRule="atLeast"/>
      <w:jc w:val="center"/>
      <w:textAlignment w:val="baseline"/>
    </w:pPr>
    <w:rPr>
      <w:rFonts w:ascii="黑体" w:hAnsi="Times New Roman" w:eastAsia="黑体"/>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64"/>
    <w:next w:val="147"/>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1"/>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31"/>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47"/>
    <w:uiPriority w:val="0"/>
    <w:pPr>
      <w:widowControl w:val="0"/>
      <w:adjustRightInd w:val="0"/>
      <w:spacing w:line="360" w:lineRule="atLeast"/>
      <w:ind w:left="1980"/>
      <w:jc w:val="center"/>
      <w:textAlignment w:val="baseline"/>
    </w:pPr>
    <w:rPr>
      <w:rFonts w:ascii="黑体" w:hAnsi="Times New Roman" w:eastAsia="黑体"/>
      <w:sz w:val="21"/>
      <w:lang w:val="en-US" w:eastAsia="zh-CN" w:bidi="ar-SA"/>
    </w:rPr>
  </w:style>
  <w:style w:type="paragraph" w:customStyle="1" w:styleId="405">
    <w:name w:val="样式 章标题 + 小四 段前: 0.5 行 段后: 0.5 行"/>
    <w:basedOn w:val="250"/>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0"/>
    <w:next w:val="260"/>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49"/>
    <w:next w:val="147"/>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uiPriority w:val="0"/>
    <w:pPr>
      <w:spacing w:line="240" w:lineRule="atLeast"/>
      <w:ind w:left="420" w:firstLine="420"/>
    </w:pPr>
    <w:rPr>
      <w:kern w:val="0"/>
    </w:rPr>
  </w:style>
  <w:style w:type="paragraph" w:customStyle="1" w:styleId="417">
    <w:name w:val="样式 样式2 + 右侧:  1 字符"/>
    <w:basedOn w:val="153"/>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1"/>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47"/>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19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430">
    <w:name w:val="CM56"/>
    <w:basedOn w:val="260"/>
    <w:next w:val="260"/>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69"/>
    <w:next w:val="147"/>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47"/>
    <w:uiPriority w:val="0"/>
    <w:pPr>
      <w:autoSpaceDE/>
      <w:autoSpaceDN/>
      <w:snapToGrid w:val="0"/>
      <w:spacing w:line="300" w:lineRule="auto"/>
    </w:pPr>
    <w:rPr>
      <w:rFonts w:ascii="Verdana" w:hAnsi="Verdana"/>
      <w:color w:val="111111"/>
      <w:sz w:val="24"/>
    </w:rPr>
  </w:style>
  <w:style w:type="paragraph" w:customStyle="1" w:styleId="435">
    <w:name w:val="朱表头"/>
    <w:basedOn w:val="131"/>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rFonts w:ascii="Times New Roman" w:hAnsi="Times New Roman"/>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ascii="Times New Roman" w:hAnsi="Times New Roman" w:eastAsia="黑体"/>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uiPriority w:val="0"/>
    <w:pPr>
      <w:widowControl w:val="0"/>
      <w:adjustRightInd w:val="0"/>
      <w:spacing w:before="370" w:line="400" w:lineRule="exact"/>
      <w:jc w:val="center"/>
      <w:textAlignment w:val="baseline"/>
    </w:pPr>
    <w:rPr>
      <w:rFonts w:ascii="Times New Roman" w:hAnsi="Times New Roman"/>
      <w:sz w:val="28"/>
      <w:lang w:val="en-US" w:eastAsia="zh-CN" w:bidi="ar-SA"/>
    </w:rPr>
  </w:style>
  <w:style w:type="paragraph" w:customStyle="1" w:styleId="453">
    <w:name w:val="样式1 样式 编号 a + Times New Roman 段前: 0 行 行距: 多倍行距 1.15 字行 + 左侧....."/>
    <w:basedOn w:val="261"/>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49"/>
    <w:next w:val="147"/>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hAnsi="Times New Roman" w:eastAsia="黑体"/>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47"/>
    <w:uiPriority w:val="0"/>
    <w:pPr>
      <w:widowControl w:val="0"/>
      <w:tabs>
        <w:tab w:val="left" w:pos="816"/>
      </w:tabs>
      <w:adjustRightInd w:val="0"/>
      <w:spacing w:line="360" w:lineRule="atLeast"/>
      <w:ind w:firstLine="419" w:firstLineChars="233"/>
      <w:jc w:val="both"/>
      <w:textAlignment w:val="baseline"/>
    </w:pPr>
    <w:rPr>
      <w:rFonts w:ascii="宋体" w:hAnsi="Times New Roman"/>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rFonts w:ascii="Times New Roman" w:hAnsi="Times New Roman"/>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0"/>
    <w:next w:val="260"/>
    <w:uiPriority w:val="0"/>
    <w:rPr>
      <w:rFonts w:ascii="Times New Roman"/>
      <w:color w:val="auto"/>
    </w:rPr>
  </w:style>
  <w:style w:type="paragraph" w:customStyle="1" w:styleId="471">
    <w:name w:val="附录图标题"/>
    <w:next w:val="147"/>
    <w:uiPriority w:val="0"/>
    <w:pPr>
      <w:widowControl w:val="0"/>
      <w:tabs>
        <w:tab w:val="left" w:pos="360"/>
      </w:tabs>
      <w:adjustRightInd w:val="0"/>
      <w:spacing w:line="360" w:lineRule="atLeast"/>
      <w:jc w:val="center"/>
      <w:textAlignment w:val="baseline"/>
    </w:pPr>
    <w:rPr>
      <w:rFonts w:ascii="黑体" w:hAnsi="Times New Roman" w:eastAsia="黑体"/>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19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73"/>
    <w:uiPriority w:val="0"/>
    <w:pPr>
      <w:spacing w:beforeLines="0" w:line="276" w:lineRule="auto"/>
      <w:ind w:firstLine="420"/>
    </w:pPr>
  </w:style>
  <w:style w:type="paragraph" w:customStyle="1" w:styleId="483">
    <w:name w:val="二级无标题条"/>
    <w:basedOn w:val="1"/>
    <w:uiPriority w:val="0"/>
    <w:pPr>
      <w:numPr>
        <w:ilvl w:val="3"/>
        <w:numId w:val="2"/>
      </w:numPr>
    </w:pPr>
    <w:rPr>
      <w:b/>
    </w:rPr>
  </w:style>
  <w:style w:type="paragraph" w:customStyle="1" w:styleId="484">
    <w:name w:val="Char1"/>
    <w:basedOn w:val="1"/>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qFormat/>
    <w:uiPriority w:val="0"/>
    <w:pPr>
      <w:widowControl w:val="0"/>
      <w:adjustRightInd w:val="0"/>
      <w:spacing w:line="312" w:lineRule="atLeast"/>
      <w:jc w:val="both"/>
      <w:textAlignment w:val="baseline"/>
    </w:pPr>
    <w:rPr>
      <w:rFonts w:ascii="宋体" w:hAnsi="Times New Roman"/>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47"/>
    <w:uiPriority w:val="0"/>
    <w:pPr>
      <w:numPr>
        <w:ilvl w:val="0"/>
        <w:numId w:val="14"/>
      </w:numPr>
      <w:tabs>
        <w:tab w:val="left" w:pos="210"/>
      </w:tabs>
    </w:pPr>
    <w:rPr>
      <w:rFonts w:ascii="宋体" w:hAnsi="Times New Roman"/>
      <w:sz w:val="18"/>
      <w:lang w:val="en-US" w:eastAsia="zh-CN" w:bidi="ar-SA"/>
    </w:rPr>
  </w:style>
  <w:style w:type="paragraph" w:customStyle="1" w:styleId="497">
    <w:name w:val="Char Char Char Char Char Char"/>
    <w:basedOn w:val="1"/>
    <w:uiPriority w:val="0"/>
  </w:style>
  <w:style w:type="paragraph" w:customStyle="1" w:styleId="498">
    <w:name w:val="附录标识"/>
    <w:basedOn w:val="269"/>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8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19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styleId="505">
    <w:name w:val=""/>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uiPriority w:val="0"/>
  </w:style>
  <w:style w:type="character" w:customStyle="1" w:styleId="507">
    <w:name w:val="hps"/>
    <w:basedOn w:val="77"/>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basedOn w:val="77"/>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kern w:val="2"/>
      <w:sz w:val="21"/>
      <w:szCs w:val="24"/>
      <w:lang w:val="en-US" w:eastAsia="zh-CN" w:bidi="ar-SA"/>
    </w:rPr>
  </w:style>
  <w:style w:type="paragraph" w:customStyle="1" w:styleId="520">
    <w:name w:val="正文_12"/>
    <w:qFormat/>
    <w:uiPriority w:val="0"/>
    <w:pPr>
      <w:widowControl w:val="0"/>
      <w:jc w:val="both"/>
    </w:pPr>
    <w:rPr>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lang w:val="en-US" w:eastAsia="zh-CN" w:bidi="ar-SA"/>
    </w:rPr>
  </w:style>
  <w:style w:type="paragraph" w:customStyle="1" w:styleId="523">
    <w:name w:val="Default Paragraph Font Para Char"/>
    <w:basedOn w:val="1"/>
    <w:uiPriority w:val="0"/>
    <w:pPr>
      <w:widowControl/>
      <w:spacing w:after="160" w:line="240" w:lineRule="exact"/>
      <w:jc w:val="left"/>
    </w:pPr>
    <w:rPr>
      <w:szCs w:val="24"/>
    </w:rPr>
  </w:style>
  <w:style w:type="paragraph" w:customStyle="1" w:styleId="524">
    <w:name w:val="正文文本缩进 3_0"/>
    <w:basedOn w:val="516"/>
    <w:qFormat/>
    <w:uiPriority w:val="0"/>
    <w:pPr>
      <w:widowControl/>
      <w:spacing w:after="120"/>
      <w:ind w:left="420" w:leftChars="200"/>
      <w:jc w:val="left"/>
    </w:pPr>
    <w:rPr>
      <w:sz w:val="16"/>
      <w:szCs w:val="16"/>
    </w:rPr>
  </w:style>
  <w:style w:type="paragraph" w:customStyle="1" w:styleId="525">
    <w:name w:val="正文_0"/>
    <w:qFormat/>
    <w:uiPriority w:val="99"/>
    <w:pPr>
      <w:widowControl w:val="0"/>
      <w:jc w:val="both"/>
    </w:pPr>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2360</Words>
  <Characters>13458</Characters>
  <Lines>112</Lines>
  <Paragraphs>31</Paragraphs>
  <TotalTime>0</TotalTime>
  <ScaleCrop>false</ScaleCrop>
  <LinksUpToDate>false</LinksUpToDate>
  <CharactersWithSpaces>15787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2021-11-04T05:31:00Z</dcterms:created>
  <dc:creator>朱顺平</dc:creator>
  <cp:lastModifiedBy>何以为之而后快</cp:lastModifiedBy>
  <cp:lastPrinted>2021-10-08T00:56:00Z</cp:lastPrinted>
  <dcterms:modified xsi:type="dcterms:W3CDTF">2021-11-04T08:58:35Z</dcterms:modified>
  <dc:title>宜兴水务集团有限公司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38EC4A0CAD584B4CA8C90FFBD397542B</vt:lpwstr>
  </property>
</Properties>
</file>