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骨料出售（2021年第二批）项目</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hint="eastAsia"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:YXCYJT202109011</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二一年九月三十日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骨料出售（2021年第二批）项目</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center"/>
          </w:tcPr>
          <w:p>
            <w:pPr>
              <w:jc w:val="center"/>
              <w:rPr>
                <w:rFonts w:ascii="宋体" w:hAnsi="宋体"/>
                <w:bCs/>
                <w:sz w:val="18"/>
                <w:szCs w:val="18"/>
              </w:rPr>
            </w:pPr>
            <w:r>
              <w:rPr>
                <w:rFonts w:hint="eastAsia" w:ascii="宋体" w:hAnsi="宋体"/>
                <w:bCs/>
                <w:sz w:val="24"/>
                <w:szCs w:val="24"/>
              </w:rPr>
              <w:t>序号</w:t>
            </w:r>
          </w:p>
        </w:tc>
        <w:tc>
          <w:tcPr>
            <w:tcW w:w="8962" w:type="dxa"/>
            <w:noWrap w:val="0"/>
            <w:vAlign w:val="center"/>
          </w:tcPr>
          <w:p>
            <w:pPr>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29"/>
            </w:pPr>
            <w:bookmarkStart w:id="2" w:name="OLE_LINK192"/>
            <w:r>
              <w:rPr>
                <w:rFonts w:hint="eastAsia"/>
              </w:rPr>
              <w:t>出售方：宜兴市公用建环资源循环利用有限公司</w:t>
            </w:r>
          </w:p>
          <w:p>
            <w:pPr>
              <w:pStyle w:val="129"/>
            </w:pPr>
            <w:r>
              <w:rPr>
                <w:rFonts w:hint="eastAsia"/>
              </w:rPr>
              <w:t>项目名称：骨料出售（2021年第二批）项目</w:t>
            </w:r>
          </w:p>
          <w:p>
            <w:pPr>
              <w:pStyle w:val="129"/>
            </w:pPr>
            <w:r>
              <w:rPr>
                <w:rFonts w:hint="eastAsia"/>
              </w:rPr>
              <w:t>项目编号</w:t>
            </w:r>
            <w:r>
              <w:t>:YXCYJT202109011</w:t>
            </w:r>
          </w:p>
          <w:bookmarkEnd w:id="2"/>
          <w:p>
            <w:pPr>
              <w:jc w:val="left"/>
              <w:rPr>
                <w:rFonts w:hint="eastAsia" w:ascii="宋体" w:hAnsi="宋体"/>
                <w:sz w:val="24"/>
                <w:szCs w:val="28"/>
              </w:rPr>
            </w:pPr>
            <w:r>
              <w:rPr>
                <w:rFonts w:hint="eastAsia" w:ascii="宋体" w:hAnsi="宋体"/>
                <w:sz w:val="24"/>
                <w:szCs w:val="28"/>
              </w:rPr>
              <w:t>出售方式：竞价出售</w:t>
            </w:r>
          </w:p>
          <w:p>
            <w:pPr>
              <w:jc w:val="left"/>
              <w:rPr>
                <w:rFonts w:hint="eastAsia" w:ascii="宋体" w:hAnsi="宋体"/>
                <w:sz w:val="24"/>
                <w:szCs w:val="28"/>
              </w:rPr>
            </w:pPr>
            <w:r>
              <w:rPr>
                <w:rFonts w:hint="eastAsia" w:ascii="宋体" w:hAnsi="宋体"/>
                <w:sz w:val="24"/>
                <w:szCs w:val="28"/>
              </w:rPr>
              <w:t>评审方法：最高评标价法</w:t>
            </w:r>
          </w:p>
          <w:p>
            <w:pPr>
              <w:pStyle w:val="129"/>
            </w:pPr>
            <w:r>
              <w:rPr>
                <w:rFonts w:hint="eastAsia" w:hAnsi="宋体"/>
                <w:szCs w:val="28"/>
              </w:rPr>
              <w:t>本项目最低限价为：22元/吨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29"/>
            </w:pPr>
            <w:r>
              <w:rPr>
                <w:rFonts w:hint="eastAsia"/>
              </w:rPr>
              <w:t>2.1参加本次招标活动应具备下列资格条件：</w:t>
            </w:r>
          </w:p>
          <w:p>
            <w:pPr>
              <w:pStyle w:val="129"/>
            </w:pPr>
            <w:r>
              <w:rPr>
                <w:rFonts w:hint="eastAsia"/>
              </w:rPr>
              <w:t>①具有独立承担民事责任的能力；</w:t>
            </w:r>
          </w:p>
          <w:p>
            <w:pPr>
              <w:pStyle w:val="129"/>
              <w:rPr>
                <w:rFonts w:hint="eastAsia"/>
              </w:rPr>
            </w:pPr>
            <w:r>
              <w:rPr>
                <w:rFonts w:hint="eastAsia"/>
              </w:rPr>
              <w:t>②有依法缴纳税收的良好记录；</w:t>
            </w:r>
          </w:p>
          <w:p>
            <w:pPr>
              <w:pStyle w:val="129"/>
            </w:pPr>
            <w:r>
              <w:rPr>
                <w:rFonts w:hint="eastAsia"/>
              </w:rPr>
              <w:t>③具有履行合同所必需的设备和专业技术能力；</w:t>
            </w:r>
          </w:p>
          <w:p>
            <w:pPr>
              <w:pStyle w:val="129"/>
            </w:pPr>
            <w:r>
              <w:rPr>
                <w:rFonts w:hint="eastAsia"/>
              </w:rPr>
              <w:t>④不接受联合体，不接受成交后分包；</w:t>
            </w:r>
          </w:p>
          <w:p>
            <w:pPr>
              <w:pStyle w:val="129"/>
            </w:pPr>
            <w:r>
              <w:rPr>
                <w:rFonts w:hint="eastAsia"/>
              </w:rPr>
              <w:t>⑤无不良信用记录；</w:t>
            </w:r>
          </w:p>
          <w:p>
            <w:pPr>
              <w:pStyle w:val="129"/>
            </w:pPr>
            <w:r>
              <w:rPr>
                <w:rFonts w:hint="eastAsia"/>
              </w:rPr>
              <w:t>⑥营业执照经营范围需涵盖建筑材料销售资格。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29"/>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拒绝下述供应商参加本次投标活动：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rPr>
                <w:rFonts w:hAnsi="宋体"/>
                <w:bCs/>
                <w:szCs w:val="24"/>
                <w:lang w:val="zh-CN"/>
              </w:rPr>
            </w:pPr>
            <w:r>
              <w:rPr>
                <w:rFonts w:hint="eastAsia" w:ascii="宋体" w:hAnsi="宋体"/>
                <w:bCs/>
                <w:sz w:val="24"/>
                <w:szCs w:val="24"/>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投标截止时间及开标时间：2021年10月9日 10：00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联系人：应先生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rPr>
              <w:t>伍万</w:t>
            </w:r>
            <w:r>
              <w:rPr>
                <w:rFonts w:hint="eastAsia"/>
              </w:rPr>
              <w:t>元人民币。</w:t>
            </w:r>
            <w:bookmarkEnd w:id="4"/>
            <w:r>
              <w:rPr>
                <w:rFonts w:hint="eastAsia"/>
              </w:rPr>
              <w:t>交纳投标保证金的单位名称必须与参加投标的投标人名称一致</w:t>
            </w:r>
            <w:bookmarkEnd w:id="5"/>
            <w:r>
              <w:rPr>
                <w:rFonts w:hint="eastAsia"/>
              </w:rPr>
              <w:t>，且</w:t>
            </w:r>
            <w:r>
              <w:rPr>
                <w:rFonts w:hint="eastAsia" w:hAnsi="宋体"/>
                <w:bCs/>
                <w:kern w:val="2"/>
                <w:szCs w:val="24"/>
              </w:rPr>
              <w:t>在投标截止时间前到达以下指定账户：</w:t>
            </w:r>
            <w:r>
              <w:rPr>
                <w:rFonts w:hint="eastAsia" w:hAnsi="宋体"/>
                <w:bCs/>
                <w:kern w:val="2"/>
              </w:rPr>
              <w:t>：</w:t>
            </w:r>
          </w:p>
          <w:tbl>
            <w:tblPr>
              <w:tblStyle w:val="7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973" w:type="dxa"/>
                  <w:noWrap w:val="0"/>
                  <w:vAlign w:val="center"/>
                </w:tcPr>
                <w:p>
                  <w:pPr>
                    <w:jc w:val="center"/>
                    <w:rPr>
                      <w:rFonts w:hint="eastAsia" w:ascii="宋体" w:hAnsi="宋体"/>
                      <w:bCs/>
                      <w:sz w:val="24"/>
                      <w:szCs w:val="21"/>
                    </w:rPr>
                  </w:pPr>
                  <w:r>
                    <w:rPr>
                      <w:rFonts w:hint="eastAsia" w:ascii="宋体" w:hAnsi="宋体"/>
                      <w:bCs/>
                      <w:sz w:val="24"/>
                      <w:szCs w:val="21"/>
                    </w:rPr>
                    <w:t>宜兴市公用产业集团</w:t>
                  </w:r>
                </w:p>
                <w:p>
                  <w:pPr>
                    <w:jc w:val="center"/>
                    <w:rPr>
                      <w:rFonts w:hAnsi="宋体"/>
                      <w:bCs/>
                      <w:szCs w:val="21"/>
                      <w:lang w:val="zh-CN"/>
                    </w:rPr>
                  </w:pPr>
                  <w:r>
                    <w:rPr>
                      <w:rFonts w:hint="eastAsia" w:ascii="宋体" w:hAnsi="宋体"/>
                      <w:bCs/>
                      <w:sz w:val="24"/>
                      <w:szCs w:val="21"/>
                    </w:rPr>
                    <w:t>有限公司</w:t>
                  </w:r>
                </w:p>
              </w:tc>
              <w:tc>
                <w:tcPr>
                  <w:tcW w:w="113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268"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2973" w:type="dxa"/>
                  <w:noWrap w:val="0"/>
                  <w:vAlign w:val="center"/>
                </w:tcPr>
                <w:p>
                  <w:pPr>
                    <w:jc w:val="center"/>
                    <w:rPr>
                      <w:rFonts w:ascii="宋体" w:hAnsi="宋体"/>
                      <w:bCs/>
                      <w:sz w:val="24"/>
                      <w:szCs w:val="21"/>
                    </w:rPr>
                  </w:pPr>
                  <w:r>
                    <w:rPr>
                      <w:rFonts w:hint="eastAsia"/>
                    </w:rPr>
                    <w:t>光大银行 宜兴支行</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2973" w:type="dxa"/>
                  <w:noWrap w:val="0"/>
                  <w:vAlign w:val="center"/>
                </w:tcPr>
                <w:p>
                  <w:pPr>
                    <w:jc w:val="center"/>
                    <w:rPr>
                      <w:rFonts w:ascii="宋体" w:hAnsi="宋体"/>
                      <w:bCs/>
                      <w:sz w:val="24"/>
                      <w:szCs w:val="21"/>
                    </w:rPr>
                  </w:pPr>
                  <w:r>
                    <w:rPr>
                      <w:rFonts w:ascii="宋体" w:hAnsi="宋体"/>
                      <w:bCs/>
                      <w:sz w:val="24"/>
                      <w:szCs w:val="21"/>
                    </w:rPr>
                    <w:t>10010188000006496</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b/>
                <w:sz w:val="28"/>
                <w:szCs w:val="28"/>
              </w:rPr>
              <w:t>投标人缴纳投标保证金的时间为2021年9月30日17：00至2021年10月9日10:00，缴纳投标保证金账户为涉密账户，请投标单位仔细核对账号后缴纳投标保证金。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rPr>
              <w:t>伍</w:t>
            </w:r>
            <w:r>
              <w:rPr>
                <w:rFonts w:hint="eastAsia" w:ascii="宋体" w:hAnsi="宋体"/>
                <w:b/>
                <w:bCs/>
                <w:sz w:val="24"/>
                <w:lang w:val="zh-CN"/>
              </w:rPr>
              <w:t>万</w:t>
            </w:r>
            <w:r>
              <w:rPr>
                <w:rFonts w:hint="eastAsia" w:ascii="宋体" w:hAnsi="宋体"/>
                <w:bCs/>
                <w:sz w:val="24"/>
                <w:lang w:val="zh-CN"/>
              </w:rPr>
              <w:t>元人民币作为</w:t>
            </w:r>
            <w:r>
              <w:rPr>
                <w:rFonts w:hint="eastAsia" w:ascii="宋体" w:hAnsi="宋体"/>
                <w:bCs/>
                <w:sz w:val="24"/>
              </w:rPr>
              <w:t>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int="eastAsia" w:ascii="宋体" w:hAnsi="宋体"/>
                      <w:bCs/>
                      <w:sz w:val="24"/>
                      <w:szCs w:val="21"/>
                    </w:rPr>
                  </w:pPr>
                  <w:r>
                    <w:rPr>
                      <w:rFonts w:hint="eastAsia" w:ascii="宋体" w:hAnsi="宋体"/>
                      <w:bCs/>
                      <w:sz w:val="24"/>
                      <w:szCs w:val="21"/>
                    </w:rPr>
                    <w:t>宜兴市公用建环资源循环</w:t>
                  </w:r>
                </w:p>
                <w:p>
                  <w:pPr>
                    <w:jc w:val="center"/>
                    <w:rPr>
                      <w:rFonts w:hAnsi="宋体"/>
                      <w:bCs/>
                      <w:szCs w:val="21"/>
                      <w:lang w:val="zh-CN"/>
                    </w:rPr>
                  </w:pPr>
                  <w:r>
                    <w:rPr>
                      <w:rFonts w:hint="eastAsia" w:ascii="宋体" w:hAnsi="宋体"/>
                      <w:bCs/>
                      <w:sz w:val="24"/>
                      <w:szCs w:val="21"/>
                    </w:rPr>
                    <w:t>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w:t>
      </w:r>
      <w:r>
        <w:rPr>
          <w:rFonts w:hint="eastAsia" w:ascii="宋体" w:hAnsi="宋体"/>
          <w:bCs/>
          <w:sz w:val="24"/>
        </w:rPr>
        <w:t>与宜兴市公用建环资源循环利用有限公司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w:t>
      </w:r>
      <w:bookmarkStart w:id="21"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bookmarkEnd w:id="21"/>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b/>
          <w:sz w:val="24"/>
          <w:szCs w:val="24"/>
        </w:rPr>
        <w:t>投标时</w:t>
      </w:r>
      <w:r>
        <w:rPr>
          <w:rFonts w:hint="eastAsia" w:ascii="宋体" w:hAnsi="宋体"/>
          <w:b/>
          <w:bCs/>
          <w:sz w:val="24"/>
          <w:szCs w:val="24"/>
          <w:lang w:val="zh-CN"/>
        </w:rPr>
        <w:t>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cs="宋体"/>
          <w:sz w:val="24"/>
          <w:szCs w:val="24"/>
        </w:rPr>
        <w:t>；</w:t>
      </w:r>
    </w:p>
    <w:p>
      <w:pPr>
        <w:tabs>
          <w:tab w:val="left" w:pos="0"/>
          <w:tab w:val="left" w:pos="945"/>
          <w:tab w:val="left" w:pos="1155"/>
        </w:tabs>
        <w:spacing w:line="360" w:lineRule="auto"/>
        <w:ind w:firstLine="424" w:firstLineChars="177"/>
        <w:rPr>
          <w:rFonts w:ascii="宋体" w:hAnsi="宋体" w:cs="宋体"/>
          <w:sz w:val="24"/>
          <w:szCs w:val="24"/>
        </w:rPr>
      </w:pPr>
      <w:bookmarkStart w:id="23" w:name="OLE_LINK115"/>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4"/>
    </w:p>
    <w:bookmarkEnd w:id="15"/>
    <w:bookmarkEnd w:id="16"/>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6" w:name="OLE_LINK117"/>
      <w:r>
        <w:rPr>
          <w:rFonts w:hint="eastAsia" w:ascii="宋体" w:hAnsi="宋体"/>
          <w:b/>
          <w:sz w:val="24"/>
        </w:rPr>
        <w:t>应在提交投标文件截止时间之前将相关原件或公证件与投标文件一并提交。</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本次招标采用最高价评标法。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28"/>
        </w:rPr>
      </w:pPr>
    </w:p>
    <w:p>
      <w:pPr>
        <w:outlineLvl w:val="0"/>
        <w:rPr>
          <w:rFonts w:ascii="黑体" w:hAnsi="黑体" w:eastAsia="黑体"/>
          <w:sz w:val="28"/>
        </w:rPr>
      </w:pPr>
    </w:p>
    <w:p>
      <w:pPr>
        <w:widowControl/>
        <w:jc w:val="center"/>
        <w:rPr>
          <w:rFonts w:ascii="黑体" w:hAnsi="黑体" w:eastAsia="黑体"/>
          <w:sz w:val="32"/>
          <w:szCs w:val="32"/>
        </w:rPr>
      </w:pPr>
    </w:p>
    <w:p>
      <w:pPr>
        <w:jc w:val="center"/>
        <w:outlineLvl w:val="0"/>
        <w:rPr>
          <w:rFonts w:hint="eastAsia" w:ascii="黑体" w:hAnsi="黑体" w:eastAsia="黑体"/>
          <w:sz w:val="32"/>
          <w:szCs w:val="32"/>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99" w:name="_GoBack"/>
      <w:bookmarkEnd w:id="99"/>
      <w:r>
        <w:rPr>
          <w:rFonts w:hint="eastAsia" w:ascii="黑体" w:hAnsi="黑体" w:eastAsia="黑体"/>
          <w:sz w:val="28"/>
        </w:rPr>
        <w:t>三 项目技术要求和有关说明</w:t>
      </w:r>
      <w:bookmarkStart w:id="70" w:name="_Toc26921"/>
      <w:bookmarkStart w:id="71" w:name="_Toc374078452"/>
      <w:bookmarkStart w:id="72" w:name="_Toc15017"/>
      <w:bookmarkStart w:id="73" w:name="_Toc372018550"/>
      <w:bookmarkStart w:id="74" w:name="_Toc24341"/>
      <w:bookmarkStart w:id="75" w:name="_Toc372018970"/>
      <w:bookmarkStart w:id="76" w:name="_Toc376165139"/>
    </w:p>
    <w:p>
      <w:pPr>
        <w:jc w:val="center"/>
        <w:outlineLvl w:val="0"/>
        <w:rPr>
          <w:rFonts w:hint="eastAsia" w:ascii="黑体" w:hAnsi="黑体" w:eastAsia="黑体"/>
          <w:sz w:val="28"/>
        </w:rPr>
      </w:pPr>
    </w:p>
    <w:p>
      <w:pPr>
        <w:widowControl/>
        <w:spacing w:line="276" w:lineRule="auto"/>
        <w:jc w:val="left"/>
        <w:rPr>
          <w:rFonts w:hint="eastAsia" w:ascii="宋体" w:hAnsi="宋体"/>
          <w:sz w:val="24"/>
          <w:szCs w:val="24"/>
        </w:rPr>
      </w:pPr>
      <w:r>
        <w:rPr>
          <w:rFonts w:hint="eastAsia" w:ascii="宋体" w:hAnsi="宋体"/>
          <w:sz w:val="24"/>
          <w:szCs w:val="24"/>
        </w:rPr>
        <w:t xml:space="preserve">    一、本项目为宜兴市公用建环资源循环利用有限公司骨料出售（2021年第二批）项目，具体要求如下，投标人须提供满足以下要求的服务，不得有负偏离，本项目采用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w:t>
      </w:r>
      <w:r>
        <w:rPr>
          <w:rFonts w:hint="eastAsia" w:ascii="宋体" w:hAnsi="宋体"/>
          <w:sz w:val="24"/>
          <w:szCs w:val="28"/>
        </w:rPr>
        <w:t>报价按上浮系数报价，最低报价系数为1.0，加价幅度至少为0.01的倍数。</w:t>
      </w:r>
    </w:p>
    <w:p>
      <w:pPr>
        <w:widowControl/>
        <w:spacing w:line="276" w:lineRule="auto"/>
        <w:ind w:firstLine="480" w:firstLineChars="200"/>
        <w:jc w:val="left"/>
        <w:rPr>
          <w:rFonts w:hint="eastAsia" w:ascii="仿宋_GB2312" w:hAnsi="宋体" w:eastAsia="仿宋_GB2312" w:cs="宋体"/>
          <w:kern w:val="0"/>
          <w:sz w:val="24"/>
        </w:rPr>
      </w:pPr>
      <w:r>
        <w:rPr>
          <w:rFonts w:hint="eastAsia" w:ascii="宋体" w:hAnsi="宋体"/>
          <w:sz w:val="24"/>
          <w:szCs w:val="24"/>
        </w:rPr>
        <w:t xml:space="preserve">二、具体名称、规格及数量详见下表: </w:t>
      </w:r>
    </w:p>
    <w:p>
      <w:pPr>
        <w:spacing w:line="360" w:lineRule="auto"/>
        <w:jc w:val="center"/>
        <w:rPr>
          <w:rFonts w:hint="eastAsia" w:ascii="宋体" w:hAnsi="宋体"/>
          <w:sz w:val="24"/>
          <w:szCs w:val="24"/>
        </w:rPr>
      </w:pPr>
      <w:r>
        <w:rPr>
          <w:rFonts w:hint="eastAsia" w:ascii="宋体" w:hAnsi="宋体" w:cs="宋体"/>
          <w:b/>
          <w:sz w:val="32"/>
          <w:szCs w:val="24"/>
        </w:rPr>
        <w:t>一标段：</w:t>
      </w:r>
    </w:p>
    <w:tbl>
      <w:tblPr>
        <w:tblStyle w:val="7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42"/>
        <w:gridCol w:w="1701"/>
        <w:gridCol w:w="248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89" w:type="dxa"/>
            <w:gridSpan w:val="2"/>
            <w:shd w:val="clear" w:color="FFFFFF" w:fill="FFFFFF"/>
            <w:noWrap w:val="0"/>
            <w:vAlign w:val="center"/>
          </w:tcPr>
          <w:p>
            <w:pPr>
              <w:jc w:val="center"/>
              <w:rPr>
                <w:rFonts w:hint="eastAsia" w:ascii="宋体" w:hAnsi="宋体" w:cs="Arial"/>
                <w:color w:val="000000"/>
                <w:kern w:val="0"/>
                <w:sz w:val="24"/>
                <w:szCs w:val="24"/>
              </w:rPr>
            </w:pPr>
            <w:r>
              <w:rPr>
                <w:rFonts w:hint="eastAsia" w:ascii="宋体" w:hAnsi="宋体" w:cs="Arial"/>
                <w:color w:val="000000"/>
                <w:kern w:val="0"/>
                <w:sz w:val="24"/>
                <w:szCs w:val="24"/>
              </w:rPr>
              <w:t>合计</w:t>
            </w:r>
          </w:p>
        </w:tc>
        <w:tc>
          <w:tcPr>
            <w:tcW w:w="1701" w:type="dxa"/>
            <w:shd w:val="clear" w:color="FFFFFF" w:fill="FFFFFF"/>
            <w:noWrap w:val="0"/>
            <w:vAlign w:val="center"/>
          </w:tcPr>
          <w:p>
            <w:pPr>
              <w:widowControl/>
              <w:jc w:val="center"/>
              <w:rPr>
                <w:rFonts w:hint="eastAsia" w:ascii="宋体" w:hAnsi="宋体" w:cs="Arial"/>
                <w:color w:val="000000"/>
                <w:kern w:val="0"/>
                <w:sz w:val="24"/>
                <w:szCs w:val="24"/>
              </w:rPr>
            </w:pPr>
          </w:p>
        </w:tc>
        <w:tc>
          <w:tcPr>
            <w:tcW w:w="2486" w:type="dxa"/>
            <w:shd w:val="clear" w:color="FFFFFF" w:fill="FFFFFF"/>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bl>
    <w:p>
      <w:pPr>
        <w:spacing w:line="360" w:lineRule="auto"/>
        <w:rPr>
          <w:rFonts w:hint="eastAsia" w:ascii="宋体" w:hAnsi="宋体"/>
          <w:sz w:val="24"/>
          <w:szCs w:val="24"/>
        </w:rPr>
      </w:pPr>
      <w:r>
        <w:rPr>
          <w:rFonts w:hint="eastAsia" w:ascii="宋体" w:hAnsi="宋体"/>
          <w:sz w:val="24"/>
          <w:szCs w:val="24"/>
        </w:rPr>
        <w:t>备注：</w:t>
      </w:r>
    </w:p>
    <w:p>
      <w:pPr>
        <w:spacing w:line="276" w:lineRule="auto"/>
        <w:rPr>
          <w:rFonts w:hint="eastAsia"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应全部考虑了包括所有货物、调试、人力、机械、运输（装车由销售方承担）、仓储、各种税费、劳保、专利技术、质保、政策性文件规定及合同包含的所有风险、责任等各项所有费用。</w:t>
      </w:r>
    </w:p>
    <w:p>
      <w:pPr>
        <w:spacing w:line="276" w:lineRule="auto"/>
        <w:ind w:firstLine="465"/>
        <w:rPr>
          <w:rFonts w:hint="eastAsia" w:ascii="ˎ̥" w:hAnsi="ˎ̥" w:cs="宋体"/>
          <w:kern w:val="0"/>
          <w:sz w:val="24"/>
        </w:rPr>
      </w:pPr>
      <w:r>
        <w:rPr>
          <w:rFonts w:hint="eastAsia" w:ascii="ˎ̥" w:hAnsi="ˎ̥" w:cs="宋体"/>
          <w:kern w:val="0"/>
          <w:sz w:val="24"/>
        </w:rPr>
        <w:t>2、销售方根据需要调配实际销售的数量，各中标单位所有货品以实际销售数量结算。</w:t>
      </w:r>
    </w:p>
    <w:p>
      <w:pPr>
        <w:spacing w:line="360" w:lineRule="auto"/>
        <w:rPr>
          <w:rFonts w:hint="eastAsia" w:ascii="宋体" w:hAnsi="宋体"/>
          <w:sz w:val="24"/>
          <w:szCs w:val="24"/>
        </w:rPr>
      </w:pPr>
      <w:r>
        <w:rPr>
          <w:rFonts w:hint="eastAsia" w:ascii="宋体" w:hAnsi="宋体"/>
          <w:sz w:val="24"/>
          <w:szCs w:val="24"/>
        </w:rPr>
        <w:t xml:space="preserve">    二、有关说明</w:t>
      </w:r>
    </w:p>
    <w:p>
      <w:pPr>
        <w:spacing w:line="360" w:lineRule="auto"/>
        <w:rPr>
          <w:rFonts w:hint="eastAsia"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投标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pPr>
        <w:spacing w:line="360" w:lineRule="auto"/>
        <w:rPr>
          <w:rFonts w:hint="eastAsia"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中标后-2021年12月31日。</w:t>
      </w:r>
    </w:p>
    <w:p>
      <w:pPr>
        <w:spacing w:line="360" w:lineRule="auto"/>
        <w:rPr>
          <w:rFonts w:hint="eastAsia"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4、</w:t>
      </w:r>
      <w:r>
        <w:rPr>
          <w:rFonts w:hint="eastAsia" w:ascii="宋体" w:hAnsi="宋体"/>
          <w:b/>
          <w:sz w:val="24"/>
        </w:rPr>
        <w:t>交货方法：</w:t>
      </w:r>
      <w:r>
        <w:rPr>
          <w:rFonts w:hint="eastAsia" w:ascii="宋体" w:hAnsi="宋体"/>
          <w:bCs/>
          <w:sz w:val="24"/>
          <w:u w:val="single"/>
        </w:rPr>
        <w:t>采购人自提自运，包装、运输、卸货等费用由采购人承担，</w:t>
      </w:r>
      <w:r>
        <w:rPr>
          <w:rFonts w:hint="eastAsia" w:ascii="ˎ̥" w:hAnsi="ˎ̥" w:cs="宋体"/>
          <w:kern w:val="0"/>
          <w:sz w:val="24"/>
          <w:u w:val="single"/>
        </w:rPr>
        <w:t>装车由销售方承担</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rPr>
        <w:t xml:space="preserve">    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方销售产品为建筑装修垃圾资源化处置后的再生骨料，甲乙双方签订合同后即视为对产品质量无异议，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pPr>
        <w:pStyle w:val="523"/>
        <w:spacing w:line="360" w:lineRule="auto"/>
        <w:jc w:val="left"/>
        <w:rPr>
          <w:rFonts w:cs="Times New Roman"/>
          <w:bCs/>
          <w:sz w:val="24"/>
          <w:szCs w:val="24"/>
          <w:lang w:val="en-US" w:eastAsia="zh-CN" w:bidi="ar-SA"/>
        </w:rPr>
      </w:pPr>
      <w:r>
        <w:rPr>
          <w:rFonts w:hint="eastAsia"/>
          <w:bCs/>
          <w:sz w:val="24"/>
          <w:lang w:val="en-US" w:eastAsia="zh-CN"/>
        </w:rPr>
        <w:t xml:space="preserve"> </w:t>
      </w:r>
      <w:r>
        <w:rPr>
          <w:rFonts w:hint="eastAsia" w:cs="Times New Roman"/>
          <w:bCs/>
          <w:sz w:val="24"/>
          <w:szCs w:val="24"/>
          <w:lang w:val="en-US" w:eastAsia="zh-CN" w:bidi="ar-SA"/>
        </w:rPr>
        <w:t xml:space="preserve">   8、收款方式：</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（1）、合同价款的结算：甲方与乙方每月10日前办理上月再生骨料的对账单，对账单以双方确认的过磅单为准，对账单办理完成后5个工作日内，甲方开具13%的增值税专用发票。</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spacing w:line="360" w:lineRule="auto"/>
        <w:rPr>
          <w:rFonts w:hint="eastAsia" w:ascii="宋体" w:hAnsi="宋体" w:cs="宋体"/>
          <w:sz w:val="24"/>
          <w:szCs w:val="24"/>
        </w:rPr>
      </w:pPr>
      <w:r>
        <w:rPr>
          <w:rFonts w:hint="eastAsia"/>
          <w:bCs/>
          <w:sz w:val="24"/>
          <w:szCs w:val="24"/>
        </w:rPr>
        <w:t xml:space="preserve">    3、最终结算及支付：本合同到期后，甲乙双方办理最终结算，乙方付清余款后，甲方开具与结算单金额相等的增值税专用发票。</w:t>
      </w:r>
    </w:p>
    <w:bookmarkEnd w:id="70"/>
    <w:bookmarkEnd w:id="71"/>
    <w:bookmarkEnd w:id="72"/>
    <w:bookmarkEnd w:id="73"/>
    <w:bookmarkEnd w:id="74"/>
    <w:bookmarkEnd w:id="75"/>
    <w:bookmarkEnd w:id="76"/>
    <w:p>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pPr>
        <w:spacing w:line="360" w:lineRule="auto"/>
        <w:ind w:firstLine="480" w:firstLineChars="200"/>
        <w:rPr>
          <w:rFonts w:ascii="宋体" w:hAnsi="宋体"/>
          <w:bCs/>
          <w:sz w:val="24"/>
        </w:rPr>
      </w:pPr>
    </w:p>
    <w:p>
      <w:pPr>
        <w:rPr>
          <w:rFonts w:ascii="宋体" w:hAnsi="宋体"/>
          <w:bCs/>
          <w:sz w:val="24"/>
        </w:rPr>
      </w:pPr>
      <w:r>
        <w:rPr>
          <w:rFonts w:hint="eastAsia" w:ascii="宋体" w:hAnsi="宋体"/>
          <w:bCs/>
          <w:sz w:val="24"/>
          <w:szCs w:val="24"/>
        </w:rPr>
        <w:t>销售方（甲方）：宜兴市公用建环资源循环利用有限公司</w:t>
      </w:r>
    </w:p>
    <w:p>
      <w:pPr>
        <w:rPr>
          <w:rFonts w:ascii="宋体" w:hAnsi="宋体"/>
          <w:bCs/>
          <w:sz w:val="24"/>
        </w:rPr>
      </w:pPr>
      <w:r>
        <w:rPr>
          <w:rFonts w:hint="eastAsia" w:ascii="宋体" w:hAnsi="宋体"/>
          <w:bCs/>
          <w:sz w:val="24"/>
          <w:szCs w:val="24"/>
        </w:rPr>
        <w:t>采购人（乙方）：</w:t>
      </w:r>
    </w:p>
    <w:p>
      <w:pPr>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根据《中华人民共和国民法典》等相关法律法规，甲、乙双方在平等、自愿、公平和诚实信用的基础上就甲方建筑装修垃圾处置后的再生骨料（以下简称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pPr>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pPr>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pPr>
        <w:ind w:firstLine="480" w:firstLineChars="200"/>
        <w:rPr>
          <w:rFonts w:ascii="宋体" w:hAnsi="宋体"/>
          <w:bCs/>
          <w:sz w:val="24"/>
        </w:rPr>
      </w:pPr>
      <w:r>
        <w:rPr>
          <w:rFonts w:hint="eastAsia" w:ascii="宋体" w:hAnsi="宋体"/>
          <w:bCs/>
          <w:sz w:val="24"/>
          <w:szCs w:val="24"/>
        </w:rPr>
        <w:t>2、产品的名称、规格、价格：</w:t>
      </w:r>
    </w:p>
    <w:tbl>
      <w:tblPr>
        <w:tblStyle w:val="75"/>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49"/>
        <w:gridCol w:w="1983"/>
        <w:gridCol w:w="184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noWrap/>
            <w:vAlign w:val="top"/>
          </w:tcPr>
          <w:p>
            <w:pPr>
              <w:jc w:val="center"/>
              <w:rPr>
                <w:rFonts w:ascii="宋体" w:hAnsi="宋体"/>
                <w:b/>
                <w:bCs/>
                <w:sz w:val="24"/>
              </w:rPr>
            </w:pPr>
            <w:r>
              <w:rPr>
                <w:rFonts w:hint="eastAsia" w:ascii="宋体" w:hAnsi="宋体"/>
                <w:b/>
                <w:bCs/>
                <w:sz w:val="24"/>
                <w:szCs w:val="24"/>
              </w:rPr>
              <w:t>序号</w:t>
            </w:r>
          </w:p>
        </w:tc>
        <w:tc>
          <w:tcPr>
            <w:tcW w:w="950" w:type="pct"/>
            <w:noWrap/>
            <w:vAlign w:val="top"/>
          </w:tcPr>
          <w:p>
            <w:pPr>
              <w:jc w:val="center"/>
              <w:rPr>
                <w:rFonts w:ascii="宋体" w:hAnsi="宋体"/>
                <w:b/>
                <w:bCs/>
                <w:sz w:val="24"/>
              </w:rPr>
            </w:pPr>
            <w:r>
              <w:rPr>
                <w:rFonts w:hint="eastAsia" w:ascii="宋体" w:hAnsi="宋体"/>
                <w:b/>
                <w:bCs/>
                <w:sz w:val="24"/>
                <w:szCs w:val="24"/>
              </w:rPr>
              <w:t>产品名称</w:t>
            </w:r>
          </w:p>
        </w:tc>
        <w:tc>
          <w:tcPr>
            <w:tcW w:w="1142" w:type="pct"/>
            <w:noWrap/>
            <w:vAlign w:val="top"/>
          </w:tcPr>
          <w:p>
            <w:pPr>
              <w:jc w:val="center"/>
              <w:rPr>
                <w:rFonts w:ascii="宋体" w:hAnsi="宋体"/>
                <w:b/>
                <w:bCs/>
                <w:sz w:val="24"/>
              </w:rPr>
            </w:pPr>
            <w:r>
              <w:rPr>
                <w:rFonts w:hint="eastAsia" w:ascii="宋体" w:hAnsi="宋体"/>
                <w:b/>
                <w:bCs/>
                <w:sz w:val="24"/>
                <w:szCs w:val="24"/>
              </w:rPr>
              <w:t>规格</w:t>
            </w:r>
          </w:p>
        </w:tc>
        <w:tc>
          <w:tcPr>
            <w:tcW w:w="1063" w:type="pct"/>
            <w:noWrap/>
            <w:vAlign w:val="top"/>
          </w:tcPr>
          <w:p>
            <w:pPr>
              <w:jc w:val="center"/>
              <w:rPr>
                <w:rFonts w:ascii="宋体" w:hAnsi="宋体"/>
                <w:b/>
                <w:bCs/>
                <w:sz w:val="24"/>
              </w:rPr>
            </w:pPr>
            <w:r>
              <w:rPr>
                <w:rFonts w:hint="eastAsia" w:ascii="宋体" w:hAnsi="宋体"/>
                <w:b/>
                <w:bCs/>
                <w:sz w:val="24"/>
                <w:szCs w:val="24"/>
              </w:rPr>
              <w:t>单价（元/吨）</w:t>
            </w:r>
          </w:p>
        </w:tc>
        <w:tc>
          <w:tcPr>
            <w:tcW w:w="1223" w:type="pct"/>
            <w:noWrap/>
            <w:vAlign w:val="top"/>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noWrap/>
            <w:vAlign w:val="top"/>
          </w:tcPr>
          <w:p>
            <w:pPr>
              <w:jc w:val="center"/>
              <w:rPr>
                <w:rFonts w:ascii="宋体" w:hAnsi="宋体"/>
                <w:sz w:val="24"/>
              </w:rPr>
            </w:pPr>
            <w:r>
              <w:rPr>
                <w:rFonts w:hint="eastAsia" w:ascii="宋体" w:hAnsi="宋体"/>
                <w:sz w:val="24"/>
                <w:szCs w:val="24"/>
              </w:rPr>
              <w:t>1</w:t>
            </w:r>
          </w:p>
        </w:tc>
        <w:tc>
          <w:tcPr>
            <w:tcW w:w="950" w:type="pct"/>
            <w:noWrap/>
            <w:vAlign w:val="top"/>
          </w:tcPr>
          <w:p>
            <w:pPr>
              <w:jc w:val="center"/>
              <w:rPr>
                <w:rFonts w:ascii="宋体" w:hAnsi="宋体"/>
                <w:sz w:val="24"/>
              </w:rPr>
            </w:pPr>
            <w:r>
              <w:rPr>
                <w:rFonts w:hint="eastAsia" w:ascii="宋体" w:hAnsi="宋体"/>
                <w:sz w:val="24"/>
                <w:szCs w:val="24"/>
              </w:rPr>
              <w:t>骨料</w:t>
            </w:r>
          </w:p>
        </w:tc>
        <w:tc>
          <w:tcPr>
            <w:tcW w:w="1142" w:type="pct"/>
            <w:noWrap/>
            <w:vAlign w:val="top"/>
          </w:tcPr>
          <w:p>
            <w:pPr>
              <w:jc w:val="center"/>
              <w:rPr>
                <w:rFonts w:ascii="宋体" w:hAnsi="宋体"/>
                <w:sz w:val="24"/>
              </w:rPr>
            </w:pPr>
            <w:r>
              <w:rPr>
                <w:rFonts w:hint="eastAsia" w:ascii="宋体" w:hAnsi="宋体"/>
                <w:sz w:val="24"/>
                <w:szCs w:val="24"/>
              </w:rPr>
              <w:t>100-150mm</w:t>
            </w:r>
          </w:p>
        </w:tc>
        <w:tc>
          <w:tcPr>
            <w:tcW w:w="1063" w:type="pct"/>
            <w:noWrap/>
            <w:vAlign w:val="top"/>
          </w:tcPr>
          <w:p>
            <w:pPr>
              <w:jc w:val="center"/>
              <w:rPr>
                <w:rFonts w:ascii="宋体" w:hAnsi="宋体"/>
                <w:sz w:val="24"/>
              </w:rPr>
            </w:pPr>
          </w:p>
        </w:tc>
        <w:tc>
          <w:tcPr>
            <w:tcW w:w="1223" w:type="pct"/>
            <w:noWrap/>
            <w:vAlign w:val="top"/>
          </w:tcPr>
          <w:p>
            <w:pPr>
              <w:jc w:val="center"/>
              <w:rPr>
                <w:rFonts w:ascii="宋体" w:hAnsi="宋体"/>
                <w:sz w:val="24"/>
              </w:rPr>
            </w:pPr>
            <w:r>
              <w:rPr>
                <w:rFonts w:hint="eastAsia" w:ascii="宋体" w:hAnsi="宋体"/>
                <w:szCs w:val="21"/>
              </w:rPr>
              <w:t>含13%增值税</w:t>
            </w:r>
          </w:p>
        </w:tc>
      </w:tr>
    </w:tbl>
    <w:p>
      <w:pPr>
        <w:ind w:firstLine="480" w:firstLineChars="200"/>
        <w:rPr>
          <w:rFonts w:hint="eastAsia" w:ascii="宋体" w:hAnsi="宋体"/>
          <w:sz w:val="24"/>
          <w:szCs w:val="24"/>
        </w:rPr>
      </w:pPr>
      <w:r>
        <w:rPr>
          <w:rFonts w:hint="eastAsia" w:ascii="宋体" w:hAnsi="宋体"/>
          <w:sz w:val="24"/>
          <w:szCs w:val="24"/>
        </w:rPr>
        <w:t>备注：</w:t>
      </w:r>
    </w:p>
    <w:p>
      <w:pPr>
        <w:ind w:firstLine="480" w:firstLineChars="200"/>
        <w:rPr>
          <w:rFonts w:hint="eastAsia"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应全部考虑了包括所有货物、调试、人力、机械、运输、仓储、各种税费、劳保、专利技术、质保、政策性文件规定及合同包含的所有风险、责任等各项所有费用。</w:t>
      </w:r>
    </w:p>
    <w:p>
      <w:pPr>
        <w:ind w:firstLine="480" w:firstLineChars="200"/>
        <w:rPr>
          <w:rFonts w:ascii="宋体" w:hAnsi="宋体"/>
          <w:sz w:val="24"/>
        </w:rPr>
      </w:pPr>
      <w:r>
        <w:rPr>
          <w:rFonts w:hint="eastAsia" w:ascii="ˎ̥" w:hAnsi="ˎ̥" w:cs="宋体"/>
          <w:kern w:val="0"/>
          <w:sz w:val="24"/>
          <w:u w:val="single"/>
        </w:rPr>
        <w:t>②、所有货品以实际数量结算。</w:t>
      </w:r>
    </w:p>
    <w:p>
      <w:pPr>
        <w:numPr>
          <w:ilvl w:val="0"/>
          <w:numId w:val="24"/>
        </w:numPr>
        <w:ind w:firstLine="482" w:firstLineChars="200"/>
        <w:rPr>
          <w:rFonts w:ascii="宋体" w:hAnsi="宋体"/>
          <w:b/>
          <w:sz w:val="24"/>
        </w:rPr>
      </w:pPr>
      <w:r>
        <w:rPr>
          <w:rFonts w:hint="eastAsia" w:ascii="宋体" w:hAnsi="宋体"/>
          <w:b/>
          <w:sz w:val="24"/>
          <w:szCs w:val="24"/>
        </w:rPr>
        <w:t xml:space="preserve"> 计量方法</w:t>
      </w:r>
    </w:p>
    <w:p>
      <w:pPr>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pPr>
        <w:ind w:firstLine="482" w:firstLineChars="200"/>
        <w:rPr>
          <w:rFonts w:ascii="宋体" w:hAnsi="宋体"/>
          <w:b/>
          <w:sz w:val="24"/>
        </w:rPr>
      </w:pPr>
      <w:r>
        <w:rPr>
          <w:rFonts w:hint="eastAsia" w:ascii="宋体" w:hAnsi="宋体"/>
          <w:b/>
          <w:sz w:val="24"/>
          <w:szCs w:val="24"/>
        </w:rPr>
        <w:t>第三条  合同期限</w:t>
      </w:r>
    </w:p>
    <w:p>
      <w:pPr>
        <w:ind w:firstLine="480" w:firstLineChars="200"/>
        <w:rPr>
          <w:rFonts w:ascii="宋体" w:hAnsi="宋体"/>
          <w:bCs/>
          <w:sz w:val="24"/>
        </w:rPr>
      </w:pPr>
      <w:r>
        <w:rPr>
          <w:rFonts w:hint="eastAsia" w:ascii="宋体" w:hAnsi="宋体"/>
          <w:bCs/>
          <w:sz w:val="24"/>
          <w:szCs w:val="24"/>
        </w:rPr>
        <w:t>1、本合同自中标之日起至</w:t>
      </w:r>
      <w:r>
        <w:rPr>
          <w:rFonts w:hint="eastAsia" w:ascii="宋体" w:hAnsi="宋体"/>
          <w:sz w:val="24"/>
          <w:szCs w:val="24"/>
          <w:u w:val="single"/>
        </w:rPr>
        <w:t>2021年12月31日</w:t>
      </w:r>
      <w:r>
        <w:rPr>
          <w:rFonts w:hint="eastAsia" w:ascii="宋体" w:hAnsi="宋体"/>
          <w:bCs/>
          <w:sz w:val="24"/>
          <w:szCs w:val="24"/>
        </w:rPr>
        <w:t>有效。</w:t>
      </w:r>
    </w:p>
    <w:p>
      <w:pPr>
        <w:ind w:firstLine="480" w:firstLineChars="200"/>
        <w:rPr>
          <w:rFonts w:hint="eastAsia" w:ascii="宋体" w:hAnsi="宋体"/>
          <w:bCs/>
          <w:sz w:val="24"/>
          <w:szCs w:val="24"/>
        </w:rPr>
      </w:pPr>
      <w:r>
        <w:rPr>
          <w:rFonts w:hint="eastAsia" w:ascii="宋体" w:hAnsi="宋体"/>
          <w:bCs/>
          <w:sz w:val="24"/>
          <w:szCs w:val="24"/>
        </w:rPr>
        <w:t>2、调价方案</w:t>
      </w:r>
    </w:p>
    <w:p>
      <w:pPr>
        <w:widowControl/>
        <w:ind w:firstLine="240" w:firstLineChars="100"/>
        <w:jc w:val="left"/>
        <w:rPr>
          <w:rFonts w:ascii="宋体" w:hAnsi="宋体"/>
          <w:sz w:val="24"/>
          <w:szCs w:val="24"/>
        </w:rPr>
      </w:pPr>
      <w:r>
        <w:rPr>
          <w:rFonts w:hint="eastAsia" w:ascii="宋体" w:hAnsi="宋体"/>
          <w:sz w:val="24"/>
          <w:szCs w:val="24"/>
        </w:rPr>
        <w:t xml:space="preserve">  (1)本次出售的100-150mm骨料调价依据“无锡工程造价信息” 2021年第8期发布的毛片价格为基准价，本项目的毛片初始基准价为110.06元/吨（含税）。</w:t>
      </w:r>
    </w:p>
    <w:p>
      <w:pPr>
        <w:widowControl/>
        <w:ind w:firstLine="480" w:firstLineChars="200"/>
        <w:jc w:val="left"/>
        <w:rPr>
          <w:rFonts w:ascii="宋体" w:hAnsi="宋体"/>
          <w:sz w:val="24"/>
          <w:szCs w:val="24"/>
        </w:rPr>
      </w:pPr>
      <w:r>
        <w:rPr>
          <w:rFonts w:hint="eastAsia" w:ascii="宋体" w:hAnsi="宋体"/>
          <w:sz w:val="24"/>
          <w:szCs w:val="24"/>
        </w:rPr>
        <w:t>毛片价格调价幅度%=（毛片当期价格-毛片基准价）/毛片基准价</w:t>
      </w:r>
    </w:p>
    <w:p>
      <w:pPr>
        <w:ind w:firstLine="480" w:firstLineChars="200"/>
        <w:jc w:val="left"/>
        <w:rPr>
          <w:rFonts w:hint="eastAsia" w:ascii="宋体" w:hAnsi="宋体"/>
          <w:sz w:val="24"/>
          <w:szCs w:val="24"/>
        </w:rPr>
      </w:pPr>
      <w:r>
        <w:rPr>
          <w:rFonts w:hint="eastAsia" w:ascii="宋体" w:hAnsi="宋体"/>
          <w:sz w:val="24"/>
          <w:szCs w:val="24"/>
        </w:rPr>
        <w:t xml:space="preserve">调价公式： </w:t>
      </w:r>
    </w:p>
    <w:tbl>
      <w:tblPr>
        <w:tblStyle w:val="7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605"/>
        <w:gridCol w:w="155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1559"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单价（元/吨）</w:t>
            </w:r>
          </w:p>
        </w:tc>
        <w:tc>
          <w:tcPr>
            <w:tcW w:w="3923"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调价公式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1559" w:type="dxa"/>
            <w:shd w:val="clear" w:color="FFFFFF" w:fill="FFFFFF"/>
            <w:noWrap w:val="0"/>
            <w:vAlign w:val="center"/>
          </w:tcPr>
          <w:p>
            <w:pPr>
              <w:widowControl/>
              <w:jc w:val="center"/>
              <w:rPr>
                <w:rFonts w:ascii="宋体" w:hAnsi="宋体" w:cs="Arial"/>
                <w:color w:val="000000"/>
                <w:kern w:val="0"/>
                <w:sz w:val="24"/>
                <w:szCs w:val="24"/>
              </w:rPr>
            </w:pPr>
          </w:p>
        </w:tc>
        <w:tc>
          <w:tcPr>
            <w:tcW w:w="3923" w:type="dxa"/>
            <w:noWrap w:val="0"/>
            <w:vAlign w:val="center"/>
          </w:tcPr>
          <w:p>
            <w:pPr>
              <w:jc w:val="center"/>
              <w:rPr>
                <w:rFonts w:ascii="宋体" w:hAnsi="宋体" w:cs="Arial"/>
                <w:color w:val="000000"/>
                <w:sz w:val="24"/>
                <w:szCs w:val="24"/>
              </w:rPr>
            </w:pPr>
            <w:r>
              <w:rPr>
                <w:rFonts w:hint="eastAsia" w:ascii="宋体" w:hAnsi="宋体"/>
                <w:sz w:val="24"/>
                <w:szCs w:val="24"/>
              </w:rPr>
              <w:t>当期结算价格=合同价格*（1±</w:t>
            </w:r>
            <w:r>
              <w:rPr>
                <w:rFonts w:hint="eastAsia" w:ascii="宋体" w:hAnsi="宋体"/>
                <w:color w:val="FF0000"/>
                <w:sz w:val="24"/>
                <w:szCs w:val="24"/>
              </w:rPr>
              <w:t>毛片</w:t>
            </w:r>
            <w:r>
              <w:rPr>
                <w:rFonts w:hint="eastAsia" w:ascii="宋体" w:hAnsi="宋体"/>
                <w:sz w:val="24"/>
                <w:szCs w:val="24"/>
              </w:rPr>
              <w:t>价格调价幅度%*20%）</w:t>
            </w:r>
          </w:p>
        </w:tc>
      </w:tr>
    </w:tbl>
    <w:p>
      <w:pPr>
        <w:rPr>
          <w:rFonts w:ascii="宋体" w:hAnsi="宋体"/>
          <w:bCs/>
          <w:sz w:val="24"/>
          <w:szCs w:val="24"/>
        </w:rPr>
      </w:pPr>
      <w:r>
        <w:rPr>
          <w:rFonts w:hint="eastAsia" w:ascii="宋体" w:hAnsi="宋体"/>
          <w:sz w:val="24"/>
          <w:szCs w:val="24"/>
        </w:rPr>
        <w:t xml:space="preserve">  （2）调价频次：本次招标不调价。</w:t>
      </w:r>
    </w:p>
    <w:p>
      <w:pPr>
        <w:ind w:firstLine="482" w:firstLineChars="200"/>
        <w:rPr>
          <w:rFonts w:ascii="宋体" w:hAnsi="宋体"/>
          <w:b/>
          <w:sz w:val="24"/>
        </w:rPr>
      </w:pPr>
      <w:r>
        <w:rPr>
          <w:rFonts w:hint="eastAsia" w:ascii="宋体" w:hAnsi="宋体"/>
          <w:b/>
          <w:sz w:val="24"/>
          <w:szCs w:val="24"/>
        </w:rPr>
        <w:t>第四条  产品交付</w:t>
      </w:r>
    </w:p>
    <w:p>
      <w:pPr>
        <w:pStyle w:val="131"/>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pPr>
        <w:pStyle w:val="131"/>
        <w:ind w:right="170" w:firstLine="480" w:firstLineChars="200"/>
        <w:rPr>
          <w:rFonts w:ascii="宋体" w:hAnsi="宋体"/>
          <w:bCs/>
          <w:sz w:val="24"/>
          <w:szCs w:val="24"/>
          <w:u w:val="single"/>
        </w:rPr>
      </w:pPr>
      <w:r>
        <w:rPr>
          <w:rFonts w:hint="eastAsia" w:ascii="宋体" w:hAnsi="宋体"/>
          <w:bCs/>
          <w:sz w:val="24"/>
          <w:szCs w:val="24"/>
        </w:rPr>
        <w:t>2、交付方式：</w:t>
      </w:r>
      <w:r>
        <w:rPr>
          <w:rFonts w:hint="eastAsia" w:ascii="宋体" w:hAnsi="宋体"/>
          <w:bCs/>
          <w:sz w:val="24"/>
          <w:szCs w:val="24"/>
          <w:u w:val="single"/>
        </w:rPr>
        <w:t>乙方到骨料堆放地自提自运，并承担包装和运输等费用；甲方配合装车</w:t>
      </w:r>
      <w:r>
        <w:rPr>
          <w:rStyle w:val="89"/>
          <w:rFonts w:hint="eastAsia" w:ascii="Times New Roman" w:hAnsi="Times New Roman"/>
          <w:u w:val="single"/>
        </w:rPr>
        <w:t>，</w:t>
      </w:r>
      <w:r>
        <w:rPr>
          <w:rFonts w:hint="eastAsia" w:ascii="宋体" w:hAnsi="宋体"/>
          <w:bCs/>
          <w:sz w:val="24"/>
          <w:szCs w:val="24"/>
          <w:u w:val="single"/>
        </w:rPr>
        <w:t>装车费用由甲方承担。</w:t>
      </w:r>
    </w:p>
    <w:p>
      <w:pPr>
        <w:pStyle w:val="131"/>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pPr>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pPr>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pPr>
        <w:ind w:firstLine="482" w:firstLineChars="200"/>
        <w:rPr>
          <w:rFonts w:ascii="宋体" w:hAnsi="宋体"/>
          <w:b/>
          <w:sz w:val="24"/>
        </w:rPr>
      </w:pPr>
      <w:r>
        <w:rPr>
          <w:rFonts w:hint="eastAsia" w:ascii="宋体" w:hAnsi="宋体"/>
          <w:b/>
          <w:sz w:val="24"/>
          <w:szCs w:val="24"/>
        </w:rPr>
        <w:t>第五条  产品质量</w:t>
      </w:r>
    </w:p>
    <w:p>
      <w:pPr>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方销售产品为建筑装修垃圾资源化处置后的再生骨料，甲乙双方签订合同后即视为对产品质量无异议，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pPr>
        <w:numPr>
          <w:ilvl w:val="0"/>
          <w:numId w:val="25"/>
        </w:numPr>
        <w:ind w:firstLine="482" w:firstLineChars="200"/>
        <w:rPr>
          <w:rFonts w:ascii="宋体" w:hAnsi="宋体"/>
          <w:b/>
          <w:sz w:val="24"/>
        </w:rPr>
      </w:pPr>
      <w:r>
        <w:rPr>
          <w:rFonts w:hint="eastAsia" w:ascii="宋体" w:hAnsi="宋体"/>
          <w:b/>
          <w:sz w:val="24"/>
          <w:szCs w:val="24"/>
        </w:rPr>
        <w:t xml:space="preserve"> 合同价款的结算及支付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1、合同价款的结算：甲方与乙方每月10日前办理上月再生骨料的对账单，对账单以双方确认的过磅单为准，对账单办理完成后5个工作日内，甲方开具13%的增值税专用发票。</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3、最终结算及支付：本合同到期后，甲乙双方办理最终结算，乙方付清余款后，甲方开具与结算单金额相等的增值税专用发票。</w:t>
      </w:r>
    </w:p>
    <w:p>
      <w:pPr>
        <w:pStyle w:val="523"/>
        <w:spacing w:line="240" w:lineRule="auto"/>
        <w:ind w:firstLine="480" w:firstLineChars="200"/>
        <w:jc w:val="left"/>
        <w:rPr>
          <w:color w:val="000000"/>
          <w:kern w:val="0"/>
          <w:sz w:val="24"/>
          <w:szCs w:val="24"/>
          <w:u w:val="none" w:color="000000"/>
        </w:rPr>
      </w:pPr>
      <w:r>
        <w:rPr>
          <w:rFonts w:hint="eastAsia" w:cs="Times New Roman"/>
          <w:bCs/>
          <w:sz w:val="24"/>
          <w:szCs w:val="24"/>
          <w:lang w:val="en-US" w:eastAsia="zh-CN" w:bidi="ar-SA"/>
        </w:rPr>
        <w:t>4、</w:t>
      </w:r>
      <w:r>
        <w:rPr>
          <w:rFonts w:hint="eastAsia"/>
          <w:color w:val="000000"/>
          <w:kern w:val="0"/>
          <w:sz w:val="24"/>
          <w:szCs w:val="24"/>
          <w:u w:val="none"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val="none" w:color="000000"/>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pPr>
        <w:ind w:firstLine="480"/>
        <w:rPr>
          <w:rFonts w:ascii="宋体" w:hAnsi="宋体"/>
          <w:bCs/>
          <w:sz w:val="24"/>
        </w:rPr>
      </w:pPr>
      <w:r>
        <w:rPr>
          <w:rFonts w:hint="eastAsia" w:ascii="宋体" w:hAnsi="宋体"/>
          <w:bCs/>
          <w:sz w:val="24"/>
          <w:szCs w:val="24"/>
        </w:rPr>
        <w:t>6、甲方账户信息：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pPr>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pPr>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pPr>
        <w:ind w:firstLine="480" w:firstLineChars="200"/>
        <w:rPr>
          <w:rFonts w:ascii="宋体" w:hAnsi="宋体"/>
          <w:bCs/>
          <w:sz w:val="24"/>
        </w:rPr>
      </w:pPr>
      <w:r>
        <w:rPr>
          <w:rFonts w:hint="eastAsia" w:ascii="宋体" w:hAnsi="宋体"/>
          <w:bCs/>
          <w:sz w:val="24"/>
          <w:szCs w:val="24"/>
        </w:rPr>
        <w:t>7、乙方开票信息：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pPr>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pPr>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pPr>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pPr>
        <w:ind w:firstLine="480"/>
        <w:rPr>
          <w:rFonts w:ascii="宋体" w:hAnsi="宋体"/>
          <w:b/>
          <w:sz w:val="24"/>
        </w:rPr>
      </w:pPr>
      <w:r>
        <w:rPr>
          <w:rFonts w:hint="eastAsia" w:ascii="宋体" w:hAnsi="宋体"/>
          <w:b/>
          <w:sz w:val="24"/>
          <w:szCs w:val="24"/>
        </w:rPr>
        <w:t>第七条  甲方的权利及义务</w:t>
      </w:r>
    </w:p>
    <w:p>
      <w:pPr>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若由于甲方原因导致产出骨料数量不足而终止合同的，不作为违约处理。</w:t>
      </w:r>
    </w:p>
    <w:p>
      <w:pPr>
        <w:ind w:firstLine="480" w:firstLineChars="200"/>
        <w:rPr>
          <w:rFonts w:ascii="宋体" w:hAnsi="宋体"/>
          <w:bCs/>
          <w:sz w:val="24"/>
        </w:rPr>
      </w:pPr>
      <w:r>
        <w:rPr>
          <w:rFonts w:hint="eastAsia" w:ascii="宋体" w:hAnsi="宋体"/>
          <w:bCs/>
          <w:sz w:val="24"/>
          <w:szCs w:val="24"/>
        </w:rPr>
        <w:t>2、甲方有产品销售时，甲方应提前一天通知乙方销售的数量、类别等，甲方负责装车。</w:t>
      </w:r>
    </w:p>
    <w:p>
      <w:pPr>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pPr>
        <w:ind w:left="420" w:leftChars="200"/>
        <w:rPr>
          <w:rFonts w:ascii="宋体" w:hAnsi="宋体"/>
          <w:b/>
          <w:sz w:val="24"/>
        </w:rPr>
      </w:pPr>
      <w:r>
        <w:rPr>
          <w:rFonts w:hint="eastAsia" w:ascii="宋体" w:hAnsi="宋体"/>
          <w:b/>
          <w:sz w:val="24"/>
          <w:szCs w:val="24"/>
        </w:rPr>
        <w:t>第八条  乙方的权利及义务</w:t>
      </w:r>
    </w:p>
    <w:p>
      <w:pPr>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pPr>
        <w:ind w:firstLine="480" w:firstLineChars="200"/>
        <w:rPr>
          <w:rFonts w:ascii="宋体" w:hAnsi="宋体"/>
          <w:bCs/>
          <w:sz w:val="24"/>
        </w:rPr>
      </w:pPr>
      <w:r>
        <w:rPr>
          <w:rFonts w:hint="eastAsia" w:ascii="宋体" w:hAnsi="宋体"/>
          <w:bCs/>
          <w:sz w:val="24"/>
          <w:szCs w:val="24"/>
        </w:rPr>
        <w:t>2、乙方须按时清运完甲方通知的产品数量。</w:t>
      </w:r>
    </w:p>
    <w:p>
      <w:pPr>
        <w:ind w:firstLine="480" w:firstLineChars="200"/>
        <w:rPr>
          <w:rFonts w:ascii="宋体" w:hAnsi="宋体"/>
          <w:bCs/>
          <w:sz w:val="24"/>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pPr>
        <w:pStyle w:val="524"/>
        <w:tabs>
          <w:tab w:val="left" w:pos="978"/>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1、乙方须按时清运完甲方通知的产品数量，如未及时清运导致料仓堆积影响甲方生产，甲方有权单方面解除合同并扣除乙方履约保证金5万，同时乙方需赔偿因此给甲方造成的全部损失。</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元。逾期支付费用的，甲方有权单方面解除合同并扣除乙方履约保证金5万，若履约保证金不足以赔偿甲方损失的，以实际损失为准赔偿。（催款日期以甲方发出催款通知之日起计算）</w:t>
      </w:r>
    </w:p>
    <w:p>
      <w:pPr>
        <w:pStyle w:val="524"/>
        <w:tabs>
          <w:tab w:val="left" w:pos="556"/>
        </w:tabs>
        <w:spacing w:line="240" w:lineRule="auto"/>
        <w:ind w:firstLine="480" w:firstLineChars="200"/>
        <w:jc w:val="left"/>
        <w:rPr>
          <w:rFonts w:hint="eastAsia"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给予乙方1000元/次的处罚，情节严重的，甲方有权单方面解除合同并扣除乙方履约保证金5万，同时乙方需赔偿因此给甲方造成的全部损失。</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pPr>
        <w:ind w:firstLine="480" w:firstLineChars="200"/>
        <w:rPr>
          <w:rFonts w:hint="eastAsia"/>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pStyle w:val="524"/>
        <w:tabs>
          <w:tab w:val="left" w:pos="556"/>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pPr>
        <w:pStyle w:val="524"/>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pPr>
        <w:ind w:firstLine="482" w:firstLineChars="200"/>
        <w:rPr>
          <w:rFonts w:ascii="宋体" w:hAnsi="宋体"/>
          <w:b/>
          <w:bCs/>
          <w:sz w:val="24"/>
        </w:rPr>
      </w:pPr>
      <w:r>
        <w:rPr>
          <w:rFonts w:hint="eastAsia" w:ascii="宋体" w:hAnsi="宋体"/>
          <w:b/>
          <w:bCs/>
          <w:sz w:val="24"/>
          <w:szCs w:val="24"/>
        </w:rPr>
        <w:t>第十条  争议的解决方式</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pPr>
        <w:ind w:firstLine="1440" w:firstLineChars="600"/>
        <w:outlineLvl w:val="0"/>
        <w:rPr>
          <w:rFonts w:ascii="宋体" w:hAnsi="宋体" w:cs="宋体"/>
          <w:sz w:val="24"/>
        </w:rPr>
      </w:pPr>
    </w:p>
    <w:p>
      <w:pPr>
        <w:ind w:firstLine="1440" w:firstLineChars="600"/>
        <w:outlineLvl w:val="0"/>
        <w:rPr>
          <w:rFonts w:ascii="宋体" w:hAnsi="宋体" w:cs="宋体"/>
          <w:sz w:val="24"/>
        </w:rPr>
      </w:pPr>
      <w:r>
        <w:rPr>
          <w:rFonts w:hint="eastAsia" w:ascii="宋体" w:hAnsi="宋体" w:cs="宋体"/>
          <w:sz w:val="24"/>
          <w:szCs w:val="24"/>
        </w:rPr>
        <w:t>年   月   日                           年   月   日</w:t>
      </w:r>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Pr>
        <w:spacing w:line="360" w:lineRule="auto"/>
        <w:jc w:val="center"/>
        <w:outlineLvl w:val="0"/>
        <w:rPr>
          <w:rFonts w:ascii="黑体" w:hAnsi="黑体" w:eastAsia="黑体"/>
          <w:sz w:val="28"/>
        </w:rPr>
      </w:pPr>
      <w:bookmarkStart w:id="77"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8" w:name="_Toc29240"/>
      <w:r>
        <w:rPr>
          <w:rFonts w:hint="eastAsia" w:ascii="宋体" w:hAnsi="宋体"/>
          <w:b/>
          <w:sz w:val="120"/>
          <w:szCs w:val="120"/>
        </w:rPr>
        <w:t>投标文件</w:t>
      </w:r>
      <w:bookmarkEnd w:id="78"/>
    </w:p>
    <w:p>
      <w:pPr>
        <w:jc w:val="center"/>
        <w:rPr>
          <w:rFonts w:ascii="宋体" w:hAnsi="宋体"/>
          <w:b/>
          <w:sz w:val="32"/>
          <w:szCs w:val="32"/>
        </w:rPr>
      </w:pPr>
      <w:bookmarkStart w:id="79" w:name="_Toc2400"/>
      <w:r>
        <w:rPr>
          <w:rFonts w:hint="eastAsia" w:ascii="宋体" w:hAnsi="宋体"/>
          <w:b/>
          <w:sz w:val="32"/>
          <w:szCs w:val="32"/>
        </w:rPr>
        <w:t>项目编号：</w:t>
      </w:r>
      <w:bookmarkEnd w:id="79"/>
      <w:r>
        <w:rPr>
          <w:rFonts w:ascii="宋体" w:hAnsi="宋体"/>
          <w:b/>
          <w:sz w:val="32"/>
          <w:szCs w:val="32"/>
        </w:rPr>
        <w:t xml:space="preserve">YXCYJT202109011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0" w:name="_Toc10010"/>
      <w:r>
        <w:rPr>
          <w:rFonts w:hint="eastAsia" w:ascii="宋体" w:hAnsi="宋体"/>
          <w:b/>
          <w:sz w:val="32"/>
          <w:szCs w:val="32"/>
        </w:rPr>
        <w:t>项目名称：</w:t>
      </w:r>
      <w:bookmarkEnd w:id="80"/>
      <w:bookmarkStart w:id="81" w:name="_Toc8670"/>
      <w:r>
        <w:rPr>
          <w:rFonts w:hint="eastAsia" w:ascii="宋体" w:hAnsi="宋体"/>
          <w:b/>
          <w:sz w:val="32"/>
          <w:szCs w:val="32"/>
          <w:u w:val="single"/>
        </w:rPr>
        <w:t>宜兴市公用建环资源循环利用有限公司骨料出售（2021年第二批）项目</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1"/>
    </w:p>
    <w:p>
      <w:pPr>
        <w:rPr>
          <w:rFonts w:ascii="宋体" w:hAnsi="宋体"/>
        </w:rPr>
      </w:pPr>
      <w:bookmarkStart w:id="82"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2"/>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3" w:name="_Toc1179"/>
      <w:r>
        <w:rPr>
          <w:rFonts w:hint="eastAsia" w:ascii="宋体" w:hAnsi="宋体"/>
          <w:b/>
          <w:sz w:val="32"/>
          <w:szCs w:val="32"/>
        </w:rPr>
        <w:t>日期： 年 月 日</w:t>
      </w:r>
      <w:bookmarkEnd w:id="83"/>
    </w:p>
    <w:p>
      <w:pPr>
        <w:rPr>
          <w:rFonts w:ascii="宋体"/>
          <w:b/>
          <w:bCs/>
          <w:sz w:val="24"/>
          <w:szCs w:val="24"/>
        </w:rPr>
      </w:pPr>
      <w:bookmarkStart w:id="84" w:name="_Toc24602"/>
      <w:r>
        <w:rPr>
          <w:rFonts w:hint="eastAsia" w:ascii="黑体" w:hAnsi="宋体" w:eastAsia="黑体"/>
          <w:bCs/>
          <w:sz w:val="24"/>
          <w:szCs w:val="24"/>
        </w:rPr>
        <w:br w:type="page"/>
      </w:r>
      <w:bookmarkStart w:id="85" w:name="OLE_LINK24"/>
      <w:r>
        <w:rPr>
          <w:rFonts w:hint="eastAsia" w:ascii="黑体" w:hAnsi="宋体" w:eastAsia="黑体"/>
          <w:bCs/>
          <w:sz w:val="28"/>
          <w:szCs w:val="28"/>
        </w:rPr>
        <w:t>（一）响应函（格式）：</w:t>
      </w:r>
    </w:p>
    <w:bookmarkEnd w:id="85"/>
    <w:p>
      <w:pPr>
        <w:spacing w:before="156" w:beforeLines="50" w:after="156" w:afterLines="50"/>
        <w:jc w:val="center"/>
        <w:rPr>
          <w:rFonts w:ascii="黑体" w:eastAsia="黑体"/>
          <w:bCs/>
          <w:sz w:val="28"/>
          <w:szCs w:val="28"/>
        </w:rPr>
      </w:pPr>
      <w:r>
        <w:rPr>
          <w:rFonts w:hint="eastAsia" w:ascii="黑体" w:eastAsia="黑体"/>
          <w:bCs/>
          <w:sz w:val="28"/>
          <w:szCs w:val="28"/>
        </w:rPr>
        <w:t>响应函</w:t>
      </w:r>
    </w:p>
    <w:p>
      <w:pPr>
        <w:spacing w:line="276" w:lineRule="auto"/>
        <w:ind w:left="1" w:leftChars="-228" w:hanging="480" w:hangingChars="200"/>
        <w:rPr>
          <w:rFonts w:ascii="宋体" w:hAnsi="宋体"/>
          <w:bCs/>
          <w:sz w:val="24"/>
          <w:lang w:val="zh-CN"/>
        </w:rPr>
      </w:pPr>
      <w:bookmarkStart w:id="86" w:name="OLE_LINK185"/>
      <w:r>
        <w:rPr>
          <w:rFonts w:hint="eastAsia" w:ascii="宋体" w:hAnsi="宋体"/>
          <w:bCs/>
          <w:sz w:val="24"/>
          <w:lang w:val="zh-CN"/>
        </w:rPr>
        <w:t xml:space="preserve">    致</w:t>
      </w:r>
      <w:bookmarkEnd w:id="86"/>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宜兴市公用建环资源循环利用有限公司骨料出售（2021年第二批）项目</w:t>
      </w:r>
      <w:r>
        <w:rPr>
          <w:rFonts w:hint="eastAsia" w:ascii="宋体" w:hAnsi="宋体"/>
          <w:bCs/>
          <w:sz w:val="24"/>
          <w:lang w:val="zh-CN"/>
        </w:rPr>
        <w:t>投标文件，经仔细阅读和研究，我方决定参加投标。</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6"/>
        </w:numPr>
        <w:spacing w:line="276" w:lineRule="auto"/>
        <w:ind w:firstLine="480" w:firstLineChars="200"/>
        <w:rPr>
          <w:rFonts w:ascii="宋体" w:hAnsi="宋体"/>
          <w:bCs/>
          <w:sz w:val="24"/>
          <w:lang w:val="zh-CN"/>
        </w:rPr>
      </w:pPr>
      <w:bookmarkStart w:id="87"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7"/>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8" w:name="OLE_LINK34"/>
      <w:bookmarkStart w:id="89"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0" w:name="OLE_LINK28"/>
      <w:r>
        <w:rPr>
          <w:rFonts w:hint="eastAsia" w:ascii="宋体" w:hAnsi="宋体"/>
          <w:bCs/>
          <w:sz w:val="24"/>
          <w:lang w:val="zh-CN"/>
        </w:rPr>
        <w:t>投标人公章</w:t>
      </w:r>
      <w:bookmarkEnd w:id="90"/>
      <w:r>
        <w:rPr>
          <w:rFonts w:hint="eastAsia" w:ascii="宋体" w:hAnsi="宋体"/>
          <w:bCs/>
          <w:sz w:val="24"/>
          <w:lang w:val="zh-CN"/>
        </w:rPr>
        <w:t>：</w:t>
      </w:r>
    </w:p>
    <w:bookmarkEnd w:id="88"/>
    <w:bookmarkEnd w:id="89"/>
    <w:p>
      <w:pPr>
        <w:spacing w:line="480" w:lineRule="exact"/>
        <w:rPr>
          <w:rFonts w:ascii="黑体" w:hAnsi="宋体" w:eastAsia="黑体"/>
          <w:bCs/>
          <w:sz w:val="28"/>
          <w:szCs w:val="28"/>
        </w:rPr>
      </w:pPr>
      <w:bookmarkStart w:id="91" w:name="OLE_LINK146"/>
      <w:r>
        <w:rPr>
          <w:rFonts w:ascii="黑体" w:hAnsi="宋体" w:eastAsia="黑体"/>
          <w:bCs/>
          <w:sz w:val="24"/>
          <w:szCs w:val="24"/>
        </w:rPr>
        <w:br w:type="page"/>
      </w:r>
      <w:r>
        <w:rPr>
          <w:rFonts w:hint="eastAsia" w:ascii="黑体" w:hAnsi="宋体" w:eastAsia="黑体"/>
          <w:bCs/>
          <w:sz w:val="28"/>
          <w:szCs w:val="28"/>
        </w:rPr>
        <w:t>（二）报价文件：</w:t>
      </w:r>
      <w:bookmarkEnd w:id="91"/>
    </w:p>
    <w:bookmarkEnd w:id="84"/>
    <w:p>
      <w:pPr>
        <w:spacing w:before="156" w:beforeLines="50" w:after="156" w:afterLines="50"/>
        <w:jc w:val="center"/>
        <w:rPr>
          <w:rFonts w:hint="eastAsia" w:ascii="黑体" w:eastAsia="黑体"/>
          <w:bCs/>
          <w:sz w:val="24"/>
          <w:szCs w:val="24"/>
        </w:rPr>
      </w:pPr>
      <w:bookmarkStart w:id="92" w:name="_Toc32423"/>
      <w:bookmarkStart w:id="93" w:name="OLE_LINK4"/>
      <w:bookmarkStart w:id="94" w:name="OLE_LINK32"/>
      <w:r>
        <w:rPr>
          <w:rFonts w:hint="eastAsia" w:ascii="黑体" w:eastAsia="黑体"/>
          <w:bCs/>
          <w:sz w:val="24"/>
          <w:szCs w:val="24"/>
        </w:rPr>
        <w:t>开标一览表</w:t>
      </w:r>
      <w:bookmarkEnd w:id="92"/>
      <w:bookmarkEnd w:id="93"/>
    </w:p>
    <w:p>
      <w:pPr>
        <w:jc w:val="center"/>
        <w:rPr>
          <w:rFonts w:hint="eastAsia" w:ascii="宋体" w:hAnsi="宋体"/>
          <w:sz w:val="28"/>
          <w:szCs w:val="28"/>
        </w:rPr>
      </w:pPr>
      <w:r>
        <w:rPr>
          <w:rFonts w:hint="eastAsia" w:ascii="宋体" w:hAnsi="宋体"/>
          <w:sz w:val="28"/>
          <w:szCs w:val="28"/>
        </w:rPr>
        <w:t>标段一</w:t>
      </w:r>
    </w:p>
    <w:p>
      <w:pPr>
        <w:ind w:left="1"/>
        <w:jc w:val="center"/>
        <w:rPr>
          <w:rFonts w:hint="eastAsia" w:ascii="宋体" w:hAnsi="宋体"/>
          <w:sz w:val="24"/>
          <w:szCs w:val="24"/>
        </w:rPr>
      </w:pPr>
      <w:r>
        <w:rPr>
          <w:rFonts w:hint="eastAsia" w:ascii="宋体" w:hAnsi="宋体"/>
          <w:sz w:val="24"/>
          <w:szCs w:val="24"/>
        </w:rPr>
        <w:t>投标人名称（盖章）：                                    单位：元</w:t>
      </w:r>
    </w:p>
    <w:tbl>
      <w:tblPr>
        <w:tblStyle w:val="75"/>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17"/>
        <w:gridCol w:w="1417"/>
        <w:gridCol w:w="1276"/>
        <w:gridCol w:w="971"/>
        <w:gridCol w:w="162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noWrap/>
            <w:vAlign w:val="center"/>
          </w:tcPr>
          <w:p>
            <w:pPr>
              <w:jc w:val="center"/>
              <w:rPr>
                <w:rFonts w:ascii="宋体" w:hAnsi="宋体"/>
                <w:b/>
                <w:bCs/>
                <w:sz w:val="24"/>
              </w:rPr>
            </w:pPr>
            <w:r>
              <w:rPr>
                <w:rFonts w:hint="eastAsia" w:ascii="宋体" w:hAnsi="宋体"/>
                <w:b/>
                <w:bCs/>
                <w:sz w:val="24"/>
                <w:szCs w:val="24"/>
              </w:rPr>
              <w:t>序号</w:t>
            </w:r>
          </w:p>
        </w:tc>
        <w:tc>
          <w:tcPr>
            <w:tcW w:w="807" w:type="pct"/>
            <w:noWrap/>
            <w:vAlign w:val="center"/>
          </w:tcPr>
          <w:p>
            <w:pPr>
              <w:jc w:val="center"/>
              <w:rPr>
                <w:rFonts w:ascii="宋体" w:hAnsi="宋体"/>
                <w:b/>
                <w:bCs/>
                <w:sz w:val="24"/>
              </w:rPr>
            </w:pPr>
            <w:r>
              <w:rPr>
                <w:rFonts w:hint="eastAsia" w:ascii="宋体" w:hAnsi="宋体"/>
                <w:b/>
                <w:bCs/>
                <w:sz w:val="24"/>
                <w:szCs w:val="24"/>
              </w:rPr>
              <w:t>产品名称</w:t>
            </w:r>
          </w:p>
        </w:tc>
        <w:tc>
          <w:tcPr>
            <w:tcW w:w="807" w:type="pct"/>
            <w:noWrap/>
            <w:vAlign w:val="center"/>
          </w:tcPr>
          <w:p>
            <w:pPr>
              <w:jc w:val="center"/>
              <w:rPr>
                <w:rFonts w:ascii="宋体" w:hAnsi="宋体"/>
                <w:b/>
                <w:bCs/>
                <w:sz w:val="24"/>
              </w:rPr>
            </w:pPr>
            <w:r>
              <w:rPr>
                <w:rFonts w:hint="eastAsia" w:ascii="宋体" w:hAnsi="宋体"/>
                <w:b/>
                <w:bCs/>
                <w:sz w:val="24"/>
                <w:szCs w:val="24"/>
              </w:rPr>
              <w:t>规格</w:t>
            </w:r>
          </w:p>
        </w:tc>
        <w:tc>
          <w:tcPr>
            <w:tcW w:w="727" w:type="pct"/>
            <w:noWrap w:val="0"/>
            <w:vAlign w:val="center"/>
          </w:tcPr>
          <w:p>
            <w:pPr>
              <w:jc w:val="center"/>
              <w:rPr>
                <w:rFonts w:ascii="宋体" w:hAnsi="宋体"/>
                <w:b/>
                <w:bCs/>
                <w:sz w:val="24"/>
              </w:rPr>
            </w:pPr>
            <w:r>
              <w:rPr>
                <w:rFonts w:hint="eastAsia" w:ascii="宋体" w:hAnsi="宋体"/>
                <w:b/>
                <w:bCs/>
                <w:sz w:val="24"/>
                <w:szCs w:val="24"/>
              </w:rPr>
              <w:t>最低限价（元/吨）</w:t>
            </w:r>
          </w:p>
        </w:tc>
        <w:tc>
          <w:tcPr>
            <w:tcW w:w="553" w:type="pct"/>
            <w:noWrap w:val="0"/>
            <w:vAlign w:val="center"/>
          </w:tcPr>
          <w:p>
            <w:pPr>
              <w:jc w:val="center"/>
              <w:rPr>
                <w:rFonts w:hint="eastAsia" w:ascii="宋体" w:hAnsi="宋体"/>
                <w:b/>
                <w:bCs/>
                <w:sz w:val="24"/>
                <w:szCs w:val="24"/>
              </w:rPr>
            </w:pPr>
            <w:r>
              <w:rPr>
                <w:rFonts w:hint="eastAsia" w:ascii="宋体" w:hAnsi="宋体"/>
                <w:b/>
                <w:bCs/>
                <w:sz w:val="24"/>
                <w:szCs w:val="24"/>
              </w:rPr>
              <w:t>上浮</w:t>
            </w:r>
          </w:p>
          <w:p>
            <w:pPr>
              <w:jc w:val="center"/>
              <w:rPr>
                <w:rFonts w:hint="eastAsia" w:ascii="宋体" w:hAnsi="宋体"/>
                <w:b/>
                <w:bCs/>
                <w:sz w:val="24"/>
                <w:szCs w:val="24"/>
              </w:rPr>
            </w:pPr>
            <w:r>
              <w:rPr>
                <w:rFonts w:hint="eastAsia" w:ascii="宋体" w:hAnsi="宋体"/>
                <w:b/>
                <w:bCs/>
                <w:sz w:val="24"/>
                <w:szCs w:val="24"/>
              </w:rPr>
              <w:t>系数</w:t>
            </w:r>
          </w:p>
        </w:tc>
        <w:tc>
          <w:tcPr>
            <w:tcW w:w="924" w:type="pct"/>
            <w:noWrap w:val="0"/>
            <w:vAlign w:val="center"/>
          </w:tcPr>
          <w:p>
            <w:pPr>
              <w:jc w:val="center"/>
              <w:rPr>
                <w:rFonts w:hint="eastAsia" w:ascii="宋体" w:hAnsi="宋体"/>
                <w:b/>
                <w:bCs/>
                <w:sz w:val="24"/>
                <w:szCs w:val="24"/>
              </w:rPr>
            </w:pPr>
            <w:r>
              <w:rPr>
                <w:rFonts w:hint="eastAsia" w:ascii="宋体" w:hAnsi="宋体"/>
                <w:b/>
                <w:bCs/>
                <w:sz w:val="24"/>
                <w:szCs w:val="24"/>
              </w:rPr>
              <w:t>单价</w:t>
            </w:r>
          </w:p>
          <w:p>
            <w:pPr>
              <w:jc w:val="center"/>
              <w:rPr>
                <w:rFonts w:hint="eastAsia" w:ascii="宋体" w:hAnsi="宋体"/>
                <w:b/>
                <w:bCs/>
                <w:sz w:val="24"/>
                <w:szCs w:val="24"/>
              </w:rPr>
            </w:pPr>
            <w:r>
              <w:rPr>
                <w:rFonts w:hint="eastAsia" w:ascii="宋体" w:hAnsi="宋体"/>
                <w:b/>
                <w:bCs/>
                <w:sz w:val="24"/>
                <w:szCs w:val="24"/>
              </w:rPr>
              <w:t>（元/吨）</w:t>
            </w:r>
          </w:p>
        </w:tc>
        <w:tc>
          <w:tcPr>
            <w:tcW w:w="699" w:type="pct"/>
            <w:noWrap/>
            <w:vAlign w:val="center"/>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noWrap/>
            <w:vAlign w:val="center"/>
          </w:tcPr>
          <w:p>
            <w:pPr>
              <w:spacing w:line="360" w:lineRule="auto"/>
              <w:jc w:val="center"/>
              <w:rPr>
                <w:rFonts w:ascii="宋体" w:hAnsi="宋体"/>
                <w:sz w:val="24"/>
              </w:rPr>
            </w:pPr>
            <w:r>
              <w:rPr>
                <w:rFonts w:hint="eastAsia" w:ascii="宋体" w:hAnsi="宋体"/>
                <w:sz w:val="24"/>
                <w:szCs w:val="24"/>
              </w:rPr>
              <w:t>1</w:t>
            </w:r>
          </w:p>
        </w:tc>
        <w:tc>
          <w:tcPr>
            <w:tcW w:w="807" w:type="pct"/>
            <w:noWrap/>
            <w:vAlign w:val="center"/>
          </w:tcPr>
          <w:p>
            <w:pPr>
              <w:spacing w:line="360" w:lineRule="auto"/>
              <w:jc w:val="center"/>
              <w:rPr>
                <w:rFonts w:ascii="宋体" w:hAnsi="宋体"/>
                <w:sz w:val="24"/>
              </w:rPr>
            </w:pPr>
            <w:r>
              <w:rPr>
                <w:rFonts w:hint="eastAsia" w:ascii="宋体" w:hAnsi="宋体"/>
                <w:sz w:val="24"/>
                <w:szCs w:val="24"/>
              </w:rPr>
              <w:t>骨料</w:t>
            </w:r>
          </w:p>
        </w:tc>
        <w:tc>
          <w:tcPr>
            <w:tcW w:w="807" w:type="pct"/>
            <w:noWrap/>
            <w:vAlign w:val="center"/>
          </w:tcPr>
          <w:p>
            <w:pPr>
              <w:spacing w:line="360" w:lineRule="auto"/>
              <w:jc w:val="center"/>
              <w:rPr>
                <w:rFonts w:ascii="宋体" w:hAnsi="宋体"/>
                <w:sz w:val="24"/>
              </w:rPr>
            </w:pPr>
            <w:r>
              <w:rPr>
                <w:rFonts w:hint="eastAsia" w:ascii="宋体" w:hAnsi="宋体"/>
                <w:sz w:val="24"/>
                <w:szCs w:val="24"/>
              </w:rPr>
              <w:t>100-150mm</w:t>
            </w:r>
          </w:p>
        </w:tc>
        <w:tc>
          <w:tcPr>
            <w:tcW w:w="727" w:type="pct"/>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553" w:type="pct"/>
            <w:noWrap w:val="0"/>
            <w:vAlign w:val="top"/>
          </w:tcPr>
          <w:p>
            <w:pPr>
              <w:spacing w:line="360" w:lineRule="auto"/>
              <w:jc w:val="center"/>
              <w:rPr>
                <w:rFonts w:ascii="宋体" w:hAnsi="宋体"/>
                <w:sz w:val="24"/>
              </w:rPr>
            </w:pPr>
          </w:p>
        </w:tc>
        <w:tc>
          <w:tcPr>
            <w:tcW w:w="924" w:type="pct"/>
            <w:noWrap w:val="0"/>
            <w:vAlign w:val="top"/>
          </w:tcPr>
          <w:p>
            <w:pPr>
              <w:spacing w:line="360" w:lineRule="auto"/>
              <w:jc w:val="center"/>
              <w:rPr>
                <w:rFonts w:hint="eastAsia" w:ascii="宋体" w:hAnsi="宋体"/>
                <w:szCs w:val="21"/>
              </w:rPr>
            </w:pPr>
          </w:p>
        </w:tc>
        <w:tc>
          <w:tcPr>
            <w:tcW w:w="699" w:type="pct"/>
            <w:noWrap/>
            <w:vAlign w:val="center"/>
          </w:tcPr>
          <w:p>
            <w:pPr>
              <w:jc w:val="center"/>
              <w:rPr>
                <w:rFonts w:hint="eastAsia" w:ascii="宋体" w:hAnsi="宋体"/>
                <w:szCs w:val="21"/>
              </w:rPr>
            </w:pPr>
            <w:r>
              <w:rPr>
                <w:rFonts w:hint="eastAsia" w:ascii="宋体" w:hAnsi="宋体"/>
                <w:szCs w:val="21"/>
              </w:rPr>
              <w:t>含13%</w:t>
            </w:r>
          </w:p>
          <w:p>
            <w:pPr>
              <w:jc w:val="center"/>
              <w:rPr>
                <w:rFonts w:ascii="宋体" w:hAnsi="宋体"/>
                <w:sz w:val="24"/>
              </w:rPr>
            </w:pPr>
            <w:r>
              <w:rPr>
                <w:rFonts w:hint="eastAsia" w:ascii="宋体" w:hAnsi="宋体"/>
                <w:szCs w:val="21"/>
              </w:rPr>
              <w:t>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小计（元）</w:t>
            </w:r>
          </w:p>
        </w:tc>
        <w:tc>
          <w:tcPr>
            <w:tcW w:w="3710" w:type="pct"/>
            <w:gridSpan w:val="5"/>
            <w:noWrap w:val="0"/>
            <w:vAlign w:val="top"/>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大写</w:t>
            </w:r>
          </w:p>
        </w:tc>
        <w:tc>
          <w:tcPr>
            <w:tcW w:w="3710" w:type="pct"/>
            <w:gridSpan w:val="5"/>
            <w:noWrap w:val="0"/>
            <w:vAlign w:val="top"/>
          </w:tcPr>
          <w:p>
            <w:pPr>
              <w:spacing w:line="360" w:lineRule="auto"/>
              <w:jc w:val="center"/>
              <w:rPr>
                <w:rFonts w:hint="eastAsia" w:ascii="宋体" w:hAnsi="宋体"/>
                <w:szCs w:val="21"/>
              </w:rPr>
            </w:pPr>
          </w:p>
        </w:tc>
      </w:tr>
    </w:tbl>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投标人签名：                                          日期：</w:t>
      </w:r>
    </w:p>
    <w:p>
      <w:pPr>
        <w:ind w:firstLine="420" w:firstLineChars="200"/>
        <w:jc w:val="left"/>
        <w:rPr>
          <w:rFonts w:hint="eastAsia" w:ascii="宋体" w:hAnsi="宋体"/>
          <w:szCs w:val="21"/>
          <w:lang w:val="zh-CN"/>
        </w:rPr>
      </w:pPr>
      <w:r>
        <w:rPr>
          <w:rFonts w:hint="eastAsia" w:ascii="宋体" w:hAnsi="宋体"/>
          <w:szCs w:val="21"/>
          <w:lang w:val="zh-CN"/>
        </w:rPr>
        <w:t>注：①本合同为单价合同，投标单价应全部考虑了包括所有货物、调试、人力、机械（</w:t>
      </w:r>
      <w:r>
        <w:rPr>
          <w:rFonts w:hint="eastAsia" w:ascii="ˎ̥" w:hAnsi="ˎ̥" w:cs="宋体"/>
          <w:kern w:val="0"/>
          <w:szCs w:val="21"/>
          <w:u w:val="single"/>
        </w:rPr>
        <w:t>装车费由销售方负责</w:t>
      </w:r>
      <w:r>
        <w:rPr>
          <w:rFonts w:hint="eastAsia" w:ascii="宋体" w:hAnsi="宋体"/>
          <w:szCs w:val="21"/>
          <w:lang w:val="zh-CN"/>
        </w:rPr>
        <w:t>）、运输、仓储、各种税费、劳保、专利技术、质保、政策性文件规定及合同包含的所有风险、责任等各项所有费用。</w:t>
      </w:r>
    </w:p>
    <w:p>
      <w:pPr>
        <w:ind w:firstLine="424" w:firstLineChars="202"/>
        <w:jc w:val="left"/>
        <w:rPr>
          <w:rFonts w:hint="eastAsia"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pPr>
        <w:ind w:firstLine="424" w:firstLineChars="202"/>
        <w:jc w:val="left"/>
        <w:rPr>
          <w:rFonts w:hint="eastAsia"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4"/>
    <w:p>
      <w:pPr>
        <w:rPr>
          <w:rFonts w:hint="eastAsia" w:ascii="宋体" w:hAnsi="宋体"/>
          <w:szCs w:val="21"/>
          <w:lang w:val="zh-CN"/>
        </w:rPr>
      </w:pPr>
    </w:p>
    <w:p>
      <w:pPr>
        <w:rPr>
          <w:rFonts w:ascii="黑体" w:hAnsi="宋体" w:eastAsia="黑体"/>
          <w:bCs/>
          <w:sz w:val="28"/>
          <w:szCs w:val="28"/>
        </w:rPr>
      </w:pPr>
      <w:bookmarkStart w:id="95" w:name="OLE_LINK151"/>
      <w:bookmarkStart w:id="96" w:name="_Toc8000"/>
      <w:r>
        <w:rPr>
          <w:rFonts w:ascii="黑体" w:hAnsi="宋体" w:eastAsia="黑体"/>
          <w:bCs/>
          <w:sz w:val="28"/>
          <w:szCs w:val="28"/>
        </w:rPr>
        <w:br w:type="page"/>
      </w:r>
      <w:r>
        <w:rPr>
          <w:rFonts w:hint="eastAsia" w:ascii="黑体" w:hAnsi="宋体" w:eastAsia="黑体"/>
          <w:bCs/>
          <w:sz w:val="28"/>
          <w:szCs w:val="28"/>
        </w:rPr>
        <w:t>（三）资格证明文件</w:t>
      </w:r>
      <w:bookmarkEnd w:id="95"/>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6"/>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YXCYJT202109011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YXCYJT202109011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代表我公司（单位）全权办理针对上述项目的投标、参与开标、投标、签约等具体工作，并签署全部有关的文件、协议及合同。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7"/>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hint="eastAsia" w:ascii="宋体" w:hAnsi="宋体"/>
          <w:b/>
          <w:bCs/>
          <w:sz w:val="24"/>
          <w:szCs w:val="24"/>
        </w:rPr>
      </w:pPr>
      <w:r>
        <w:rPr>
          <w:rFonts w:hint="eastAsia" w:ascii="宋体" w:hAnsi="宋体"/>
          <w:b/>
          <w:bCs/>
          <w:sz w:val="24"/>
          <w:szCs w:val="24"/>
        </w:rPr>
        <w:t>投标人资格条件：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1、关于资格的声明函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sz w:val="24"/>
          <w:szCs w:val="24"/>
        </w:rPr>
        <w:t>投标时</w:t>
      </w:r>
      <w:r>
        <w:rPr>
          <w:rFonts w:hint="eastAsia" w:ascii="宋体" w:hAnsi="宋体"/>
          <w:bCs/>
          <w:sz w:val="24"/>
          <w:szCs w:val="24"/>
          <w:lang w:val="zh-CN"/>
        </w:rPr>
        <w:t>必须提交相应原件或公证件）；</w:t>
      </w:r>
    </w:p>
    <w:p>
      <w:p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1"/>
        </w:rPr>
        <w:t>5、投标保证金交纳证明复印件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sz w:val="24"/>
          <w:szCs w:val="21"/>
        </w:rPr>
        <w:t>；</w:t>
      </w:r>
    </w:p>
    <w:p>
      <w:pPr>
        <w:tabs>
          <w:tab w:val="left" w:pos="142"/>
          <w:tab w:val="left" w:pos="945"/>
          <w:tab w:val="left" w:pos="1155"/>
        </w:tabs>
        <w:spacing w:line="360" w:lineRule="auto"/>
        <w:ind w:firstLine="424" w:firstLineChars="177"/>
        <w:rPr>
          <w:rFonts w:hint="eastAsia" w:ascii="宋体" w:hAnsi="宋体" w:cs="宋体"/>
          <w:sz w:val="24"/>
          <w:szCs w:val="24"/>
        </w:rPr>
      </w:pPr>
      <w:r>
        <w:rPr>
          <w:rFonts w:hint="eastAsia" w:ascii="宋体" w:hAnsi="宋体"/>
          <w:sz w:val="24"/>
          <w:szCs w:val="21"/>
        </w:rPr>
        <w:t xml:space="preserve"> </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黑体" w:hAnsi="宋体" w:eastAsia="黑体"/>
          <w:bCs/>
          <w:sz w:val="24"/>
          <w:szCs w:val="24"/>
        </w:rPr>
      </w:pPr>
      <w:bookmarkStart w:id="97"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YXCYJT202109011</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7"/>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骨料出售（2021年第二批）项目</w:t>
      </w:r>
    </w:p>
    <w:p>
      <w:pPr>
        <w:jc w:val="center"/>
        <w:rPr>
          <w:rFonts w:hint="eastAsia" w:ascii="黑体" w:hAnsi="黑体" w:eastAsia="黑体"/>
          <w:bCs/>
          <w:sz w:val="44"/>
          <w:szCs w:val="44"/>
        </w:rPr>
      </w:pPr>
      <w:r>
        <w:rPr>
          <w:rFonts w:hint="eastAsia" w:ascii="黑体" w:hAnsi="黑体" w:eastAsia="黑体"/>
          <w:bCs/>
          <w:sz w:val="44"/>
          <w:szCs w:val="44"/>
        </w:rPr>
        <w:t>竞价公告（第二次）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因工作需要，现组织宜兴市公用建环资源循环利用有限公司对骨料出售（2021年第二批）项目进行投标。现欢迎符合相关条件的供应商参加投标。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YXCYJT202109011</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骨料出售（2021年第二批）项目</w:t>
      </w:r>
    </w:p>
    <w:p>
      <w:pPr>
        <w:ind w:firstLine="560" w:firstLineChars="200"/>
        <w:rPr>
          <w:rFonts w:ascii="仿宋_GB2312" w:eastAsia="仿宋_GB2312"/>
          <w:sz w:val="28"/>
          <w:szCs w:val="28"/>
        </w:rPr>
      </w:pPr>
      <w:r>
        <w:rPr>
          <w:rFonts w:hint="eastAsia" w:ascii="仿宋_GB2312" w:eastAsia="仿宋_GB2312"/>
          <w:sz w:val="28"/>
          <w:szCs w:val="28"/>
        </w:rPr>
        <w:t>③项目简要说明：详见投标文件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w:t>
      </w:r>
      <w:r>
        <w:rPr>
          <w:rFonts w:hint="eastAsia" w:ascii="仿宋_GB2312" w:eastAsia="仿宋_GB2312"/>
          <w:kern w:val="2"/>
          <w:sz w:val="28"/>
          <w:szCs w:val="28"/>
          <w:u w:val="none" w:color="auto"/>
        </w:rPr>
        <w:t>本项目最低限价为：22元/吨</w:t>
      </w:r>
    </w:p>
    <w:p>
      <w:pPr>
        <w:ind w:firstLine="555"/>
        <w:jc w:val="left"/>
        <w:rPr>
          <w:rFonts w:hint="eastAsia" w:ascii="仿宋_GB2312" w:eastAsia="仿宋_GB2312"/>
          <w:kern w:val="0"/>
          <w:sz w:val="28"/>
          <w:szCs w:val="28"/>
          <w:u w:val="none" w:color="000000"/>
        </w:rPr>
      </w:pPr>
      <w:r>
        <w:rPr>
          <w:rFonts w:hint="eastAsia" w:ascii="仿宋_GB2312" w:eastAsia="仿宋_GB2312"/>
          <w:sz w:val="28"/>
          <w:szCs w:val="28"/>
        </w:rPr>
        <w:t>⑤</w:t>
      </w:r>
      <w:r>
        <w:rPr>
          <w:rFonts w:hint="eastAsia" w:ascii="仿宋_GB2312" w:eastAsia="仿宋_GB2312"/>
          <w:kern w:val="0"/>
          <w:sz w:val="28"/>
          <w:szCs w:val="28"/>
          <w:u w:val="none" w:color="000000"/>
        </w:rPr>
        <w:t>出售方式：竞价出售</w:t>
      </w:r>
    </w:p>
    <w:p>
      <w:pPr>
        <w:ind w:firstLine="555"/>
        <w:jc w:val="left"/>
        <w:rPr>
          <w:rFonts w:hint="eastAsia" w:ascii="宋体" w:hAnsi="宋体"/>
          <w:sz w:val="24"/>
          <w:szCs w:val="28"/>
        </w:rPr>
      </w:pPr>
      <w:r>
        <w:rPr>
          <w:rFonts w:hint="eastAsia" w:ascii="仿宋_GB2312" w:eastAsia="仿宋_GB2312"/>
          <w:kern w:val="0"/>
          <w:sz w:val="28"/>
          <w:szCs w:val="28"/>
          <w:u w:val="none" w:color="000000"/>
        </w:rPr>
        <w:t>⑥评审办法：最高中标价法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rPr>
          <w:rFonts w:ascii="仿宋_GB2312" w:eastAsia="仿宋_GB2312"/>
          <w:sz w:val="28"/>
          <w:szCs w:val="28"/>
        </w:rPr>
      </w:pPr>
      <w:r>
        <w:rPr>
          <w:rFonts w:hint="eastAsia" w:ascii="仿宋_GB2312" w:eastAsia="仿宋_GB2312"/>
          <w:sz w:val="28"/>
          <w:szCs w:val="28"/>
        </w:rPr>
        <w:t xml:space="preserve">    ①具有独立承担民事责任的能力；</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②有依法缴纳税收的良好记录；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⑤无不良信用记录；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⑥营业执照经营范围需涵盖建筑材料销售资格。</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1、提交投标文件截止及开标时间：2021年10月9日10:00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2021年9 月30日-2021年10 月9日。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8" w:name="OLE_LINK29"/>
            <w:bookmarkEnd w:id="98"/>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联系人：应先生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2021年 9月30日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08575685"/>
    <w:multiLevelType w:val="singleLevel"/>
    <w:tmpl w:val="08575685"/>
    <w:lvl w:ilvl="0" w:tentative="0">
      <w:start w:val="6"/>
      <w:numFmt w:val="chineseCounting"/>
      <w:suff w:val="space"/>
      <w:lvlText w:val="第%1条"/>
      <w:lvlJc w:val="left"/>
      <w:rPr>
        <w:rFonts w:hint="eastAsia"/>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9">
    <w:nsid w:val="51AB004E"/>
    <w:multiLevelType w:val="singleLevel"/>
    <w:tmpl w:val="51AB004E"/>
    <w:lvl w:ilvl="0" w:tentative="0">
      <w:start w:val="2"/>
      <w:numFmt w:val="chineseCounting"/>
      <w:suff w:val="space"/>
      <w:lvlText w:val="第%1条"/>
      <w:lvlJc w:val="left"/>
      <w:rPr>
        <w:rFonts w:hint="eastAsia"/>
      </w:r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20"/>
  </w:num>
  <w:num w:numId="16">
    <w:abstractNumId w:val="9"/>
  </w:num>
  <w:num w:numId="17">
    <w:abstractNumId w:val="23"/>
  </w:num>
  <w:num w:numId="18">
    <w:abstractNumId w:val="11"/>
  </w:num>
  <w:num w:numId="19">
    <w:abstractNumId w:val="21"/>
  </w:num>
  <w:num w:numId="20">
    <w:abstractNumId w:val="22"/>
  </w:num>
  <w:num w:numId="21">
    <w:abstractNumId w:val="7"/>
  </w:num>
  <w:num w:numId="22">
    <w:abstractNumId w:val="12"/>
  </w:num>
  <w:num w:numId="23">
    <w:abstractNumId w:val="13"/>
  </w:num>
  <w:num w:numId="24">
    <w:abstractNumId w:val="19"/>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5A9E"/>
    <w:rsid w:val="00016618"/>
    <w:rsid w:val="000171B6"/>
    <w:rsid w:val="00025596"/>
    <w:rsid w:val="000255A4"/>
    <w:rsid w:val="00027A8A"/>
    <w:rsid w:val="00031EDA"/>
    <w:rsid w:val="00037C92"/>
    <w:rsid w:val="00042CC3"/>
    <w:rsid w:val="00047327"/>
    <w:rsid w:val="00047392"/>
    <w:rsid w:val="000520B0"/>
    <w:rsid w:val="00063081"/>
    <w:rsid w:val="00063887"/>
    <w:rsid w:val="0007007A"/>
    <w:rsid w:val="000708E7"/>
    <w:rsid w:val="00073C37"/>
    <w:rsid w:val="000770C1"/>
    <w:rsid w:val="00077B4D"/>
    <w:rsid w:val="00082A29"/>
    <w:rsid w:val="000874F5"/>
    <w:rsid w:val="00094306"/>
    <w:rsid w:val="000949F2"/>
    <w:rsid w:val="000975B0"/>
    <w:rsid w:val="000B1227"/>
    <w:rsid w:val="000B34F3"/>
    <w:rsid w:val="000B7C8A"/>
    <w:rsid w:val="000D028C"/>
    <w:rsid w:val="000D0783"/>
    <w:rsid w:val="000D0A31"/>
    <w:rsid w:val="000D45B7"/>
    <w:rsid w:val="000D4D3F"/>
    <w:rsid w:val="000E1BC8"/>
    <w:rsid w:val="000E2ABB"/>
    <w:rsid w:val="000E2D0A"/>
    <w:rsid w:val="000E618B"/>
    <w:rsid w:val="000E73C5"/>
    <w:rsid w:val="000E775E"/>
    <w:rsid w:val="000F5EE2"/>
    <w:rsid w:val="00102273"/>
    <w:rsid w:val="00107521"/>
    <w:rsid w:val="00110153"/>
    <w:rsid w:val="00115C57"/>
    <w:rsid w:val="00123949"/>
    <w:rsid w:val="00137BFB"/>
    <w:rsid w:val="00142558"/>
    <w:rsid w:val="00145CF6"/>
    <w:rsid w:val="00152E50"/>
    <w:rsid w:val="00156D11"/>
    <w:rsid w:val="00157204"/>
    <w:rsid w:val="00162D73"/>
    <w:rsid w:val="00163B02"/>
    <w:rsid w:val="00171AA6"/>
    <w:rsid w:val="00172F0D"/>
    <w:rsid w:val="00173360"/>
    <w:rsid w:val="00173521"/>
    <w:rsid w:val="0017472D"/>
    <w:rsid w:val="00184865"/>
    <w:rsid w:val="00194751"/>
    <w:rsid w:val="001A11E5"/>
    <w:rsid w:val="001A3569"/>
    <w:rsid w:val="001A3830"/>
    <w:rsid w:val="001B2010"/>
    <w:rsid w:val="001B3697"/>
    <w:rsid w:val="001B387B"/>
    <w:rsid w:val="001D3101"/>
    <w:rsid w:val="001D475E"/>
    <w:rsid w:val="001E02B5"/>
    <w:rsid w:val="001E527B"/>
    <w:rsid w:val="001E55D4"/>
    <w:rsid w:val="001F6371"/>
    <w:rsid w:val="001F70CE"/>
    <w:rsid w:val="001F7345"/>
    <w:rsid w:val="0020510D"/>
    <w:rsid w:val="00205424"/>
    <w:rsid w:val="00211160"/>
    <w:rsid w:val="00216917"/>
    <w:rsid w:val="00223458"/>
    <w:rsid w:val="00225291"/>
    <w:rsid w:val="002271E9"/>
    <w:rsid w:val="002275F8"/>
    <w:rsid w:val="00230D5E"/>
    <w:rsid w:val="00234760"/>
    <w:rsid w:val="002375AF"/>
    <w:rsid w:val="002404C7"/>
    <w:rsid w:val="00243C15"/>
    <w:rsid w:val="00251986"/>
    <w:rsid w:val="00253543"/>
    <w:rsid w:val="00261D7C"/>
    <w:rsid w:val="00262ECD"/>
    <w:rsid w:val="002674E8"/>
    <w:rsid w:val="00280EDD"/>
    <w:rsid w:val="0028335F"/>
    <w:rsid w:val="00284CC6"/>
    <w:rsid w:val="00284E4B"/>
    <w:rsid w:val="00285D85"/>
    <w:rsid w:val="00296193"/>
    <w:rsid w:val="002A1E2E"/>
    <w:rsid w:val="002A24D8"/>
    <w:rsid w:val="002B08FF"/>
    <w:rsid w:val="002B39BB"/>
    <w:rsid w:val="002C70BA"/>
    <w:rsid w:val="002D2D82"/>
    <w:rsid w:val="002D5406"/>
    <w:rsid w:val="002E51F7"/>
    <w:rsid w:val="0030271C"/>
    <w:rsid w:val="00316BF4"/>
    <w:rsid w:val="00325CA3"/>
    <w:rsid w:val="00342F5B"/>
    <w:rsid w:val="0034450C"/>
    <w:rsid w:val="003451BB"/>
    <w:rsid w:val="00362009"/>
    <w:rsid w:val="00367385"/>
    <w:rsid w:val="003757F4"/>
    <w:rsid w:val="0037783C"/>
    <w:rsid w:val="00377A1A"/>
    <w:rsid w:val="0038324F"/>
    <w:rsid w:val="003937B6"/>
    <w:rsid w:val="00393C62"/>
    <w:rsid w:val="00394046"/>
    <w:rsid w:val="00396495"/>
    <w:rsid w:val="003974B6"/>
    <w:rsid w:val="003B376F"/>
    <w:rsid w:val="003B4D1C"/>
    <w:rsid w:val="003C34D3"/>
    <w:rsid w:val="003D60A1"/>
    <w:rsid w:val="003E1D25"/>
    <w:rsid w:val="003E3E6D"/>
    <w:rsid w:val="003F27C7"/>
    <w:rsid w:val="003F3E55"/>
    <w:rsid w:val="003F7B1A"/>
    <w:rsid w:val="00443203"/>
    <w:rsid w:val="00445969"/>
    <w:rsid w:val="00450BE4"/>
    <w:rsid w:val="00465523"/>
    <w:rsid w:val="00485C68"/>
    <w:rsid w:val="00490924"/>
    <w:rsid w:val="00496BF9"/>
    <w:rsid w:val="004A16AA"/>
    <w:rsid w:val="004A652A"/>
    <w:rsid w:val="004B012F"/>
    <w:rsid w:val="004B2387"/>
    <w:rsid w:val="004B2460"/>
    <w:rsid w:val="004B374D"/>
    <w:rsid w:val="004B3B04"/>
    <w:rsid w:val="004C3C37"/>
    <w:rsid w:val="004D4322"/>
    <w:rsid w:val="004D54BF"/>
    <w:rsid w:val="004D65D3"/>
    <w:rsid w:val="004E15C2"/>
    <w:rsid w:val="004E1819"/>
    <w:rsid w:val="004E46DC"/>
    <w:rsid w:val="004E4701"/>
    <w:rsid w:val="004E5E09"/>
    <w:rsid w:val="004F189D"/>
    <w:rsid w:val="004F1D66"/>
    <w:rsid w:val="00500B97"/>
    <w:rsid w:val="00505606"/>
    <w:rsid w:val="00510E70"/>
    <w:rsid w:val="00511196"/>
    <w:rsid w:val="00517120"/>
    <w:rsid w:val="00517E1D"/>
    <w:rsid w:val="00520A70"/>
    <w:rsid w:val="00521515"/>
    <w:rsid w:val="00523DDA"/>
    <w:rsid w:val="00523E01"/>
    <w:rsid w:val="00524B72"/>
    <w:rsid w:val="00531246"/>
    <w:rsid w:val="0053192E"/>
    <w:rsid w:val="00533682"/>
    <w:rsid w:val="00533CEB"/>
    <w:rsid w:val="00537CEA"/>
    <w:rsid w:val="00543359"/>
    <w:rsid w:val="00547098"/>
    <w:rsid w:val="00552B9D"/>
    <w:rsid w:val="00554A82"/>
    <w:rsid w:val="0056381F"/>
    <w:rsid w:val="00563CCD"/>
    <w:rsid w:val="00572186"/>
    <w:rsid w:val="00575902"/>
    <w:rsid w:val="00575E96"/>
    <w:rsid w:val="005B3469"/>
    <w:rsid w:val="005B4FA7"/>
    <w:rsid w:val="005C2860"/>
    <w:rsid w:val="005C6322"/>
    <w:rsid w:val="005D10C0"/>
    <w:rsid w:val="005F5205"/>
    <w:rsid w:val="005F73AF"/>
    <w:rsid w:val="0060445B"/>
    <w:rsid w:val="006052C9"/>
    <w:rsid w:val="00611F53"/>
    <w:rsid w:val="00612EEF"/>
    <w:rsid w:val="006170A3"/>
    <w:rsid w:val="00622113"/>
    <w:rsid w:val="00624DB0"/>
    <w:rsid w:val="00625FBA"/>
    <w:rsid w:val="00631C56"/>
    <w:rsid w:val="00633259"/>
    <w:rsid w:val="00636A45"/>
    <w:rsid w:val="00641E38"/>
    <w:rsid w:val="006453F2"/>
    <w:rsid w:val="00657F7E"/>
    <w:rsid w:val="006626C6"/>
    <w:rsid w:val="00667851"/>
    <w:rsid w:val="0067075C"/>
    <w:rsid w:val="00673B42"/>
    <w:rsid w:val="0067729E"/>
    <w:rsid w:val="0068693F"/>
    <w:rsid w:val="00690980"/>
    <w:rsid w:val="00695113"/>
    <w:rsid w:val="00697679"/>
    <w:rsid w:val="00697BBB"/>
    <w:rsid w:val="006C2FFD"/>
    <w:rsid w:val="006C5913"/>
    <w:rsid w:val="006D196A"/>
    <w:rsid w:val="006E1EAA"/>
    <w:rsid w:val="006E72CE"/>
    <w:rsid w:val="006F53F2"/>
    <w:rsid w:val="006F6722"/>
    <w:rsid w:val="006F71BA"/>
    <w:rsid w:val="007026D5"/>
    <w:rsid w:val="00710B2E"/>
    <w:rsid w:val="00714C03"/>
    <w:rsid w:val="007241D7"/>
    <w:rsid w:val="00731C9A"/>
    <w:rsid w:val="00732591"/>
    <w:rsid w:val="0073294A"/>
    <w:rsid w:val="0073295A"/>
    <w:rsid w:val="00734982"/>
    <w:rsid w:val="00737684"/>
    <w:rsid w:val="007477BC"/>
    <w:rsid w:val="00747C7A"/>
    <w:rsid w:val="00751B1C"/>
    <w:rsid w:val="007532F6"/>
    <w:rsid w:val="00760775"/>
    <w:rsid w:val="00773E58"/>
    <w:rsid w:val="00776638"/>
    <w:rsid w:val="0078335A"/>
    <w:rsid w:val="00794980"/>
    <w:rsid w:val="00795C42"/>
    <w:rsid w:val="007A376A"/>
    <w:rsid w:val="007A70D9"/>
    <w:rsid w:val="007B0E31"/>
    <w:rsid w:val="007C3291"/>
    <w:rsid w:val="007C3B1B"/>
    <w:rsid w:val="007C5599"/>
    <w:rsid w:val="007C7CDD"/>
    <w:rsid w:val="007D20CA"/>
    <w:rsid w:val="007D6775"/>
    <w:rsid w:val="007E62F1"/>
    <w:rsid w:val="007F188A"/>
    <w:rsid w:val="007F24CB"/>
    <w:rsid w:val="007F2654"/>
    <w:rsid w:val="007F2D64"/>
    <w:rsid w:val="007F5A69"/>
    <w:rsid w:val="007F6C48"/>
    <w:rsid w:val="007F77C0"/>
    <w:rsid w:val="00801052"/>
    <w:rsid w:val="00803E7C"/>
    <w:rsid w:val="008054A7"/>
    <w:rsid w:val="00806B1F"/>
    <w:rsid w:val="00810F54"/>
    <w:rsid w:val="00814E34"/>
    <w:rsid w:val="0082533E"/>
    <w:rsid w:val="00836091"/>
    <w:rsid w:val="00836D8E"/>
    <w:rsid w:val="00840EA7"/>
    <w:rsid w:val="00841471"/>
    <w:rsid w:val="0084344B"/>
    <w:rsid w:val="00845FF7"/>
    <w:rsid w:val="008521FA"/>
    <w:rsid w:val="00855162"/>
    <w:rsid w:val="0086330F"/>
    <w:rsid w:val="008648EB"/>
    <w:rsid w:val="0087544B"/>
    <w:rsid w:val="0088135B"/>
    <w:rsid w:val="00891037"/>
    <w:rsid w:val="00891430"/>
    <w:rsid w:val="0089150E"/>
    <w:rsid w:val="00894A55"/>
    <w:rsid w:val="008953DE"/>
    <w:rsid w:val="008A2898"/>
    <w:rsid w:val="008B4989"/>
    <w:rsid w:val="008C4944"/>
    <w:rsid w:val="008C6E2E"/>
    <w:rsid w:val="008C7B63"/>
    <w:rsid w:val="008D2342"/>
    <w:rsid w:val="008D2564"/>
    <w:rsid w:val="008D74F7"/>
    <w:rsid w:val="008E637F"/>
    <w:rsid w:val="008F05D2"/>
    <w:rsid w:val="008F2EEF"/>
    <w:rsid w:val="008F5CE2"/>
    <w:rsid w:val="008F6B7A"/>
    <w:rsid w:val="008F6B7B"/>
    <w:rsid w:val="0090199D"/>
    <w:rsid w:val="00901CE3"/>
    <w:rsid w:val="00904D0F"/>
    <w:rsid w:val="00905D4E"/>
    <w:rsid w:val="00916FFD"/>
    <w:rsid w:val="00922A8A"/>
    <w:rsid w:val="00923D0D"/>
    <w:rsid w:val="0092743B"/>
    <w:rsid w:val="00932F13"/>
    <w:rsid w:val="00933662"/>
    <w:rsid w:val="0094024A"/>
    <w:rsid w:val="00942DCB"/>
    <w:rsid w:val="009432E3"/>
    <w:rsid w:val="00960456"/>
    <w:rsid w:val="00961492"/>
    <w:rsid w:val="0096255D"/>
    <w:rsid w:val="009639E0"/>
    <w:rsid w:val="00963F99"/>
    <w:rsid w:val="00965A95"/>
    <w:rsid w:val="00976F72"/>
    <w:rsid w:val="00983207"/>
    <w:rsid w:val="009856C4"/>
    <w:rsid w:val="00991592"/>
    <w:rsid w:val="00993DA8"/>
    <w:rsid w:val="00996823"/>
    <w:rsid w:val="00996891"/>
    <w:rsid w:val="00996FC8"/>
    <w:rsid w:val="009A0FB8"/>
    <w:rsid w:val="009B033D"/>
    <w:rsid w:val="009B3CF3"/>
    <w:rsid w:val="009C1577"/>
    <w:rsid w:val="009C298E"/>
    <w:rsid w:val="009C45FD"/>
    <w:rsid w:val="009C5527"/>
    <w:rsid w:val="009C7C3F"/>
    <w:rsid w:val="009E2E56"/>
    <w:rsid w:val="009E559E"/>
    <w:rsid w:val="009E74DE"/>
    <w:rsid w:val="00A2421A"/>
    <w:rsid w:val="00A24A80"/>
    <w:rsid w:val="00A24DED"/>
    <w:rsid w:val="00A2544B"/>
    <w:rsid w:val="00A36160"/>
    <w:rsid w:val="00A52BEF"/>
    <w:rsid w:val="00A5785A"/>
    <w:rsid w:val="00A678FA"/>
    <w:rsid w:val="00A72C5E"/>
    <w:rsid w:val="00A76493"/>
    <w:rsid w:val="00A8737E"/>
    <w:rsid w:val="00A91BD7"/>
    <w:rsid w:val="00A92322"/>
    <w:rsid w:val="00A927BE"/>
    <w:rsid w:val="00A95E84"/>
    <w:rsid w:val="00AA30CA"/>
    <w:rsid w:val="00AC2325"/>
    <w:rsid w:val="00AC4069"/>
    <w:rsid w:val="00AC6C6F"/>
    <w:rsid w:val="00AD04E4"/>
    <w:rsid w:val="00AD0AA0"/>
    <w:rsid w:val="00AD499B"/>
    <w:rsid w:val="00AD4C89"/>
    <w:rsid w:val="00AE543B"/>
    <w:rsid w:val="00B00209"/>
    <w:rsid w:val="00B02D95"/>
    <w:rsid w:val="00B032CC"/>
    <w:rsid w:val="00B17D9D"/>
    <w:rsid w:val="00B24081"/>
    <w:rsid w:val="00B254B9"/>
    <w:rsid w:val="00B30897"/>
    <w:rsid w:val="00B3107D"/>
    <w:rsid w:val="00B36F53"/>
    <w:rsid w:val="00B45F30"/>
    <w:rsid w:val="00B50394"/>
    <w:rsid w:val="00B525E9"/>
    <w:rsid w:val="00B64171"/>
    <w:rsid w:val="00B70A8E"/>
    <w:rsid w:val="00B71F2D"/>
    <w:rsid w:val="00B767C3"/>
    <w:rsid w:val="00B805B3"/>
    <w:rsid w:val="00B829D0"/>
    <w:rsid w:val="00B83CC7"/>
    <w:rsid w:val="00B8480D"/>
    <w:rsid w:val="00B939D6"/>
    <w:rsid w:val="00BA3969"/>
    <w:rsid w:val="00BA5309"/>
    <w:rsid w:val="00BB7ACA"/>
    <w:rsid w:val="00BD51F0"/>
    <w:rsid w:val="00BE515A"/>
    <w:rsid w:val="00BF1F2A"/>
    <w:rsid w:val="00BF2413"/>
    <w:rsid w:val="00BF466C"/>
    <w:rsid w:val="00BF7E55"/>
    <w:rsid w:val="00C032FB"/>
    <w:rsid w:val="00C1057C"/>
    <w:rsid w:val="00C20209"/>
    <w:rsid w:val="00C25F3D"/>
    <w:rsid w:val="00C2680F"/>
    <w:rsid w:val="00C30004"/>
    <w:rsid w:val="00C32A38"/>
    <w:rsid w:val="00C33F56"/>
    <w:rsid w:val="00C43230"/>
    <w:rsid w:val="00C46E18"/>
    <w:rsid w:val="00C57957"/>
    <w:rsid w:val="00C61B60"/>
    <w:rsid w:val="00C6537F"/>
    <w:rsid w:val="00C77C14"/>
    <w:rsid w:val="00C800ED"/>
    <w:rsid w:val="00C87DEF"/>
    <w:rsid w:val="00C924CA"/>
    <w:rsid w:val="00C930F2"/>
    <w:rsid w:val="00C939B8"/>
    <w:rsid w:val="00C9493F"/>
    <w:rsid w:val="00C95237"/>
    <w:rsid w:val="00C97C1C"/>
    <w:rsid w:val="00CA0016"/>
    <w:rsid w:val="00CA38FB"/>
    <w:rsid w:val="00CA6480"/>
    <w:rsid w:val="00CB5D82"/>
    <w:rsid w:val="00CD5E41"/>
    <w:rsid w:val="00CD660B"/>
    <w:rsid w:val="00CE088D"/>
    <w:rsid w:val="00D05CBF"/>
    <w:rsid w:val="00D12B95"/>
    <w:rsid w:val="00D14147"/>
    <w:rsid w:val="00D23C42"/>
    <w:rsid w:val="00D26052"/>
    <w:rsid w:val="00D330CE"/>
    <w:rsid w:val="00D3393D"/>
    <w:rsid w:val="00D3536F"/>
    <w:rsid w:val="00D375AE"/>
    <w:rsid w:val="00D416F0"/>
    <w:rsid w:val="00D46709"/>
    <w:rsid w:val="00D55F92"/>
    <w:rsid w:val="00D57E88"/>
    <w:rsid w:val="00D60FE0"/>
    <w:rsid w:val="00D65200"/>
    <w:rsid w:val="00D66B2E"/>
    <w:rsid w:val="00D67BC6"/>
    <w:rsid w:val="00D74B01"/>
    <w:rsid w:val="00D8328E"/>
    <w:rsid w:val="00D855B4"/>
    <w:rsid w:val="00DA06C5"/>
    <w:rsid w:val="00DA0EEC"/>
    <w:rsid w:val="00DB326E"/>
    <w:rsid w:val="00DC7154"/>
    <w:rsid w:val="00DC7F06"/>
    <w:rsid w:val="00DD0194"/>
    <w:rsid w:val="00DD0C97"/>
    <w:rsid w:val="00DD5D88"/>
    <w:rsid w:val="00DD7C73"/>
    <w:rsid w:val="00DF0AA0"/>
    <w:rsid w:val="00DF662D"/>
    <w:rsid w:val="00E00532"/>
    <w:rsid w:val="00E01CC0"/>
    <w:rsid w:val="00E05558"/>
    <w:rsid w:val="00E05E02"/>
    <w:rsid w:val="00E2066C"/>
    <w:rsid w:val="00E21119"/>
    <w:rsid w:val="00E26EED"/>
    <w:rsid w:val="00E33457"/>
    <w:rsid w:val="00E343F2"/>
    <w:rsid w:val="00E36E09"/>
    <w:rsid w:val="00E3773E"/>
    <w:rsid w:val="00E45A95"/>
    <w:rsid w:val="00E56CB4"/>
    <w:rsid w:val="00E57313"/>
    <w:rsid w:val="00E57464"/>
    <w:rsid w:val="00E66277"/>
    <w:rsid w:val="00E7041F"/>
    <w:rsid w:val="00E7084A"/>
    <w:rsid w:val="00E8076E"/>
    <w:rsid w:val="00E8219F"/>
    <w:rsid w:val="00E83D8E"/>
    <w:rsid w:val="00E84CD3"/>
    <w:rsid w:val="00E87948"/>
    <w:rsid w:val="00E96F4C"/>
    <w:rsid w:val="00E9754F"/>
    <w:rsid w:val="00E97F57"/>
    <w:rsid w:val="00EA0AFE"/>
    <w:rsid w:val="00EA2906"/>
    <w:rsid w:val="00EA2F1D"/>
    <w:rsid w:val="00EB2A2B"/>
    <w:rsid w:val="00EB48F2"/>
    <w:rsid w:val="00EB54B0"/>
    <w:rsid w:val="00ED23AB"/>
    <w:rsid w:val="00ED3C83"/>
    <w:rsid w:val="00EE2EEC"/>
    <w:rsid w:val="00EE5F8B"/>
    <w:rsid w:val="00EE7FDB"/>
    <w:rsid w:val="00EF1D49"/>
    <w:rsid w:val="00F03A85"/>
    <w:rsid w:val="00F03B15"/>
    <w:rsid w:val="00F05F98"/>
    <w:rsid w:val="00F06ECE"/>
    <w:rsid w:val="00F13507"/>
    <w:rsid w:val="00F16748"/>
    <w:rsid w:val="00F16BF2"/>
    <w:rsid w:val="00F20AD4"/>
    <w:rsid w:val="00F23886"/>
    <w:rsid w:val="00F26171"/>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A1DD3"/>
    <w:rsid w:val="00FA6C2F"/>
    <w:rsid w:val="00FB0C38"/>
    <w:rsid w:val="00FB136F"/>
    <w:rsid w:val="00FB1A63"/>
    <w:rsid w:val="00FB49F8"/>
    <w:rsid w:val="00FB53D7"/>
    <w:rsid w:val="00FC20AC"/>
    <w:rsid w:val="00FC298F"/>
    <w:rsid w:val="00FC3218"/>
    <w:rsid w:val="00FD33BD"/>
    <w:rsid w:val="00FD628A"/>
    <w:rsid w:val="00FD6F1A"/>
    <w:rsid w:val="00FE1913"/>
    <w:rsid w:val="00FE43DF"/>
    <w:rsid w:val="00FE73C8"/>
    <w:rsid w:val="00FF7989"/>
    <w:rsid w:val="01BC5A23"/>
    <w:rsid w:val="05487E4B"/>
    <w:rsid w:val="088C2CFA"/>
    <w:rsid w:val="0A3B412B"/>
    <w:rsid w:val="0C651757"/>
    <w:rsid w:val="0E6024DC"/>
    <w:rsid w:val="0F1613C4"/>
    <w:rsid w:val="1009308B"/>
    <w:rsid w:val="1078285E"/>
    <w:rsid w:val="147F4D1A"/>
    <w:rsid w:val="168A3D2C"/>
    <w:rsid w:val="18E61AB7"/>
    <w:rsid w:val="1908229C"/>
    <w:rsid w:val="1A7B546E"/>
    <w:rsid w:val="215A19BE"/>
    <w:rsid w:val="23EC2F12"/>
    <w:rsid w:val="2AED2CDD"/>
    <w:rsid w:val="2BC11C46"/>
    <w:rsid w:val="2D161B30"/>
    <w:rsid w:val="30282920"/>
    <w:rsid w:val="30D41037"/>
    <w:rsid w:val="312E356C"/>
    <w:rsid w:val="31497D8B"/>
    <w:rsid w:val="319E5533"/>
    <w:rsid w:val="33060EBA"/>
    <w:rsid w:val="390F59BE"/>
    <w:rsid w:val="3CEA44D4"/>
    <w:rsid w:val="3E9876E2"/>
    <w:rsid w:val="3E987883"/>
    <w:rsid w:val="3EE424B4"/>
    <w:rsid w:val="40574364"/>
    <w:rsid w:val="420B6FB7"/>
    <w:rsid w:val="42EC32E2"/>
    <w:rsid w:val="43443D9B"/>
    <w:rsid w:val="437171AF"/>
    <w:rsid w:val="4497534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0450027"/>
    <w:rsid w:val="61F92827"/>
    <w:rsid w:val="63A8209E"/>
    <w:rsid w:val="646140D3"/>
    <w:rsid w:val="64776A5C"/>
    <w:rsid w:val="64E20A6D"/>
    <w:rsid w:val="651B74EF"/>
    <w:rsid w:val="67156804"/>
    <w:rsid w:val="69E82E1F"/>
    <w:rsid w:val="6C855E71"/>
    <w:rsid w:val="6D601BDC"/>
    <w:rsid w:val="6D702077"/>
    <w:rsid w:val="6F4248D3"/>
    <w:rsid w:val="70285A41"/>
    <w:rsid w:val="72007BC7"/>
    <w:rsid w:val="72430013"/>
    <w:rsid w:val="754A1135"/>
    <w:rsid w:val="76961D80"/>
    <w:rsid w:val="787539A8"/>
    <w:rsid w:val="7E0056FB"/>
    <w:rsid w:val="7EAF3F8C"/>
    <w:rsid w:val="7F416A44"/>
    <w:rsid w:val="7F461BC0"/>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nhideWhenUsed="0" w:uiPriority="0" w:semiHidden="0" w:name="List Bullet 4"/>
    <w:lsdException w:uiPriority="99" w:name="List Bullet 5"/>
    <w:lsdException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qFormat/>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28"/>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1"/>
    <w:basedOn w:val="77"/>
    <w:link w:val="28"/>
    <w:semiHidden/>
    <w:uiPriority w:val="99"/>
    <w:rPr>
      <w:rFonts w:ascii="Times New Roman" w:hAnsi="Times New Roman"/>
      <w:kern w:val="2"/>
      <w:sz w:val="16"/>
      <w:szCs w:val="16"/>
    </w:rPr>
  </w:style>
  <w:style w:type="character" w:customStyle="1" w:styleId="128">
    <w:name w:val="纯文本 Char1"/>
    <w:basedOn w:val="77"/>
    <w:link w:val="41"/>
    <w:semiHidden/>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0_0"/>
    <w:qFormat/>
    <w:uiPriority w:val="0"/>
    <w:rPr>
      <w:rFonts w:ascii="黑体" w:hAnsi="黑体" w:eastAsia="黑体" w:cs="Times New Roman"/>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cs="Times New Roman"/>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qFormat/>
    <w:uiPriority w:val="0"/>
    <w:pPr>
      <w:ind w:firstLine="0" w:firstLineChars="0"/>
      <w:jc w:val="center"/>
    </w:pPr>
    <w:rPr>
      <w:rFonts w:ascii="Calibri" w:hAnsi="Calibri"/>
    </w:rPr>
  </w:style>
  <w:style w:type="character" w:customStyle="1" w:styleId="202">
    <w:name w:val="H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6">
    <w:name w:val="样式1 样式 标题 5 + 段前: 0 行"/>
    <w:basedOn w:val="247"/>
    <w:next w:val="1"/>
    <w:uiPriority w:val="0"/>
    <w:pPr>
      <w:tabs>
        <w:tab w:val="left" w:pos="0"/>
        <w:tab w:val="left" w:pos="210"/>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735"/>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tabs>
        <w:tab w:val="left" w:pos="1260"/>
      </w:tabs>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61"/>
    <w:uiPriority w:val="0"/>
    <w:pPr>
      <w:jc w:val="both"/>
    </w:pPr>
    <w:rPr>
      <w:rFonts w:ascii="Times New Roman" w:hAnsi="Times New Roman" w:eastAsia="宋体" w:cs="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qFormat/>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qFormat/>
    <w:uiPriority w:val="0"/>
    <w:pPr>
      <w:numPr>
        <w:ilvl w:val="3"/>
        <w:numId w:val="2"/>
      </w:numPr>
    </w:pPr>
    <w:rPr>
      <w:b/>
    </w:rPr>
  </w:style>
  <w:style w:type="paragraph" w:customStyle="1" w:styleId="484">
    <w:name w:val="Char1"/>
    <w:basedOn w:val="1"/>
    <w:qFormat/>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qFormat/>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qFormat/>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Body text|2"/>
    <w:basedOn w:val="1"/>
    <w:qFormat/>
    <w:uiPriority w:val="0"/>
    <w:pPr>
      <w:spacing w:line="469" w:lineRule="exact"/>
    </w:pPr>
    <w:rPr>
      <w:rFonts w:ascii="宋体" w:hAnsi="宋体" w:cs="宋体"/>
      <w:sz w:val="22"/>
      <w:szCs w:val="22"/>
      <w:lang w:val="zh-TW" w:eastAsia="zh-TW" w:bidi="zh-TW"/>
    </w:rPr>
  </w:style>
  <w:style w:type="paragraph" w:customStyle="1" w:styleId="524">
    <w:name w:val="Body text|1"/>
    <w:basedOn w:val="1"/>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2372</Words>
  <Characters>13526</Characters>
  <Lines>112</Lines>
  <Paragraphs>31</Paragraphs>
  <TotalTime>0</TotalTime>
  <ScaleCrop>false</ScaleCrop>
  <LinksUpToDate>false</LinksUpToDate>
  <CharactersWithSpaces>15867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2021-09-18T00:27:00Z</cp:lastPrinted>
  <dcterms:modified xsi:type="dcterms:W3CDTF">2021-09-30T07:29:40Z</dcterms:modified>
  <dc:title>宜兴水务集团有限公司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57F10AEB528E49DCB5B3E97CB2D275E6</vt:lpwstr>
  </property>
</Properties>
</file>