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宜兴水务集团有限公司</w:t>
      </w:r>
    </w:p>
    <w:p>
      <w:pPr>
        <w:jc w:val="center"/>
        <w:rPr>
          <w:rFonts w:hint="eastAsia" w:ascii="宋体" w:hAnsi="宋体"/>
          <w:b/>
          <w:bCs/>
          <w:sz w:val="44"/>
          <w:szCs w:val="44"/>
        </w:rPr>
      </w:pPr>
      <w:r>
        <w:rPr>
          <w:rFonts w:hint="eastAsia" w:ascii="宋体" w:hAnsi="宋体"/>
          <w:b/>
          <w:bCs/>
          <w:sz w:val="44"/>
          <w:szCs w:val="44"/>
        </w:rPr>
        <w:t>电动、气动阀门维护保养及维修服务采购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项目编号</w:t>
      </w:r>
      <w:r>
        <w:rPr>
          <w:rFonts w:ascii="宋体" w:hAnsi="宋体"/>
          <w:sz w:val="32"/>
        </w:rPr>
        <w:t>:YXGYJT202107014</w:t>
      </w:r>
    </w:p>
    <w:p>
      <w:pPr>
        <w:jc w:val="center"/>
        <w:rPr>
          <w:rFonts w:ascii="宋体"/>
          <w:sz w:val="32"/>
        </w:rPr>
      </w:pPr>
      <w:r>
        <w:rPr>
          <w:rFonts w:hint="eastAsia" w:ascii="宋体" w:hAnsi="宋体"/>
          <w:sz w:val="32"/>
        </w:rPr>
        <w:t>采购人：宜兴水务集团有限公司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二一年八月六日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宜兴水务集团有限公司</w:t>
      </w:r>
      <w:r>
        <w:rPr>
          <w:rFonts w:hint="eastAsia" w:ascii="宋体" w:hAnsi="宋体"/>
          <w:color w:val="000000"/>
          <w:sz w:val="24"/>
          <w:szCs w:val="24"/>
        </w:rPr>
        <w:t>对</w:t>
      </w:r>
      <w:r>
        <w:rPr>
          <w:rFonts w:hint="eastAsia" w:ascii="宋体"/>
          <w:sz w:val="24"/>
        </w:rPr>
        <w:t>电动、气动阀门维护保养及维修服务</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111"/>
            </w:pPr>
            <w:bookmarkStart w:id="2" w:name="OLE_LINK192"/>
            <w:r>
              <w:rPr>
                <w:rFonts w:hint="eastAsia"/>
              </w:rPr>
              <w:t>采购人：宜兴水务集团有限公司</w:t>
            </w:r>
          </w:p>
          <w:p>
            <w:pPr>
              <w:pStyle w:val="111"/>
            </w:pPr>
            <w:r>
              <w:rPr>
                <w:rFonts w:hint="eastAsia"/>
              </w:rPr>
              <w:t>项目名称：电动、气动阀门维护保养及维修服务采购</w:t>
            </w:r>
          </w:p>
          <w:p>
            <w:pPr>
              <w:pStyle w:val="111"/>
            </w:pPr>
            <w:r>
              <w:rPr>
                <w:rFonts w:hint="eastAsia"/>
              </w:rPr>
              <w:t>项目编号</w:t>
            </w:r>
            <w:r>
              <w:t>:YXGYJT202107014</w:t>
            </w:r>
          </w:p>
          <w:p>
            <w:pPr>
              <w:pStyle w:val="111"/>
            </w:pPr>
            <w:r>
              <w:rPr>
                <w:rFonts w:hint="eastAsia"/>
              </w:rPr>
              <w:t>评标方法：最低价评标法</w:t>
            </w:r>
          </w:p>
          <w:p>
            <w:pPr>
              <w:pStyle w:val="111"/>
            </w:pPr>
            <w:r>
              <w:rPr>
                <w:rFonts w:hint="eastAsia"/>
              </w:rPr>
              <w:t>本项目最高限价为：</w:t>
            </w:r>
            <w:bookmarkEnd w:id="2"/>
            <w:r>
              <w:rPr>
                <w:rFonts w:hint="eastAsia"/>
              </w:rPr>
              <w:t>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111"/>
            </w:pPr>
            <w:r>
              <w:rPr>
                <w:rFonts w:hint="eastAsia"/>
              </w:rPr>
              <w:t>2.1投标人参加本次投标活动应具备下列资格条件：</w:t>
            </w:r>
          </w:p>
          <w:p>
            <w:pPr>
              <w:pStyle w:val="111"/>
            </w:pPr>
            <w:r>
              <w:rPr>
                <w:rFonts w:hint="eastAsia"/>
              </w:rPr>
              <w:t>①具有独立承担民事责任的能力；</w:t>
            </w:r>
          </w:p>
          <w:p>
            <w:pPr>
              <w:pStyle w:val="111"/>
            </w:pPr>
            <w:r>
              <w:rPr>
                <w:rFonts w:hint="eastAsia"/>
              </w:rPr>
              <w:t>②有依法缴纳税收和社会保障资金的良好记录；</w:t>
            </w:r>
          </w:p>
          <w:p>
            <w:pPr>
              <w:pStyle w:val="111"/>
            </w:pPr>
            <w:r>
              <w:rPr>
                <w:rFonts w:hint="eastAsia"/>
              </w:rPr>
              <w:t>③具有履行合同所必需的设备和专业技术能力；</w:t>
            </w:r>
          </w:p>
          <w:p>
            <w:pPr>
              <w:pStyle w:val="111"/>
            </w:pPr>
            <w:r>
              <w:rPr>
                <w:rFonts w:hint="eastAsia"/>
              </w:rPr>
              <w:t>④不接受联合体，不接受成交后分包；</w:t>
            </w:r>
          </w:p>
          <w:p>
            <w:pPr>
              <w:pStyle w:val="111"/>
              <w:rPr>
                <w:rFonts w:hint="eastAsia"/>
              </w:rPr>
            </w:pPr>
            <w:r>
              <w:rPr>
                <w:rFonts w:hint="eastAsia"/>
              </w:rPr>
              <w:t>⑤无不良信用记录；</w:t>
            </w:r>
          </w:p>
          <w:p>
            <w:pPr>
              <w:pStyle w:val="111"/>
            </w:pPr>
            <w:r>
              <w:rPr>
                <w:rFonts w:hint="eastAsia"/>
              </w:rPr>
              <w:t>⑥</w:t>
            </w:r>
            <w:r>
              <w:rPr>
                <w:rFonts w:hint="eastAsia" w:hAnsi="宋体"/>
                <w:bCs/>
                <w:color w:val="000000"/>
                <w:szCs w:val="24"/>
                <w:highlight w:val="yellow"/>
              </w:rPr>
              <w:t>同类业绩证明材料（证明材料必须为针对常州电站辅机、奥玛、Seibu、ROTORK电动执行器；FESTO 、ACTUATECH气动执行器；VAG阀门，其中一个或多个进行维修保养的业绩）。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111"/>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autoSpaceDE w:val="0"/>
              <w:autoSpaceDN w:val="0"/>
              <w:adjustRightInd w:val="0"/>
              <w:spacing w:line="320" w:lineRule="exact"/>
              <w:rPr>
                <w:rFonts w:ascii="宋体" w:hAnsi="宋体"/>
                <w:color w:val="000000"/>
                <w:sz w:val="24"/>
                <w:szCs w:val="24"/>
              </w:rPr>
            </w:pPr>
            <w:r>
              <w:rPr>
                <w:rFonts w:hint="eastAsia" w:hAnsi="宋体"/>
                <w:bCs/>
                <w:sz w:val="24"/>
                <w:szCs w:val="24"/>
                <w:lang w:val="zh-CN"/>
              </w:rPr>
              <w:t>集中考察或答疑：</w:t>
            </w:r>
            <w:r>
              <w:rPr>
                <w:rFonts w:hint="eastAsia" w:ascii="宋体" w:hAnsi="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962" w:type="dxa"/>
            <w:noWrap w:val="0"/>
            <w:vAlign w:val="center"/>
          </w:tcPr>
          <w:p>
            <w:pPr>
              <w:rPr>
                <w:rFonts w:ascii="宋体" w:hAnsi="宋体"/>
                <w:bCs/>
                <w:sz w:val="24"/>
                <w:szCs w:val="24"/>
              </w:rPr>
            </w:pPr>
            <w:r>
              <w:rPr>
                <w:rFonts w:hint="eastAsia" w:ascii="宋体" w:hAnsi="宋体"/>
                <w:bCs/>
                <w:sz w:val="24"/>
                <w:szCs w:val="24"/>
              </w:rPr>
              <w:t>投标文件（电子版）份数：</w:t>
            </w:r>
            <w:r>
              <w:rPr>
                <w:rFonts w:ascii="宋体" w:hAnsi="宋体"/>
                <w:bCs/>
                <w:sz w:val="24"/>
                <w:szCs w:val="24"/>
              </w:rPr>
              <w:t>1</w:t>
            </w:r>
            <w:r>
              <w:rPr>
                <w:rFonts w:hint="eastAsia" w:ascii="宋体" w:hAnsi="宋体"/>
                <w:bCs/>
                <w:sz w:val="24"/>
                <w:szCs w:val="24"/>
              </w:rPr>
              <w:t>份</w:t>
            </w:r>
          </w:p>
          <w:p>
            <w:pPr>
              <w:rPr>
                <w:rFonts w:ascii="宋体" w:hAnsi="宋体" w:cs="宋体"/>
                <w:b/>
                <w:sz w:val="24"/>
                <w:szCs w:val="24"/>
              </w:rPr>
            </w:pPr>
            <w:r>
              <w:rPr>
                <w:rFonts w:hint="eastAsia" w:ascii="宋体" w:hAnsi="宋体" w:cs="宋体"/>
                <w:b/>
                <w:sz w:val="24"/>
                <w:szCs w:val="24"/>
              </w:rPr>
              <w:t>注：</w:t>
            </w:r>
            <w:r>
              <w:rPr>
                <w:rFonts w:ascii="宋体" w:hAnsi="宋体" w:cs="宋体"/>
                <w:b/>
                <w:sz w:val="24"/>
                <w:szCs w:val="24"/>
              </w:rPr>
              <w:t>供应商须递交</w:t>
            </w:r>
            <w:r>
              <w:rPr>
                <w:rFonts w:hint="eastAsia" w:ascii="宋体" w:hAnsi="宋体" w:cs="宋体"/>
                <w:b/>
                <w:sz w:val="24"/>
                <w:szCs w:val="24"/>
              </w:rPr>
              <w:t>符合招标文件要求的</w:t>
            </w:r>
            <w:r>
              <w:rPr>
                <w:rFonts w:ascii="宋体" w:hAnsi="宋体" w:cs="宋体"/>
                <w:b/>
                <w:sz w:val="24"/>
                <w:szCs w:val="24"/>
              </w:rPr>
              <w:t>标书</w:t>
            </w:r>
            <w:r>
              <w:rPr>
                <w:rFonts w:hint="eastAsia" w:ascii="宋体" w:hAnsi="宋体" w:cs="宋体"/>
                <w:b/>
                <w:sz w:val="24"/>
                <w:szCs w:val="24"/>
              </w:rPr>
              <w:t>扫描件</w:t>
            </w:r>
            <w:r>
              <w:rPr>
                <w:rFonts w:ascii="宋体" w:hAnsi="宋体" w:cs="宋体"/>
                <w:b/>
                <w:sz w:val="24"/>
                <w:szCs w:val="24"/>
              </w:rPr>
              <w:t>，</w:t>
            </w:r>
            <w:r>
              <w:rPr>
                <w:rFonts w:hint="eastAsia" w:ascii="宋体" w:hAnsi="宋体" w:cs="宋体"/>
                <w:b/>
                <w:sz w:val="24"/>
                <w:szCs w:val="24"/>
              </w:rPr>
              <w:t>于开标前20分钟内发送到指定邮箱，由评委在开标时间截止后现场开启</w:t>
            </w:r>
            <w:r>
              <w:rPr>
                <w:rFonts w:ascii="宋体" w:hAnsi="宋体" w:cs="宋体"/>
                <w:b/>
                <w:sz w:val="24"/>
                <w:szCs w:val="24"/>
              </w:rPr>
              <w:t>。</w:t>
            </w:r>
            <w:r>
              <w:rPr>
                <w:rFonts w:hint="eastAsia" w:ascii="宋体" w:hAnsi="宋体" w:cs="宋体"/>
                <w:b/>
                <w:sz w:val="24"/>
                <w:szCs w:val="24"/>
              </w:rPr>
              <w:t>（邮件标题必须注明所投项目名称及投标单位名称，否则将视作为无效投标）</w:t>
            </w:r>
          </w:p>
          <w:p>
            <w:pPr>
              <w:rPr>
                <w:rFonts w:ascii="宋体" w:hAnsi="宋体"/>
                <w:bCs/>
                <w:sz w:val="24"/>
                <w:szCs w:val="24"/>
              </w:rPr>
            </w:pPr>
            <w:r>
              <w:rPr>
                <w:rFonts w:hint="eastAsia" w:ascii="宋体" w:hAnsi="宋体" w:cs="宋体"/>
                <w:b/>
                <w:sz w:val="24"/>
                <w:szCs w:val="24"/>
              </w:rPr>
              <w:t>邮箱为：</w:t>
            </w:r>
            <w:r>
              <w:rPr>
                <w:rFonts w:ascii="宋体" w:hAnsi="宋体" w:cs="宋体"/>
                <w:b/>
                <w:sz w:val="24"/>
                <w:szCs w:val="24"/>
              </w:rPr>
              <w:t>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962"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2021年8月20日10：00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pPr>
              <w:rPr>
                <w:rFonts w:ascii="宋体" w:hAnsi="宋体"/>
                <w:bCs/>
                <w:sz w:val="24"/>
                <w:szCs w:val="21"/>
              </w:rPr>
            </w:pPr>
            <w:r>
              <w:rPr>
                <w:rFonts w:hint="eastAsia" w:ascii="宋体" w:hAnsi="宋体"/>
                <w:bCs/>
                <w:sz w:val="24"/>
                <w:szCs w:val="21"/>
              </w:rPr>
              <w:t>联系人：朱先生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6" w:hRule="atLeast"/>
          <w:jc w:val="center"/>
        </w:trPr>
        <w:tc>
          <w:tcPr>
            <w:tcW w:w="959" w:type="dxa"/>
            <w:noWrap w:val="0"/>
            <w:vAlign w:val="center"/>
          </w:tcPr>
          <w:p>
            <w:pPr>
              <w:spacing w:line="480" w:lineRule="exact"/>
              <w:jc w:val="center"/>
              <w:rPr>
                <w:rFonts w:ascii="宋体" w:hAnsi="宋体"/>
                <w:bCs/>
                <w:sz w:val="24"/>
                <w:szCs w:val="24"/>
              </w:rPr>
            </w:pPr>
            <w:bookmarkStart w:id="4" w:name="OLE_LINK84" w:colFirst="1" w:colLast="2"/>
            <w:r>
              <w:rPr>
                <w:rFonts w:hint="eastAsia" w:ascii="宋体" w:hAnsi="宋体"/>
                <w:bCs/>
                <w:sz w:val="24"/>
                <w:szCs w:val="24"/>
              </w:rPr>
              <w:t>9</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Cs w:val="21"/>
                      <w:lang w:val="zh-CN"/>
                    </w:rPr>
                  </w:pPr>
                  <w:r>
                    <w:rPr>
                      <w:rFonts w:hint="eastAsia" w:ascii="宋体"/>
                      <w:sz w:val="24"/>
                    </w:rPr>
                    <w:t>宜兴水务集团有限公司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sz w:val="24"/>
                    </w:rPr>
                  </w:pPr>
                  <w:r>
                    <w:rPr>
                      <w:rFonts w:hint="eastAsia" w:ascii="宋体"/>
                      <w:sz w:val="24"/>
                    </w:rPr>
                    <w:t>中信银行宜兴支行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sz w:val="24"/>
                    </w:rPr>
                  </w:pPr>
                  <w:r>
                    <w:rPr>
                      <w:rFonts w:ascii="宋体"/>
                      <w:sz w:val="24"/>
                    </w:rPr>
                    <w:t>7352610182600000366</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4"/>
    </w:tbl>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ascii="黑体" w:hAnsi="黑体" w:eastAsia="黑体"/>
          <w:sz w:val="32"/>
          <w:szCs w:val="32"/>
        </w:rPr>
      </w:pP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5" w:name="OLE_LINK90"/>
      <w:r>
        <w:rPr>
          <w:rFonts w:hint="eastAsia" w:ascii="宋体" w:hAnsi="宋体"/>
          <w:bCs/>
          <w:sz w:val="24"/>
        </w:rPr>
        <w:t xml:space="preserve">    5.1 </w:t>
      </w:r>
      <w:bookmarkStart w:id="6" w:name="OLE_LINK109"/>
      <w:r>
        <w:rPr>
          <w:rFonts w:hint="eastAsia" w:ascii="宋体" w:hAnsi="宋体"/>
          <w:bCs/>
          <w:sz w:val="24"/>
        </w:rPr>
        <w:t>本文件由</w:t>
      </w:r>
      <w:bookmarkStart w:id="7" w:name="OLE_LINK13"/>
      <w:r>
        <w:rPr>
          <w:rFonts w:hint="eastAsia" w:ascii="宋体" w:hAnsi="宋体"/>
          <w:bCs/>
          <w:sz w:val="24"/>
          <w:szCs w:val="21"/>
        </w:rPr>
        <w:t>宜兴水务集团有限公司</w:t>
      </w:r>
      <w:r>
        <w:rPr>
          <w:rFonts w:hint="eastAsia" w:ascii="宋体" w:hAnsi="宋体"/>
          <w:bCs/>
          <w:sz w:val="24"/>
        </w:rPr>
        <w:t>负责解释</w:t>
      </w:r>
      <w:bookmarkEnd w:id="7"/>
      <w:r>
        <w:rPr>
          <w:rFonts w:hint="eastAsia" w:ascii="宋体" w:hAnsi="宋体"/>
          <w:bCs/>
          <w:sz w:val="24"/>
        </w:rPr>
        <w:t>。</w:t>
      </w:r>
      <w:bookmarkEnd w:id="6"/>
    </w:p>
    <w:bookmarkEnd w:id="5"/>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8" w:name="OLE_LINK160"/>
      <w:r>
        <w:rPr>
          <w:rFonts w:hint="eastAsia" w:ascii="宋体" w:hAnsi="宋体"/>
          <w:b/>
          <w:sz w:val="24"/>
          <w:lang w:val="zh-CN"/>
        </w:rPr>
        <w:t>澄清、修改</w:t>
      </w:r>
      <w:bookmarkEnd w:id="8"/>
    </w:p>
    <w:p>
      <w:pPr>
        <w:spacing w:line="360" w:lineRule="auto"/>
        <w:ind w:firstLine="480" w:firstLineChars="200"/>
        <w:rPr>
          <w:rFonts w:ascii="宋体"/>
          <w:sz w:val="24"/>
          <w:szCs w:val="21"/>
          <w:lang w:val="zh-CN"/>
        </w:rPr>
      </w:pPr>
      <w:bookmarkStart w:id="9" w:name="OLE_LINK91"/>
      <w:r>
        <w:rPr>
          <w:rFonts w:hint="eastAsia" w:ascii="宋体" w:hAnsi="宋体"/>
          <w:bCs/>
          <w:sz w:val="24"/>
        </w:rPr>
        <w:t xml:space="preserve">6.1 </w:t>
      </w:r>
      <w:bookmarkStart w:id="10" w:name="OLE_LINK14"/>
      <w:bookmarkStart w:id="11" w:name="OLE_LINK161"/>
      <w:r>
        <w:rPr>
          <w:rFonts w:hint="eastAsia" w:ascii="宋体" w:hAnsi="宋体" w:cs="宋体"/>
          <w:sz w:val="24"/>
        </w:rPr>
        <w:t>采购人或者</w:t>
      </w:r>
      <w:bookmarkEnd w:id="10"/>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1"/>
    </w:p>
    <w:bookmarkEnd w:id="9"/>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2" w:name="OLE_LINK16"/>
      <w:bookmarkStart w:id="13" w:name="OLE_LINK21"/>
      <w:bookmarkStart w:id="14" w:name="OLE_LINK62"/>
      <w:bookmarkStart w:id="15" w:name="OLE_LINK162"/>
      <w:r>
        <w:rPr>
          <w:rFonts w:hint="eastAsia" w:ascii="宋体" w:hAnsi="宋体"/>
          <w:b/>
          <w:sz w:val="24"/>
        </w:rPr>
        <w:t>7、投标文件的组成</w:t>
      </w:r>
      <w:bookmarkEnd w:id="12"/>
      <w:r>
        <w:rPr>
          <w:rFonts w:hint="eastAsia" w:ascii="宋体" w:hAnsi="宋体"/>
          <w:b/>
          <w:sz w:val="24"/>
        </w:rPr>
        <w:t>：</w:t>
      </w:r>
      <w:bookmarkStart w:id="16"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7"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7"/>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18"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w:t>
      </w:r>
    </w:p>
    <w:bookmarkEnd w:id="18"/>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19" w:name="OLE_LINK181"/>
      <w:r>
        <w:rPr>
          <w:rFonts w:hint="eastAsia" w:ascii="宋体" w:hAnsi="宋体"/>
          <w:sz w:val="24"/>
          <w:szCs w:val="24"/>
        </w:rPr>
        <w:t>近十二个月</w:t>
      </w:r>
      <w:bookmarkEnd w:id="19"/>
      <w:r>
        <w:rPr>
          <w:rFonts w:hint="eastAsia" w:ascii="宋体" w:hAnsi="宋体"/>
          <w:sz w:val="24"/>
          <w:szCs w:val="24"/>
        </w:rPr>
        <w:t>中任意一个月份税收的相关材料（提供相关主管部门证明或银行代扣证明）；</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bookmarkStart w:id="20" w:name="OLE_LINK115"/>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hAnsi="宋体"/>
          <w:bCs/>
          <w:color w:val="000000"/>
          <w:sz w:val="24"/>
          <w:szCs w:val="24"/>
          <w:highlight w:val="yellow"/>
        </w:rPr>
        <w:t>同类业绩证明材料扫描件（证明材料必须为针对常州电站辅机、奥玛、Seibu、</w:t>
      </w:r>
      <w:r>
        <w:rPr>
          <w:rFonts w:hint="eastAsia" w:ascii="宋体" w:hAnsi="宋体"/>
          <w:bCs/>
          <w:color w:val="000000"/>
          <w:kern w:val="0"/>
          <w:sz w:val="24"/>
          <w:szCs w:val="24"/>
          <w:highlight w:val="yellow"/>
        </w:rPr>
        <w:t>ROTORK</w:t>
      </w:r>
      <w:r>
        <w:rPr>
          <w:rFonts w:hint="eastAsia" w:hAnsi="宋体"/>
          <w:bCs/>
          <w:color w:val="000000"/>
          <w:sz w:val="24"/>
          <w:szCs w:val="24"/>
          <w:highlight w:val="yellow"/>
        </w:rPr>
        <w:t>电动执行器；FESTO 、ACTUATECH气动执行器；VAG阀门，其中一个或多个进行维修保养的业绩）。</w:t>
      </w:r>
    </w:p>
    <w:p>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0"/>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s>
        <w:spacing w:line="360" w:lineRule="auto"/>
        <w:rPr>
          <w:rFonts w:ascii="宋体" w:hAnsi="宋体"/>
          <w:bCs/>
          <w:sz w:val="24"/>
          <w:lang w:val="zh-CN"/>
        </w:rPr>
      </w:pPr>
      <w:bookmarkStart w:id="21"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6"/>
      <w:bookmarkEnd w:id="21"/>
    </w:p>
    <w:bookmarkEnd w:id="13"/>
    <w:bookmarkEnd w:id="14"/>
    <w:p>
      <w:pPr>
        <w:spacing w:line="360" w:lineRule="auto"/>
        <w:jc w:val="left"/>
        <w:rPr>
          <w:rFonts w:ascii="宋体" w:hAnsi="宋体"/>
          <w:bCs/>
          <w:sz w:val="24"/>
        </w:rPr>
      </w:pPr>
      <w:bookmarkStart w:id="22" w:name="OLE_LINK92"/>
      <w:r>
        <w:rPr>
          <w:rFonts w:hint="eastAsia" w:ascii="宋体" w:hAnsi="宋体"/>
          <w:b/>
          <w:sz w:val="24"/>
        </w:rPr>
        <w:t xml:space="preserve">    上述（1）-</w:t>
      </w:r>
      <w:r>
        <w:rPr>
          <w:rFonts w:hint="eastAsia" w:ascii="仿宋" w:hAnsi="仿宋" w:eastAsia="仿宋"/>
          <w:b/>
          <w:sz w:val="24"/>
        </w:rPr>
        <w:t>（4）</w:t>
      </w:r>
      <w:bookmarkStart w:id="23" w:name="OLE_LINK117"/>
      <w:r>
        <w:rPr>
          <w:rFonts w:hint="eastAsia" w:ascii="宋体" w:hAnsi="宋体"/>
          <w:b/>
          <w:sz w:val="24"/>
        </w:rPr>
        <w:t>项投标人必须按要求全部提供，否则投标无效。</w:t>
      </w:r>
      <w:bookmarkEnd w:id="23"/>
      <w:r>
        <w:rPr>
          <w:rFonts w:hint="eastAsia" w:ascii="宋体" w:hAnsi="宋体"/>
          <w:bCs/>
          <w:sz w:val="24"/>
        </w:rPr>
        <w:t>如上述证明文件遇年检、换证，则必须提供法定年检、换证单位出具的有效证明复印件，原件一并提交</w:t>
      </w:r>
      <w:bookmarkStart w:id="24" w:name="OLE_LINK118"/>
      <w:r>
        <w:rPr>
          <w:rFonts w:hint="eastAsia" w:ascii="宋体" w:hAnsi="宋体"/>
          <w:bCs/>
          <w:sz w:val="24"/>
        </w:rPr>
        <w:t>。</w:t>
      </w:r>
      <w:bookmarkEnd w:id="24"/>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5"/>
      <w:bookmarkEnd w:id="22"/>
    </w:p>
    <w:p>
      <w:pPr>
        <w:spacing w:line="360" w:lineRule="auto"/>
        <w:ind w:firstLine="482" w:firstLineChars="200"/>
        <w:rPr>
          <w:rFonts w:ascii="宋体" w:hAnsi="宋体"/>
          <w:b/>
          <w:sz w:val="24"/>
        </w:rPr>
      </w:pPr>
      <w:bookmarkStart w:id="25" w:name="OLE_LINK93"/>
      <w:bookmarkStart w:id="26"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7" w:name="OLE_LINK119"/>
      <w:r>
        <w:rPr>
          <w:rFonts w:hint="eastAsia" w:ascii="宋体" w:hAnsi="宋体"/>
          <w:bCs/>
          <w:sz w:val="24"/>
          <w:lang w:val="zh-CN"/>
        </w:rPr>
        <w:t>否则投标文件无效</w:t>
      </w:r>
      <w:r>
        <w:rPr>
          <w:rFonts w:hint="eastAsia" w:ascii="宋体" w:hAnsi="宋体"/>
          <w:bCs/>
          <w:sz w:val="24"/>
        </w:rPr>
        <w:t>。</w:t>
      </w:r>
      <w:bookmarkEnd w:id="27"/>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28" w:name="OLE_LINK120"/>
      <w:bookmarkStart w:id="29" w:name="OLE_LINK121"/>
      <w:r>
        <w:rPr>
          <w:rFonts w:hint="eastAsia" w:ascii="宋体" w:hAnsi="宋体"/>
          <w:sz w:val="24"/>
          <w:szCs w:val="28"/>
        </w:rPr>
        <w:t>不应有涂改、增删和潦草之处，如有必须修改时，修改处须有投标人公章和法定代表人或被授权代表人签字</w:t>
      </w:r>
      <w:bookmarkEnd w:id="28"/>
      <w:r>
        <w:rPr>
          <w:rFonts w:hint="eastAsia" w:ascii="宋体" w:hAnsi="宋体"/>
          <w:sz w:val="24"/>
          <w:szCs w:val="28"/>
        </w:rPr>
        <w:t>。</w:t>
      </w:r>
      <w:bookmarkEnd w:id="29"/>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0" w:name="OLE_LINK122"/>
      <w:r>
        <w:rPr>
          <w:rFonts w:hint="eastAsia" w:ascii="宋体" w:hAnsi="宋体"/>
          <w:bCs/>
          <w:sz w:val="24"/>
          <w:lang w:val="zh-CN"/>
        </w:rPr>
        <w:t>规格幅面打印、装订成册，</w:t>
      </w:r>
      <w:bookmarkEnd w:id="30"/>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1" w:name="OLE_LINK123"/>
      <w:r>
        <w:rPr>
          <w:rFonts w:hint="eastAsia" w:ascii="宋体" w:hAnsi="宋体"/>
          <w:bCs/>
          <w:sz w:val="24"/>
        </w:rPr>
        <w:t>投标人应该将投标文件密封，同时注明投标人名称。</w:t>
      </w:r>
      <w:bookmarkEnd w:id="25"/>
      <w:bookmarkEnd w:id="31"/>
    </w:p>
    <w:p>
      <w:pPr>
        <w:spacing w:line="360" w:lineRule="auto"/>
        <w:ind w:firstLine="482" w:firstLineChars="200"/>
        <w:rPr>
          <w:rFonts w:ascii="宋体" w:hAnsi="宋体"/>
          <w:b/>
          <w:sz w:val="24"/>
        </w:rPr>
      </w:pPr>
      <w:bookmarkStart w:id="32"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3" w:name="OLE_LINK45"/>
      <w:r>
        <w:rPr>
          <w:rFonts w:hint="eastAsia" w:ascii="宋体" w:hAnsi="宋体"/>
          <w:sz w:val="24"/>
          <w:szCs w:val="28"/>
        </w:rPr>
        <w:t>采购人、</w:t>
      </w:r>
      <w:bookmarkEnd w:id="33"/>
      <w:bookmarkStart w:id="34" w:name="OLE_LINK53"/>
      <w:r>
        <w:rPr>
          <w:rFonts w:hint="eastAsia" w:ascii="宋体" w:hAnsi="宋体"/>
          <w:sz w:val="24"/>
          <w:szCs w:val="28"/>
        </w:rPr>
        <w:t>采购代理机构</w:t>
      </w:r>
      <w:bookmarkEnd w:id="34"/>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35"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2"/>
    </w:p>
    <w:bookmarkEnd w:id="35"/>
    <w:p>
      <w:pPr>
        <w:spacing w:line="360" w:lineRule="auto"/>
        <w:ind w:firstLine="482" w:firstLineChars="200"/>
        <w:rPr>
          <w:rFonts w:ascii="宋体" w:hAnsi="宋体"/>
          <w:b/>
          <w:sz w:val="24"/>
        </w:rPr>
      </w:pPr>
      <w:bookmarkStart w:id="36"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37"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26"/>
      <w:bookmarkEnd w:id="37"/>
      <w:bookmarkStart w:id="38"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39"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0"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0"/>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6"/>
      <w:bookmarkEnd w:id="38"/>
      <w:bookmarkEnd w:id="39"/>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1" w:name="OLE_LINK96"/>
      <w:r>
        <w:rPr>
          <w:rFonts w:hint="eastAsia" w:ascii="宋体" w:hAnsi="宋体"/>
          <w:bCs/>
          <w:sz w:val="24"/>
        </w:rPr>
        <w:t>16.1、本项目不接受联合体、中标后分包。</w:t>
      </w:r>
    </w:p>
    <w:bookmarkEnd w:id="41"/>
    <w:p>
      <w:pPr>
        <w:numPr>
          <w:ilvl w:val="0"/>
          <w:numId w:val="18"/>
        </w:numPr>
        <w:spacing w:line="360" w:lineRule="auto"/>
        <w:ind w:firstLine="482" w:firstLineChars="200"/>
        <w:rPr>
          <w:rFonts w:ascii="宋体" w:hAnsi="宋体"/>
          <w:b/>
          <w:sz w:val="24"/>
          <w:lang w:val="zh-CN"/>
        </w:rPr>
      </w:pPr>
      <w:bookmarkStart w:id="42" w:name="OLE_LINK167"/>
      <w:bookmarkStart w:id="43" w:name="OLE_LINK97"/>
      <w:r>
        <w:rPr>
          <w:rFonts w:hint="eastAsia" w:ascii="宋体" w:hAnsi="宋体"/>
          <w:b/>
          <w:sz w:val="24"/>
          <w:lang w:val="zh-CN"/>
        </w:rPr>
        <w:t>开标、评标、定标、废标</w:t>
      </w:r>
      <w:bookmarkEnd w:id="42"/>
    </w:p>
    <w:p>
      <w:pPr>
        <w:spacing w:line="360" w:lineRule="auto"/>
        <w:ind w:firstLine="482" w:firstLineChars="200"/>
        <w:rPr>
          <w:rFonts w:ascii="宋体" w:hAnsi="宋体"/>
          <w:b/>
          <w:sz w:val="24"/>
        </w:rPr>
      </w:pPr>
      <w:bookmarkStart w:id="44"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5"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5"/>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6" w:name="OLE_LINK131"/>
      <w:bookmarkStart w:id="47"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6"/>
      <w:bookmarkStart w:id="48"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48"/>
      <w:r>
        <w:rPr>
          <w:rFonts w:hint="eastAsia" w:ascii="宋体" w:hAnsi="宋体"/>
          <w:bCs/>
          <w:sz w:val="24"/>
          <w:lang w:val="zh-CN"/>
        </w:rPr>
        <w:t>；若未进入评审环节，不需要做出认定</w:t>
      </w:r>
      <w:bookmarkEnd w:id="47"/>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49"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49"/>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0" w:name="OLE_LINK132"/>
      <w:r>
        <w:rPr>
          <w:rFonts w:hint="eastAsia" w:ascii="宋体" w:hAnsi="宋体"/>
          <w:bCs/>
          <w:sz w:val="24"/>
        </w:rPr>
        <w:t>4</w:t>
      </w:r>
      <w:r>
        <w:rPr>
          <w:rFonts w:hint="eastAsia" w:ascii="宋体" w:hAnsi="宋体"/>
          <w:b/>
          <w:sz w:val="24"/>
        </w:rPr>
        <w:t xml:space="preserve"> 澄清有关问题。</w:t>
      </w:r>
      <w:bookmarkEnd w:id="50"/>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1" w:name="OLE_LINK26"/>
      <w:r>
        <w:rPr>
          <w:rFonts w:hint="eastAsia" w:ascii="宋体" w:hAnsi="宋体" w:cs="宋体"/>
          <w:sz w:val="24"/>
        </w:rPr>
        <w:t>投标人的澄清、说明或者补正应当采用书面形式，并加盖公章，或者由法定代表人或其授权的代表签字</w:t>
      </w:r>
      <w:bookmarkEnd w:id="51"/>
      <w:r>
        <w:rPr>
          <w:rFonts w:hint="eastAsia" w:ascii="宋体" w:hAnsi="宋体" w:cs="宋体"/>
          <w:sz w:val="24"/>
        </w:rPr>
        <w:t>。投标人的澄清、说明或者补正不得超出投标文件的范围或者改变投标文件的实质性内容。</w:t>
      </w:r>
      <w:bookmarkStart w:id="52"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2"/>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3" w:name="OLE_LINK133"/>
      <w:r>
        <w:rPr>
          <w:rFonts w:hint="eastAsia" w:ascii="宋体" w:hAnsi="宋体"/>
          <w:b/>
          <w:sz w:val="24"/>
        </w:rPr>
        <w:t>评标方法和标准</w:t>
      </w:r>
      <w:r>
        <w:rPr>
          <w:rFonts w:hint="eastAsia" w:ascii="宋体" w:hAnsi="宋体"/>
          <w:bCs/>
          <w:sz w:val="24"/>
        </w:rPr>
        <w:t>。</w:t>
      </w:r>
      <w:bookmarkEnd w:id="53"/>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4"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4"/>
    </w:p>
    <w:bookmarkEnd w:id="44"/>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5" w:name="OLE_LINK174"/>
      <w:r>
        <w:rPr>
          <w:rFonts w:hint="eastAsia" w:ascii="宋体" w:hAnsi="宋体"/>
          <w:bCs/>
          <w:sz w:val="24"/>
          <w:lang w:val="zh-CN"/>
        </w:rPr>
        <w:t>中标候选人</w:t>
      </w:r>
      <w:bookmarkEnd w:id="55"/>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6"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6"/>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7"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7"/>
    </w:p>
    <w:bookmarkEnd w:id="43"/>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58"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59"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9"/>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0" w:name="OLE_LINK5"/>
      <w:r>
        <w:rPr>
          <w:rFonts w:hint="eastAsia" w:ascii="宋体" w:hAnsi="宋体"/>
          <w:bCs/>
          <w:sz w:val="24"/>
          <w:lang w:val="zh-CN"/>
        </w:rPr>
        <w:t>中标供应商</w:t>
      </w:r>
      <w:bookmarkStart w:id="61" w:name="OLE_LINK175"/>
      <w:r>
        <w:rPr>
          <w:rFonts w:hint="eastAsia" w:ascii="宋体" w:hAnsi="宋体"/>
          <w:bCs/>
          <w:sz w:val="24"/>
          <w:lang w:val="zh-CN"/>
        </w:rPr>
        <w:t>（含中标候选人）</w:t>
      </w:r>
      <w:bookmarkEnd w:id="61"/>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2" w:name="OLE_LINK2"/>
      <w:r>
        <w:rPr>
          <w:rFonts w:hint="eastAsia" w:ascii="宋体" w:hAnsi="宋体"/>
          <w:bCs/>
          <w:sz w:val="24"/>
          <w:lang w:val="zh-CN"/>
        </w:rPr>
        <w:t>。</w:t>
      </w:r>
      <w:bookmarkEnd w:id="60"/>
      <w:bookmarkEnd w:id="62"/>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3" w:name="OLE_LINK182"/>
    </w:p>
    <w:bookmarkEnd w:id="58"/>
    <w:bookmarkEnd w:id="63"/>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4"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5" w:name="OLE_LINK172"/>
      <w:r>
        <w:rPr>
          <w:rFonts w:hint="eastAsia" w:ascii="宋体" w:hAnsi="宋体"/>
          <w:bCs/>
          <w:sz w:val="24"/>
        </w:rPr>
        <w:t>投标人中标后，在供货期内如遇产品平滑（自然）升级，中标供应商应提供平滑升级商品不补差价（招标文件中有特殊要求的除外）。</w:t>
      </w:r>
      <w:bookmarkEnd w:id="65"/>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4"/>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6"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6"/>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pStyle w:val="3"/>
        <w:spacing w:before="0" w:line="240" w:lineRule="auto"/>
        <w:ind w:firstLine="0"/>
        <w:jc w:val="center"/>
        <w:rPr>
          <w:rFonts w:hint="eastAsia" w:ascii="黑体" w:hAnsi="黑体" w:eastAsia="黑体"/>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bookmarkStart w:id="100" w:name="_GoBack"/>
      <w:bookmarkEnd w:id="100"/>
      <w:r>
        <w:rPr>
          <w:rFonts w:hint="eastAsia" w:ascii="黑体" w:hAnsi="黑体" w:eastAsia="黑体"/>
          <w:sz w:val="28"/>
        </w:rPr>
        <w:t>三 项目技术要求和有关说明</w:t>
      </w:r>
      <w:bookmarkStart w:id="67" w:name="_Toc374078452"/>
      <w:bookmarkStart w:id="68" w:name="_Toc15017"/>
      <w:bookmarkStart w:id="69" w:name="_Toc26921"/>
      <w:bookmarkStart w:id="70" w:name="_Toc376165139"/>
      <w:bookmarkStart w:id="71" w:name="_Toc372018550"/>
      <w:bookmarkStart w:id="72" w:name="_Toc372018970"/>
      <w:bookmarkStart w:id="73" w:name="_Toc24341"/>
    </w:p>
    <w:p>
      <w:pPr>
        <w:spacing w:line="360" w:lineRule="auto"/>
        <w:ind w:firstLine="480" w:firstLineChars="200"/>
        <w:rPr>
          <w:rFonts w:hint="eastAsia" w:ascii="宋体" w:hAnsi="宋体" w:cs="宋体"/>
          <w:sz w:val="24"/>
          <w:szCs w:val="24"/>
        </w:rPr>
      </w:pPr>
    </w:p>
    <w:p>
      <w:pPr>
        <w:rPr>
          <w:rFonts w:hint="eastAsia"/>
        </w:rPr>
      </w:pPr>
      <w:r>
        <w:rPr>
          <w:rFonts w:hint="eastAsia"/>
        </w:rPr>
        <w:t>一、项目概述：</w:t>
      </w:r>
    </w:p>
    <w:p>
      <w:pPr>
        <w:rPr>
          <w:rFonts w:hint="eastAsia"/>
        </w:rPr>
      </w:pPr>
      <w:r>
        <w:rPr>
          <w:rFonts w:hint="eastAsia"/>
        </w:rPr>
        <w:t>本项目为宜兴水务集团有限公司电动、气动阀门维护保养及维修服务, 总数量284台。</w:t>
      </w:r>
    </w:p>
    <w:p>
      <w:pPr>
        <w:rPr>
          <w:rFonts w:hint="eastAsia"/>
        </w:rPr>
      </w:pPr>
      <w:r>
        <w:rPr>
          <w:rFonts w:hint="eastAsia"/>
        </w:rPr>
        <w:t>二、技术要求：</w:t>
      </w:r>
    </w:p>
    <w:p>
      <w:pPr>
        <w:rPr>
          <w:rFonts w:hint="eastAsia"/>
        </w:rPr>
      </w:pPr>
      <w:r>
        <w:rPr>
          <w:rFonts w:hint="eastAsia"/>
        </w:rPr>
        <w:t>（一）、本次招标项目的要求及数量详见下表。</w:t>
      </w:r>
    </w:p>
    <w:tbl>
      <w:tblPr>
        <w:tblStyle w:val="75"/>
        <w:tblW w:w="10084" w:type="dxa"/>
        <w:jc w:val="center"/>
        <w:tblLayout w:type="fixed"/>
        <w:tblCellMar>
          <w:top w:w="0" w:type="dxa"/>
          <w:left w:w="108" w:type="dxa"/>
          <w:bottom w:w="0" w:type="dxa"/>
          <w:right w:w="108" w:type="dxa"/>
        </w:tblCellMar>
      </w:tblPr>
      <w:tblGrid>
        <w:gridCol w:w="634"/>
        <w:gridCol w:w="831"/>
        <w:gridCol w:w="1440"/>
        <w:gridCol w:w="1229"/>
        <w:gridCol w:w="1333"/>
        <w:gridCol w:w="833"/>
        <w:gridCol w:w="950"/>
        <w:gridCol w:w="784"/>
        <w:gridCol w:w="783"/>
        <w:gridCol w:w="1267"/>
      </w:tblGrid>
      <w:tr>
        <w:tblPrEx>
          <w:tblCellMar>
            <w:top w:w="0" w:type="dxa"/>
            <w:left w:w="108" w:type="dxa"/>
            <w:bottom w:w="0" w:type="dxa"/>
            <w:right w:w="108" w:type="dxa"/>
          </w:tblCellMar>
        </w:tblPrEx>
        <w:trPr>
          <w:trHeight w:val="499"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序号</w:t>
            </w:r>
          </w:p>
        </w:tc>
        <w:tc>
          <w:tcPr>
            <w:tcW w:w="831"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水厂、泵站</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名称</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品牌</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型号规格</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参数</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备注</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数量</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4"/>
                <w:szCs w:val="24"/>
              </w:rPr>
            </w:pPr>
            <w:r>
              <w:rPr>
                <w:rFonts w:hint="eastAsia" w:ascii="宋体" w:hAnsi="宋体" w:cs="宋体"/>
                <w:b/>
                <w:color w:val="000000"/>
                <w:kern w:val="0"/>
                <w:sz w:val="24"/>
                <w:szCs w:val="24"/>
                <w:lang w:bidi="ar"/>
              </w:rPr>
              <w:t>单位</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szCs w:val="22"/>
                <w:lang w:bidi="ar"/>
              </w:rPr>
              <w:t>地点</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1</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氿滨水厂</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SA07.6-F10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SA07.6-F10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3#泵电动阀门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SA07.6-F10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SA07.6-F10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DN600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5#泵电动阀门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SA07.6-F10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DN600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SA07.5-F10</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0.37kw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DN600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7#泵电动阀门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SA07.5-F10</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0.37kw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DN600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SA10.2-F10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DN800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9#泵电动阀门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SA10.2-F10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DN800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1～10＃排水阀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SA10.1-F10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10</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普通快滤池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1～10＃进水阀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SA07.5-F10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10</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普通快滤池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1～10＃冲洗阀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SA10.1-F10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DN700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10</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普通快滤池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1～10＃清水阀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SA07.5-F10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10</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普通快滤池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1＃,2#冲洗泵阀门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AUMA</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SA07.5-F10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DN300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普通快滤池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11～14＃进水阀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SND-ZTD10T-18S</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0.3KW</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V型滤池二楼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11～14＃排水阀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SND-ZTD10T-18S</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0.3KW</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V型滤池二楼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11～14＃气冲阀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DAPS-1440-090-R-F14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24V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11～14＃水冲阀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DAPS-2889-090-R-F16</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24V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11～14＃清水阀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DAPS-1440-090-R-F14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24V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15～18＃进水阀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SND-Z20T-24S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0.37KW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15～18＃排水阀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SND-Z20T-24S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0.37KW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15～18＃气冲阀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DAPS-1440-090-R-F14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24V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15～18＃水冲阀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DAPS-2889-090-R-F16</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24V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15～18＃清水阀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DAPS-1440-090-R-F14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24V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1～3＃水冲泵阀门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SND-Q200-0.6S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0.12KW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3</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V型滤池一楼</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1＃离心泵电动阀门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天津北方阀门控制</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802.300-1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750W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天津北方阀门控制</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802.300-1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750W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4＃离心泵电动阀门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ＴＥＴ</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5＃离心泵电动阀门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江苏兰阀通用设备</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Q500-0.5w</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0.75kw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6＃离心泵电动阀门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江苏兰阀通用设备</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Q500-0.5w</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0.75kw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7＃离心泵电动阀门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江苏兰阀通用设备</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Q500-0.5w</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0.75kw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8＃离心泵电动阀门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江苏兰阀通用设备</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Q500-0.5w</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0.75kw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1#、2#水冲泵阀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GD960-F10F12</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冲洗泵房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3#、4#水冲泵阀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GD192C-F14</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冲洗泵房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1#、2#气冲阀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GD960-F10F12</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冲洗泵房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1～8＃进水阀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1～8＃排水阀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FESTO</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1～8＃气冲阀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VAG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800-DA</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1～8＃水冲阀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VAG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2300-DA</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1～8＃清水阀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VAG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2300-DA</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1～8＃排气阀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VAG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200-DA</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1～8＃初滤水阀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VAG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515-DA</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8</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三期V型滤池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1#~6#初滤水阀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GD720-F1012</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220V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DN300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1#~6#气冲阀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GD960-F10F12</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220V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1#~6#水冲阀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GD3840-F16</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220V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DN700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1#~6#清水阀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GD960-F10F12</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220V</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1#~6#进水阀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YC-LGCD95B-16-530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炭滤池二层</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1#~6#排水阀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YC-LGCD95B-200-1030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炭滤池二层</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1#~6#排气阀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ACTUATECH</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GD30-F03F05</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6</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炭滤池二层</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1#~3#风机电动阀门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QB100-1  AW</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0.18KW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DN250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3</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曝气鼓风机房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浓缩池出水电动闸阀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南京西部瀚乔电机机械有限公司</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FELIX FMM-01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0.4kw 380v</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浓缩池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平衡池出泥电动闸阀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FeLix</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FMM-02</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0.75kw 380v 50hz 2.34A</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DN150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脱水间</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1#2#切割机前电动阀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FeLix</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FMM-01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0.4kw 380V 50Hz 1.33A</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DN100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脱水间</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1#2#电动阀门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常州电站辅机总厂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ZB5-18/10</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0.09kw 18r/min</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脱水间</w:t>
            </w:r>
          </w:p>
        </w:tc>
      </w:tr>
      <w:tr>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2</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大贤岭</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常州电站辅机股份有限公司</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 -Z15-36S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转矩150N.m</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DN200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大贤岭</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常州电站辅机股份有限公司</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 -Z15-36S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转矩150N.m</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DN300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大贤岭</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常州电站辅机股份有限公司</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SND -Z20-36S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转矩200N.m</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DN100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大贤岭</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DN500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调节张渚压力</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3</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蒲墅</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(1--3)# 泵后电动阀门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天津塘沽瓦特斯阀门有限公司</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D04B1X-100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3</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泵房（3台）</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4#泵后电动阀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VN1-01</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1#新管道自流阀</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泵站外</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2#泵前连通阀</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泵站外</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3#新管道泵后连通阀</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泵站</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4#老管道自流阀</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泵站</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2#新管道自流阀</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泵站</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新泵房进水电动阀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VM-04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值班室门口</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新泵房出水电动阀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VM-04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配电室门口</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新管道连通电动阀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VM-04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门卫东</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新管道隔离电动阀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VM-04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2.2KW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门卫东</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新泵房出水电动阀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VM-01</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新泵房</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4</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油车</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ROTORK</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L03207020103</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 xml:space="preserve">48rpm  </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ROTORK</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L03207020103</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 xml:space="preserve">48rpm  </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3#电动阀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ROTORK</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L03267010102</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 xml:space="preserve">96rpm  </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ROTORK</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L03267010102</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 xml:space="preserve">96rpm  </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进水阀门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DN1200</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超越阀</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出水阀门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DN1200</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5</w:t>
            </w:r>
          </w:p>
        </w:tc>
        <w:tc>
          <w:tcPr>
            <w:tcW w:w="831"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鲸塘</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泵房</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6</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湖父</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BG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扭矩1000N.M</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380V</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二泵房出水</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BG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BG-50</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380V</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一泵房出水</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BG</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BG-100</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380V</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一泵房出水</w:t>
            </w:r>
          </w:p>
        </w:tc>
      </w:tr>
      <w:tr>
        <w:tblPrEx>
          <w:tblCellMar>
            <w:top w:w="0" w:type="dxa"/>
            <w:left w:w="108" w:type="dxa"/>
            <w:bottom w:w="0" w:type="dxa"/>
            <w:right w:w="108" w:type="dxa"/>
          </w:tblCellMar>
        </w:tblPrEx>
        <w:trPr>
          <w:trHeight w:val="683"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常州电站辅机</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YPFC80M2-4</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380V</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一泵房出水</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7</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太华</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出水电动阀门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centork</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自用水电动阀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冠龙</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FBEX</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PN10</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DN150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二泵房</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常州武进远恩自控设备厂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Z15</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废水处理系统</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常州武进远恩自控设备厂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Z20</w:t>
            </w: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废水处理系统</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常州武进远恩自控设备厂</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Z20</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550W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3</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废水处理系统</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VM-01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75kw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2</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浓缩池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VM-01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75kw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排水池</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电动阀</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Seibu</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VM-01</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75kw</w:t>
            </w: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4</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原排水池</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8</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调度控制阀门</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kern w:val="0"/>
                <w:sz w:val="20"/>
              </w:rPr>
              <w:t>DN1200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油车水库</w:t>
            </w:r>
          </w:p>
        </w:tc>
      </w:tr>
      <w:tr>
        <w:tblPrEx>
          <w:tblCellMar>
            <w:top w:w="0" w:type="dxa"/>
            <w:left w:w="108" w:type="dxa"/>
            <w:bottom w:w="0" w:type="dxa"/>
            <w:right w:w="108" w:type="dxa"/>
          </w:tblCellMar>
        </w:tblPrEx>
        <w:trPr>
          <w:trHeight w:val="499" w:hRule="atLeast"/>
          <w:jc w:val="center"/>
        </w:trPr>
        <w:tc>
          <w:tcPr>
            <w:tcW w:w="63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p>
        </w:tc>
        <w:tc>
          <w:tcPr>
            <w:tcW w:w="831"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lang w:bidi="ar"/>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lang w:bidi="ar"/>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kern w:val="0"/>
                <w:sz w:val="20"/>
              </w:rPr>
              <w:t>DN1000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宜兴小马岭</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kern w:val="0"/>
                <w:sz w:val="20"/>
              </w:rPr>
              <w:t>DN600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张渚西河桥</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kern w:val="0"/>
                <w:sz w:val="20"/>
              </w:rPr>
              <w:t>DN800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云湖路</w:t>
            </w: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电动阀门</w:t>
            </w:r>
          </w:p>
        </w:tc>
        <w:tc>
          <w:tcPr>
            <w:tcW w:w="1229"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833"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c>
          <w:tcPr>
            <w:tcW w:w="95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r>
              <w:rPr>
                <w:rFonts w:hint="eastAsia" w:ascii="宋体" w:hAnsi="宋体" w:cs="宋体"/>
                <w:kern w:val="0"/>
                <w:sz w:val="20"/>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西渚</w:t>
            </w:r>
          </w:p>
        </w:tc>
      </w:tr>
      <w:tr>
        <w:tblPrEx>
          <w:tblCellMar>
            <w:top w:w="0" w:type="dxa"/>
            <w:left w:w="108" w:type="dxa"/>
            <w:bottom w:w="0" w:type="dxa"/>
            <w:right w:w="108" w:type="dxa"/>
          </w:tblCellMar>
        </w:tblPrEx>
        <w:trPr>
          <w:trHeight w:val="499"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szCs w:val="22"/>
                <w:lang w:bidi="ar"/>
              </w:rPr>
              <w:t>9</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宜丰</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电动阀（内）</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SDN-Z60-24S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1.5KW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kern w:val="0"/>
                <w:sz w:val="20"/>
              </w:rPr>
            </w:pPr>
          </w:p>
        </w:tc>
      </w:tr>
      <w:tr>
        <w:tblPrEx>
          <w:tblCellMar>
            <w:top w:w="0" w:type="dxa"/>
            <w:left w:w="108" w:type="dxa"/>
            <w:bottom w:w="0" w:type="dxa"/>
            <w:right w:w="108" w:type="dxa"/>
          </w:tblCellMar>
        </w:tblPrEx>
        <w:trPr>
          <w:trHeight w:val="499"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2"/>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c>
          <w:tcPr>
            <w:tcW w:w="144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电动阀（井内）</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常州电动辅机</w:t>
            </w:r>
          </w:p>
        </w:tc>
        <w:tc>
          <w:tcPr>
            <w:tcW w:w="13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SDN-Z60-24S</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1.5KW</w:t>
            </w:r>
          </w:p>
        </w:tc>
        <w:tc>
          <w:tcPr>
            <w:tcW w:w="9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DN400</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1</w:t>
            </w:r>
          </w:p>
        </w:tc>
        <w:tc>
          <w:tcPr>
            <w:tcW w:w="78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color w:val="000000"/>
                <w:kern w:val="0"/>
                <w:sz w:val="20"/>
                <w:lang w:bidi="ar"/>
              </w:rPr>
              <w:t>只</w:t>
            </w:r>
          </w:p>
        </w:tc>
        <w:tc>
          <w:tcPr>
            <w:tcW w:w="1267"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宋体" w:hAnsi="宋体" w:cs="宋体"/>
                <w:color w:val="000000"/>
                <w:kern w:val="0"/>
                <w:sz w:val="20"/>
              </w:rPr>
            </w:pPr>
          </w:p>
        </w:tc>
      </w:tr>
      <w:tr>
        <w:tblPrEx>
          <w:tblCellMar>
            <w:top w:w="0" w:type="dxa"/>
            <w:left w:w="108" w:type="dxa"/>
            <w:bottom w:w="0" w:type="dxa"/>
            <w:right w:w="108" w:type="dxa"/>
          </w:tblCellMar>
        </w:tblPrEx>
        <w:trPr>
          <w:trHeight w:val="499" w:hRule="atLeast"/>
          <w:jc w:val="center"/>
        </w:trPr>
        <w:tc>
          <w:tcPr>
            <w:tcW w:w="725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2"/>
                <w:szCs w:val="22"/>
                <w:lang w:bidi="ar"/>
              </w:rPr>
              <w:t>总计</w:t>
            </w:r>
          </w:p>
        </w:tc>
        <w:tc>
          <w:tcPr>
            <w:tcW w:w="1567"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kern w:val="0"/>
                <w:sz w:val="20"/>
              </w:rPr>
            </w:pPr>
            <w:r>
              <w:rPr>
                <w:rFonts w:hint="eastAsia" w:ascii="宋体" w:hAnsi="宋体" w:cs="宋体"/>
                <w:b/>
                <w:color w:val="000000"/>
                <w:kern w:val="0"/>
                <w:sz w:val="22"/>
                <w:szCs w:val="22"/>
                <w:lang w:bidi="ar"/>
              </w:rPr>
              <w:t>284</w:t>
            </w:r>
          </w:p>
        </w:tc>
        <w:tc>
          <w:tcPr>
            <w:tcW w:w="126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0"/>
              </w:rPr>
            </w:pPr>
          </w:p>
        </w:tc>
      </w:tr>
    </w:tbl>
    <w:p>
      <w:pPr>
        <w:spacing w:line="360" w:lineRule="auto"/>
        <w:rPr>
          <w:rFonts w:ascii="宋体" w:hAnsi="宋体"/>
          <w:bCs/>
          <w:sz w:val="24"/>
        </w:rPr>
      </w:pPr>
      <w:r>
        <w:rPr>
          <w:rFonts w:hint="eastAsia" w:ascii="宋体" w:hAnsi="宋体"/>
          <w:bCs/>
          <w:sz w:val="24"/>
        </w:rPr>
        <w:t>注：水务集团电动阀门、气动阀门位置比较分散，请各投标单位充分考虑来回交通成本。</w:t>
      </w:r>
    </w:p>
    <w:p>
      <w:pPr>
        <w:spacing w:line="360" w:lineRule="auto"/>
        <w:rPr>
          <w:rFonts w:ascii="宋体" w:hAnsi="宋体"/>
          <w:bCs/>
          <w:sz w:val="24"/>
        </w:rPr>
      </w:pPr>
      <w:r>
        <w:rPr>
          <w:rFonts w:hint="eastAsia" w:ascii="宋体" w:hAnsi="宋体"/>
          <w:bCs/>
          <w:sz w:val="24"/>
        </w:rPr>
        <w:t xml:space="preserve">    (</w:t>
      </w:r>
      <w:r>
        <w:rPr>
          <w:rFonts w:ascii="宋体" w:hAnsi="宋体"/>
          <w:bCs/>
          <w:sz w:val="24"/>
        </w:rPr>
        <w:t>二</w:t>
      </w:r>
      <w:r>
        <w:rPr>
          <w:rFonts w:hint="eastAsia" w:ascii="宋体" w:hAnsi="宋体"/>
          <w:bCs/>
          <w:sz w:val="24"/>
        </w:rPr>
        <w:t>)、</w:t>
      </w:r>
      <w:r>
        <w:rPr>
          <w:rFonts w:ascii="宋体" w:hAnsi="宋体"/>
          <w:bCs/>
          <w:sz w:val="24"/>
        </w:rPr>
        <w:t>维护保养和检修内容与要求</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 xml:space="preserve">1、电动阀门阀头解体，更换阀头油箱内齿轮油，除湿、除尘、更换O型密封圈、垫、阀体更换密封圈，检查更换磨损卡簧、垫板、垫片等，解决漏水问题； </w:t>
      </w:r>
    </w:p>
    <w:p>
      <w:pPr>
        <w:spacing w:line="360" w:lineRule="auto"/>
        <w:ind w:firstLine="480" w:firstLineChars="200"/>
        <w:rPr>
          <w:rFonts w:ascii="宋体" w:hAnsi="宋体"/>
          <w:bCs/>
          <w:sz w:val="24"/>
        </w:rPr>
      </w:pPr>
      <w:r>
        <w:rPr>
          <w:rFonts w:hint="eastAsia" w:ascii="宋体" w:hAnsi="宋体"/>
          <w:bCs/>
          <w:sz w:val="24"/>
        </w:rPr>
        <w:t xml:space="preserve">2、气动阀门阀头解体，添加润滑油脂、清除阀体内杂物杂质、清理气管、保障气管畅通、阀体部分检查更换垫圈、垫片等；                     </w:t>
      </w:r>
    </w:p>
    <w:p>
      <w:pPr>
        <w:spacing w:line="360" w:lineRule="auto"/>
        <w:ind w:firstLine="480" w:firstLineChars="200"/>
        <w:rPr>
          <w:rFonts w:hint="eastAsia" w:ascii="宋体" w:hAnsi="宋体"/>
          <w:bCs/>
          <w:sz w:val="24"/>
        </w:rPr>
      </w:pPr>
      <w:r>
        <w:rPr>
          <w:rFonts w:hint="eastAsia" w:ascii="宋体" w:hAnsi="宋体"/>
          <w:bCs/>
          <w:sz w:val="24"/>
        </w:rPr>
        <w:t>3、中标方负责284台电动、气动阀门的修理，接到电话通知后3小时内必须到达现场，判断故障原因，修理或提供修理方案。</w:t>
      </w:r>
    </w:p>
    <w:p>
      <w:pPr>
        <w:spacing w:line="360" w:lineRule="auto"/>
        <w:ind w:firstLine="480" w:firstLineChars="200"/>
        <w:rPr>
          <w:rFonts w:ascii="宋体" w:hAnsi="宋体"/>
          <w:bCs/>
          <w:sz w:val="24"/>
        </w:rPr>
      </w:pPr>
      <w:r>
        <w:rPr>
          <w:rFonts w:hint="eastAsia" w:ascii="宋体" w:hAnsi="宋体"/>
          <w:bCs/>
          <w:sz w:val="24"/>
        </w:rPr>
        <w:t>（三）、责任与验收</w:t>
      </w:r>
    </w:p>
    <w:p>
      <w:pPr>
        <w:spacing w:line="360" w:lineRule="auto"/>
        <w:ind w:firstLine="480" w:firstLineChars="200"/>
        <w:rPr>
          <w:rFonts w:ascii="宋体" w:hAnsi="宋体"/>
          <w:bCs/>
          <w:sz w:val="24"/>
        </w:rPr>
      </w:pPr>
      <w:r>
        <w:rPr>
          <w:rFonts w:hint="eastAsia" w:ascii="宋体" w:hAnsi="宋体"/>
          <w:bCs/>
          <w:sz w:val="24"/>
        </w:rPr>
        <w:t>1、合同签订后两个月内按照要求完成阀门的年度预防性维护保养和检修服务；维护保养结束后提供相应报告，如实反映设阀门的运转情况和其他相关信息，并提供每台阀门保养及维修前后对照彩色照片，有更换材料的需提供材料清单。</w:t>
      </w:r>
    </w:p>
    <w:p>
      <w:pPr>
        <w:spacing w:line="360" w:lineRule="auto"/>
        <w:ind w:firstLine="480" w:firstLineChars="200"/>
        <w:rPr>
          <w:rFonts w:ascii="宋体" w:hAnsi="宋体"/>
          <w:bCs/>
          <w:sz w:val="24"/>
        </w:rPr>
      </w:pPr>
      <w:r>
        <w:rPr>
          <w:rFonts w:hint="eastAsia" w:ascii="宋体" w:hAnsi="宋体"/>
          <w:bCs/>
          <w:sz w:val="24"/>
        </w:rPr>
        <w:t>2、维修责任：</w:t>
      </w:r>
    </w:p>
    <w:p>
      <w:pPr>
        <w:spacing w:line="360" w:lineRule="auto"/>
        <w:ind w:firstLine="480" w:firstLineChars="200"/>
        <w:rPr>
          <w:rFonts w:ascii="宋体" w:hAnsi="宋体"/>
          <w:bCs/>
          <w:sz w:val="24"/>
        </w:rPr>
      </w:pPr>
      <w:r>
        <w:rPr>
          <w:rFonts w:hint="eastAsia" w:ascii="宋体" w:hAnsi="宋体"/>
          <w:bCs/>
          <w:sz w:val="24"/>
        </w:rPr>
        <w:t>2.1、阀门维修后应能正常操作使用,不能出现关闭不严,阀体漏水等情况，电动阀头部分应按照原有颜色进行重新油漆，因元器件质量问题或维修质量问题引起的供水安全问题，由中标方承担相应赔偿责任。</w:t>
      </w:r>
    </w:p>
    <w:p>
      <w:pPr>
        <w:spacing w:line="360" w:lineRule="auto"/>
        <w:ind w:firstLine="480" w:firstLineChars="200"/>
        <w:rPr>
          <w:rFonts w:ascii="宋体" w:hAnsi="宋体"/>
          <w:bCs/>
          <w:sz w:val="24"/>
        </w:rPr>
      </w:pPr>
      <w:r>
        <w:rPr>
          <w:rFonts w:hint="eastAsia" w:ascii="宋体" w:hAnsi="宋体"/>
          <w:bCs/>
          <w:sz w:val="24"/>
        </w:rPr>
        <w:t>2.2、合同期内如电动阀门和气动阀门元器件需要更换的，需及时告知甲方，列出材料清单，由甲方审核确认后，由甲方负责采购，材料费由甲方负责，中标方负责免费更换；中标方对自身提供的元器件质量负责，在保修期内非甲方人为损坏，中标方需免费更换、维修。</w:t>
      </w:r>
    </w:p>
    <w:p>
      <w:pPr>
        <w:spacing w:line="360" w:lineRule="auto"/>
        <w:ind w:firstLine="480" w:firstLineChars="200"/>
        <w:rPr>
          <w:rFonts w:ascii="宋体" w:hAnsi="宋体"/>
          <w:bCs/>
          <w:sz w:val="24"/>
        </w:rPr>
      </w:pPr>
      <w:r>
        <w:rPr>
          <w:rFonts w:hint="eastAsia" w:ascii="宋体" w:hAnsi="宋体"/>
          <w:bCs/>
          <w:sz w:val="24"/>
        </w:rPr>
        <w:t>2.3、如遇雷击、火灾等不可抗力因素导致的设备损坏，经甲方审核确认后，设备的维修或整体更换费用由甲方负责，中标方协助维修。</w:t>
      </w:r>
    </w:p>
    <w:p>
      <w:pPr>
        <w:spacing w:line="360" w:lineRule="auto"/>
        <w:ind w:firstLine="480" w:firstLineChars="200"/>
        <w:rPr>
          <w:rFonts w:ascii="宋体" w:hAnsi="宋体"/>
          <w:bCs/>
          <w:sz w:val="24"/>
        </w:rPr>
      </w:pPr>
      <w:r>
        <w:rPr>
          <w:rFonts w:hint="eastAsia" w:ascii="宋体" w:hAnsi="宋体"/>
          <w:bCs/>
          <w:sz w:val="24"/>
        </w:rPr>
        <w:t>2.4、中标方在接到甲方应急维修通知后，必须在3小时内到达现场并实施维修，否则作为违约处理。</w:t>
      </w:r>
    </w:p>
    <w:p>
      <w:pPr>
        <w:spacing w:line="360" w:lineRule="auto"/>
        <w:ind w:firstLine="480" w:firstLineChars="200"/>
        <w:rPr>
          <w:rFonts w:ascii="宋体" w:hAnsi="宋体"/>
          <w:bCs/>
          <w:sz w:val="24"/>
        </w:rPr>
      </w:pPr>
      <w:r>
        <w:rPr>
          <w:rFonts w:hint="eastAsia" w:ascii="宋体" w:hAnsi="宋体"/>
          <w:bCs/>
          <w:sz w:val="24"/>
        </w:rPr>
        <w:t>（四）、付款方式：</w:t>
      </w:r>
    </w:p>
    <w:p>
      <w:pPr>
        <w:spacing w:line="360" w:lineRule="auto"/>
        <w:ind w:firstLine="480" w:firstLineChars="200"/>
        <w:rPr>
          <w:rFonts w:ascii="宋体" w:hAnsi="宋体"/>
          <w:bCs/>
          <w:sz w:val="24"/>
        </w:rPr>
      </w:pPr>
      <w:r>
        <w:rPr>
          <w:rFonts w:hint="eastAsia" w:ascii="宋体" w:hAnsi="宋体"/>
          <w:bCs/>
          <w:sz w:val="24"/>
        </w:rPr>
        <w:t>本项目不设预付款,预防性维修保养结束验收合格后开具全额增值税专用发票（税率：13%）三十日内付款至90%，合同期满后，三十日内一次性付清余款。</w:t>
      </w:r>
    </w:p>
    <w:p>
      <w:pPr>
        <w:spacing w:line="360" w:lineRule="auto"/>
        <w:ind w:firstLine="480" w:firstLineChars="200"/>
        <w:rPr>
          <w:rFonts w:ascii="宋体" w:hAnsi="宋体"/>
          <w:bCs/>
          <w:sz w:val="24"/>
        </w:rPr>
      </w:pPr>
      <w:r>
        <w:rPr>
          <w:rFonts w:hint="eastAsia" w:ascii="宋体" w:hAnsi="宋体"/>
          <w:bCs/>
          <w:sz w:val="24"/>
        </w:rPr>
        <w:t>（五）、合同期：</w:t>
      </w:r>
      <w:r>
        <w:rPr>
          <w:rFonts w:hint="eastAsia" w:ascii="宋体" w:hAnsi="宋体"/>
          <w:bCs/>
          <w:sz w:val="24"/>
        </w:rPr>
        <w:tab/>
      </w:r>
    </w:p>
    <w:p>
      <w:pPr>
        <w:spacing w:line="360" w:lineRule="auto"/>
        <w:ind w:firstLine="480" w:firstLineChars="200"/>
        <w:rPr>
          <w:rFonts w:ascii="宋体" w:hAnsi="宋体"/>
          <w:bCs/>
          <w:sz w:val="24"/>
        </w:rPr>
      </w:pPr>
      <w:r>
        <w:rPr>
          <w:rFonts w:hint="eastAsia" w:ascii="宋体" w:hAnsi="宋体"/>
          <w:bCs/>
          <w:sz w:val="24"/>
        </w:rPr>
        <w:t>本次招标的电动、气动阀门维护保养和检修服务为一年，从签订合同之日起计算。</w:t>
      </w: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bookmarkEnd w:id="67"/>
    <w:bookmarkEnd w:id="68"/>
    <w:bookmarkEnd w:id="69"/>
    <w:bookmarkEnd w:id="70"/>
    <w:bookmarkEnd w:id="71"/>
    <w:bookmarkEnd w:id="72"/>
    <w:bookmarkEnd w:id="73"/>
    <w:p/>
    <w:p>
      <w:pPr>
        <w:spacing w:line="360" w:lineRule="auto"/>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宜兴水务集团有限公司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一、本合同供、需双方必须遵守《中华人民共和国民法典》，并各自履行应负的全部责任。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ascii="宋体" w:hAnsi="宋体"/>
          <w:bCs/>
          <w:sz w:val="24"/>
        </w:rPr>
        <w:t>YXGYJT202107014</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四、采购人按照招标文件，组织对中标供应商的供货产品或服务逐项进行验收，在确认供货产品或服务符合采购需求的基础上，填写项目验收单并加盖单位公章。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bookmarkStart w:id="74" w:name="OLE_LINK46"/>
            <w:r>
              <w:rPr>
                <w:rFonts w:hint="eastAsia" w:ascii="宋体" w:hAnsi="宋体" w:cs="宋体"/>
                <w:kern w:val="0"/>
                <w:sz w:val="24"/>
                <w:szCs w:val="24"/>
                <w:lang w:val="zh-CN"/>
              </w:rPr>
              <w:t>甲方（采购人）：（盖章）</w:t>
            </w:r>
            <w:bookmarkEnd w:id="74"/>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5" w:name="OLE_LINK47"/>
            <w:r>
              <w:rPr>
                <w:rFonts w:hint="eastAsia" w:ascii="宋体" w:hAnsi="宋体" w:cs="宋体"/>
                <w:kern w:val="0"/>
                <w:sz w:val="24"/>
                <w:szCs w:val="24"/>
                <w:lang w:val="zh-CN"/>
              </w:rPr>
              <w:t>电话：</w:t>
            </w:r>
            <w:bookmarkEnd w:id="75"/>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6" w:name="OLE_LINK50"/>
            <w:r>
              <w:rPr>
                <w:rFonts w:hint="eastAsia" w:ascii="宋体" w:hAnsi="宋体" w:cs="宋体"/>
                <w:kern w:val="0"/>
                <w:sz w:val="24"/>
                <w:szCs w:val="24"/>
                <w:lang w:val="zh-CN"/>
              </w:rPr>
              <w:t>开户银行：</w:t>
            </w:r>
            <w:bookmarkEnd w:id="76"/>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7" w:name="OLE_LINK52"/>
            <w:r>
              <w:rPr>
                <w:rFonts w:hint="eastAsia" w:ascii="宋体" w:hAnsi="宋体" w:cs="宋体"/>
                <w:kern w:val="0"/>
                <w:sz w:val="24"/>
                <w:szCs w:val="24"/>
                <w:lang w:val="zh-CN"/>
              </w:rPr>
              <w:t>账号：</w:t>
            </w:r>
            <w:bookmarkEnd w:id="77"/>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r>
    </w:tbl>
    <w:p>
      <w:pPr>
        <w:spacing w:line="360" w:lineRule="auto"/>
        <w:jc w:val="center"/>
        <w:outlineLvl w:val="0"/>
        <w:rPr>
          <w:rFonts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hint="eastAsia" w:ascii="黑体" w:hAnsi="黑体" w:eastAsia="黑体"/>
          <w:sz w:val="48"/>
          <w:szCs w:val="48"/>
        </w:rPr>
      </w:pPr>
    </w:p>
    <w:p>
      <w:pPr>
        <w:spacing w:line="360" w:lineRule="auto"/>
        <w:ind w:firstLine="480" w:firstLineChars="200"/>
        <w:rPr>
          <w:rFonts w:ascii="宋体"/>
          <w:bCs/>
          <w:sz w:val="24"/>
        </w:rPr>
      </w:pPr>
      <w:r>
        <w:rPr>
          <w:rFonts w:hint="eastAsia" w:ascii="宋体" w:hAnsi="宋体"/>
          <w:bCs/>
          <w:sz w:val="24"/>
        </w:rPr>
        <w:t>根据采购项目编号：</w:t>
      </w:r>
      <w:r>
        <w:rPr>
          <w:rFonts w:ascii="宋体" w:hAnsi="宋体"/>
          <w:bCs/>
          <w:sz w:val="24"/>
        </w:rPr>
        <w:t>YXGYJT202107014</w:t>
      </w:r>
      <w:r>
        <w:rPr>
          <w:rFonts w:hint="eastAsia" w:ascii="宋体" w:hAnsi="宋体"/>
          <w:bCs/>
          <w:sz w:val="24"/>
        </w:rPr>
        <w:t>招标文件和该项目的中标通知书及乙方投标文件，供需双方就此次中标的设备和相关问题，同意按下列条款规定执行。</w:t>
      </w:r>
    </w:p>
    <w:p>
      <w:pPr>
        <w:spacing w:line="360" w:lineRule="auto"/>
        <w:ind w:firstLine="480" w:firstLineChars="200"/>
        <w:rPr>
          <w:rFonts w:hint="eastAsia" w:ascii="宋体" w:hAnsi="宋体"/>
          <w:bCs/>
          <w:sz w:val="24"/>
        </w:rPr>
      </w:pPr>
      <w:r>
        <w:rPr>
          <w:rFonts w:hint="eastAsia" w:ascii="宋体" w:hAnsi="宋体"/>
          <w:bCs/>
          <w:sz w:val="24"/>
        </w:rPr>
        <w:t xml:space="preserve"> 一、合同内容：</w:t>
      </w:r>
    </w:p>
    <w:p>
      <w:pPr>
        <w:spacing w:line="360" w:lineRule="auto"/>
        <w:ind w:firstLine="480" w:firstLineChars="200"/>
        <w:rPr>
          <w:rFonts w:hint="eastAsia" w:ascii="宋体" w:hAnsi="宋体"/>
          <w:bCs/>
          <w:sz w:val="24"/>
        </w:rPr>
      </w:pPr>
      <w:r>
        <w:rPr>
          <w:rFonts w:hint="eastAsia" w:ascii="宋体" w:hAnsi="宋体"/>
          <w:bCs/>
          <w:sz w:val="24"/>
        </w:rPr>
        <w:t xml:space="preserve"> 1、甲方向乙方购买</w:t>
      </w:r>
      <w:r>
        <w:rPr>
          <w:rFonts w:ascii="宋体" w:hAnsi="宋体"/>
          <w:bCs/>
          <w:sz w:val="24"/>
          <w:szCs w:val="24"/>
          <w:u w:val="single"/>
        </w:rPr>
        <w:softHyphen/>
      </w:r>
      <w:r>
        <w:rPr>
          <w:rFonts w:hint="eastAsia" w:ascii="宋体" w:hAnsi="宋体"/>
          <w:bCs/>
          <w:sz w:val="24"/>
          <w:szCs w:val="24"/>
          <w:u w:val="single"/>
        </w:rPr>
        <w:softHyphen/>
      </w:r>
      <w:r>
        <w:rPr>
          <w:rFonts w:hint="eastAsia" w:ascii="宋体" w:hAnsi="宋体"/>
          <w:bCs/>
          <w:sz w:val="24"/>
          <w:szCs w:val="24"/>
          <w:u w:val="single"/>
        </w:rPr>
        <w:t xml:space="preserve">                         </w:t>
      </w:r>
      <w:r>
        <w:rPr>
          <w:rFonts w:hint="eastAsia" w:ascii="宋体" w:hAnsi="宋体"/>
          <w:bCs/>
          <w:sz w:val="24"/>
        </w:rPr>
        <w:t>。</w:t>
      </w:r>
    </w:p>
    <w:p>
      <w:pPr>
        <w:spacing w:line="360" w:lineRule="auto"/>
        <w:ind w:firstLine="480" w:firstLineChars="200"/>
        <w:rPr>
          <w:rFonts w:hint="eastAsia" w:ascii="宋体" w:hAnsi="宋体"/>
          <w:sz w:val="24"/>
          <w:szCs w:val="24"/>
        </w:rPr>
      </w:pPr>
      <w:r>
        <w:rPr>
          <w:rFonts w:hint="eastAsia" w:ascii="宋体" w:hAnsi="宋体"/>
          <w:sz w:val="24"/>
          <w:szCs w:val="24"/>
        </w:rPr>
        <w:t xml:space="preserve"> 2、服务期：本次招标的电动、气动阀门维护保养和检修服务为一年，从签订合同之日起计算。</w:t>
      </w:r>
    </w:p>
    <w:p>
      <w:pPr>
        <w:spacing w:line="360" w:lineRule="auto"/>
        <w:ind w:firstLine="480" w:firstLineChars="200"/>
        <w:rPr>
          <w:rFonts w:ascii="宋体"/>
          <w:bCs/>
          <w:sz w:val="24"/>
        </w:rPr>
      </w:pPr>
      <w:r>
        <w:rPr>
          <w:rFonts w:hint="eastAsia" w:ascii="宋体" w:hAnsi="宋体"/>
          <w:bCs/>
          <w:sz w:val="24"/>
        </w:rPr>
        <w:t>二、价格及支付</w:t>
      </w:r>
    </w:p>
    <w:p>
      <w:pPr>
        <w:spacing w:line="360" w:lineRule="auto"/>
        <w:ind w:firstLine="480" w:firstLineChars="200"/>
        <w:rPr>
          <w:rFonts w:hint="eastAsia" w:ascii="宋体" w:hAnsi="宋体"/>
          <w:bCs/>
          <w:sz w:val="24"/>
        </w:rPr>
      </w:pPr>
      <w:r>
        <w:rPr>
          <w:rFonts w:hint="eastAsia" w:ascii="宋体" w:hAnsi="宋体"/>
          <w:bCs/>
          <w:sz w:val="24"/>
        </w:rPr>
        <w:t xml:space="preserve"> 1、此次中标价格，合同价</w:t>
      </w:r>
      <w:r>
        <w:rPr>
          <w:rFonts w:hint="eastAsia" w:ascii="宋体" w:hAnsi="宋体"/>
          <w:bCs/>
          <w:sz w:val="24"/>
          <w:u w:val="single"/>
        </w:rPr>
        <w:t xml:space="preserve">       </w:t>
      </w:r>
      <w:r>
        <w:rPr>
          <w:rFonts w:hint="eastAsia" w:ascii="宋体" w:hAnsi="宋体"/>
          <w:bCs/>
          <w:sz w:val="24"/>
        </w:rPr>
        <w:t>元。</w:t>
      </w:r>
    </w:p>
    <w:p>
      <w:pPr>
        <w:pStyle w:val="113"/>
        <w:spacing w:line="380" w:lineRule="exact"/>
        <w:ind w:right="170"/>
        <w:rPr>
          <w:rFonts w:hint="eastAsia" w:ascii="宋体" w:hAnsi="宋体"/>
          <w:color w:val="000000"/>
          <w:sz w:val="24"/>
        </w:rPr>
      </w:pPr>
      <w:r>
        <w:rPr>
          <w:rFonts w:hint="eastAsia" w:ascii="宋体" w:hAnsi="宋体"/>
          <w:color w:val="000000"/>
          <w:sz w:val="24"/>
        </w:rPr>
        <w:t xml:space="preserve">     2、本合同为固定单价合同，投标总价</w:t>
      </w:r>
      <w:r>
        <w:rPr>
          <w:rFonts w:hint="eastAsia" w:ascii="宋体" w:hAnsi="宋体"/>
          <w:color w:val="000000"/>
          <w:sz w:val="24"/>
          <w:u w:val="single"/>
        </w:rPr>
        <w:t>已全部考虑了包括所有货物、附件、安装、调试、人力、机械、运输、仓储、各种税费（如遇政策性调整将作同步调整）、劳保、专利技术、质保、技术培训、验收、政策性文件规定及合同包含的所有风险、责任等各项所有费用。</w:t>
      </w:r>
    </w:p>
    <w:p>
      <w:pPr>
        <w:pStyle w:val="113"/>
        <w:spacing w:line="380" w:lineRule="exact"/>
        <w:ind w:left="479" w:leftChars="228" w:right="170"/>
        <w:rPr>
          <w:rFonts w:ascii="宋体" w:hAnsi="宋体"/>
          <w:bCs/>
          <w:color w:val="000000"/>
          <w:sz w:val="24"/>
        </w:rPr>
      </w:pPr>
      <w:r>
        <w:rPr>
          <w:rFonts w:hint="eastAsia" w:ascii="宋体" w:hAnsi="宋体"/>
          <w:bCs/>
          <w:color w:val="000000"/>
          <w:sz w:val="24"/>
        </w:rPr>
        <w:t xml:space="preserve"> 3、付款方式</w:t>
      </w:r>
    </w:p>
    <w:p>
      <w:pPr>
        <w:spacing w:line="360" w:lineRule="auto"/>
        <w:ind w:firstLine="480" w:firstLineChars="200"/>
        <w:rPr>
          <w:rFonts w:hint="eastAsia" w:ascii="宋体" w:hAnsi="宋体"/>
          <w:sz w:val="24"/>
          <w:szCs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w:t>
      </w:r>
      <w:r>
        <w:rPr>
          <w:rFonts w:hint="eastAsia" w:ascii="宋体" w:hAnsi="宋体"/>
          <w:sz w:val="24"/>
          <w:szCs w:val="24"/>
        </w:rPr>
        <w:t>本项目不设预付款,预防性维修保养结束验收合格后开具全额增值税专用发票（税率：13%）三十日内付款至90%，合同期满后，三十日内一次性付清余款。</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（2）付款方式：银行汇票或转帐支票。</w:t>
      </w:r>
    </w:p>
    <w:p>
      <w:pPr>
        <w:pStyle w:val="117"/>
        <w:spacing w:line="360" w:lineRule="auto"/>
        <w:rPr>
          <w:rFonts w:hint="eastAsia" w:ascii="宋体" w:hAnsi="宋体" w:eastAsia="宋体"/>
          <w:b w:val="0"/>
          <w:kern w:val="2"/>
          <w:sz w:val="24"/>
        </w:rPr>
      </w:pPr>
      <w:r>
        <w:rPr>
          <w:rFonts w:hint="eastAsia" w:ascii="宋体" w:hAnsi="宋体" w:eastAsia="宋体"/>
          <w:b w:val="0"/>
          <w:kern w:val="2"/>
          <w:sz w:val="24"/>
        </w:rPr>
        <w:t xml:space="preserve">    （3）履约保证金的退还：履约保证金于合同结束验收合格后的三十个工作日内无息退还。</w:t>
      </w:r>
    </w:p>
    <w:p>
      <w:pPr>
        <w:spacing w:line="500" w:lineRule="exact"/>
        <w:ind w:firstLine="480" w:firstLineChars="200"/>
        <w:rPr>
          <w:rFonts w:ascii="宋体" w:hAnsi="宋体"/>
          <w:bCs/>
          <w:color w:val="000000"/>
          <w:sz w:val="24"/>
          <w:u w:val="single"/>
        </w:rPr>
      </w:pPr>
      <w:r>
        <w:rPr>
          <w:rFonts w:hint="eastAsia" w:ascii="宋体" w:hAnsi="宋体"/>
          <w:sz w:val="24"/>
          <w:szCs w:val="24"/>
        </w:rPr>
        <w:t>（4）</w:t>
      </w:r>
      <w:r>
        <w:rPr>
          <w:rFonts w:hint="eastAsia" w:ascii="宋体" w:hAnsi="宋体"/>
          <w:bCs/>
          <w:color w:val="000000"/>
          <w:sz w:val="24"/>
        </w:rPr>
        <w:t>付款方式：银行转账。</w:t>
      </w:r>
    </w:p>
    <w:p>
      <w:pPr>
        <w:spacing w:line="360" w:lineRule="auto"/>
        <w:ind w:firstLine="480" w:firstLineChars="200"/>
        <w:rPr>
          <w:rFonts w:ascii="宋体"/>
          <w:bCs/>
          <w:sz w:val="24"/>
          <w:szCs w:val="24"/>
        </w:rPr>
      </w:pPr>
      <w:r>
        <w:rPr>
          <w:rFonts w:hint="eastAsia" w:ascii="宋体" w:hAnsi="宋体"/>
          <w:bCs/>
          <w:sz w:val="24"/>
          <w:szCs w:val="24"/>
        </w:rPr>
        <w:t xml:space="preserve"> 三、知识</w:t>
      </w:r>
      <w:r>
        <w:rPr>
          <w:rFonts w:hint="eastAsia" w:ascii="宋体" w:hAnsi="宋体"/>
          <w:bCs/>
          <w:sz w:val="24"/>
        </w:rPr>
        <w:t>产权</w:t>
      </w:r>
    </w:p>
    <w:p>
      <w:pPr>
        <w:tabs>
          <w:tab w:val="left" w:pos="945"/>
        </w:tabs>
        <w:spacing w:line="360" w:lineRule="auto"/>
        <w:ind w:firstLine="480" w:firstLineChars="200"/>
        <w:rPr>
          <w:rFonts w:ascii="宋体"/>
          <w:bCs/>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bCs/>
          <w:sz w:val="24"/>
          <w:szCs w:val="24"/>
        </w:rPr>
      </w:pPr>
      <w:r>
        <w:rPr>
          <w:rFonts w:hint="eastAsia" w:ascii="宋体" w:hAnsi="宋体"/>
          <w:bCs/>
          <w:sz w:val="24"/>
          <w:szCs w:val="24"/>
        </w:rPr>
        <w:t xml:space="preserve"> 四、质量保证</w:t>
      </w:r>
    </w:p>
    <w:p>
      <w:pPr>
        <w:spacing w:line="360" w:lineRule="auto"/>
        <w:ind w:firstLine="480" w:firstLineChars="200"/>
        <w:rPr>
          <w:rFonts w:ascii="宋体"/>
          <w:bCs/>
          <w:sz w:val="24"/>
          <w:szCs w:val="24"/>
        </w:rPr>
      </w:pPr>
      <w:r>
        <w:rPr>
          <w:rFonts w:hint="eastAsia" w:ascii="宋体" w:hAnsi="宋体"/>
          <w:bCs/>
          <w:sz w:val="24"/>
          <w:szCs w:val="24"/>
        </w:rPr>
        <w:t xml:space="preserve"> </w:t>
      </w:r>
      <w:r>
        <w:rPr>
          <w:rFonts w:ascii="宋体" w:hAnsi="宋体"/>
          <w:bCs/>
          <w:sz w:val="24"/>
          <w:szCs w:val="24"/>
        </w:rPr>
        <w:t>1</w:t>
      </w:r>
      <w:r>
        <w:rPr>
          <w:rFonts w:hint="eastAsia" w:ascii="宋体" w:hAnsi="宋体"/>
          <w:bCs/>
          <w:sz w:val="24"/>
          <w:szCs w:val="24"/>
        </w:rPr>
        <w:t>、乙方提供的货物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pPr>
        <w:pStyle w:val="526"/>
        <w:snapToGrid w:val="0"/>
        <w:spacing w:line="400" w:lineRule="exact"/>
        <w:ind w:firstLine="490"/>
        <w:rPr>
          <w:rFonts w:hint="eastAsia" w:ascii="宋体" w:hAnsi="宋体" w:eastAsia="宋体"/>
          <w:b w:val="0"/>
          <w:sz w:val="24"/>
        </w:rPr>
      </w:pPr>
      <w:r>
        <w:rPr>
          <w:rFonts w:hint="eastAsia" w:ascii="宋体" w:hAnsi="宋体" w:eastAsia="宋体"/>
          <w:b w:val="0"/>
          <w:bCs/>
          <w:kern w:val="2"/>
          <w:sz w:val="24"/>
          <w:lang w:val="zh-CN"/>
        </w:rPr>
        <w:t xml:space="preserve"> </w:t>
      </w:r>
      <w:r>
        <w:rPr>
          <w:rFonts w:ascii="宋体" w:hAnsi="宋体" w:eastAsia="宋体"/>
          <w:b w:val="0"/>
          <w:bCs/>
          <w:kern w:val="2"/>
          <w:sz w:val="24"/>
          <w:lang w:val="zh-CN"/>
        </w:rPr>
        <w:t>2</w:t>
      </w:r>
      <w:r>
        <w:rPr>
          <w:rFonts w:hint="eastAsia" w:ascii="宋体" w:hAnsi="宋体" w:eastAsia="宋体"/>
          <w:b w:val="0"/>
          <w:bCs/>
          <w:kern w:val="2"/>
          <w:sz w:val="24"/>
          <w:lang w:val="zh-CN"/>
        </w:rPr>
        <w:t>、</w:t>
      </w:r>
      <w:r>
        <w:rPr>
          <w:rFonts w:hint="eastAsia" w:ascii="宋体" w:hAnsi="宋体" w:eastAsia="宋体"/>
          <w:b w:val="0"/>
          <w:sz w:val="24"/>
        </w:rPr>
        <w:t>供货过程中，采购人将会自行对采购产品制作材料随机抽样检测，匿名送省级以上质量监督检验机构按合同约定技术标准要求进行质量检测，以此作为判定合同货物质量是否合格的最终依据。采购产品一旦抽检不合格或不符合报价承诺要求，按违约处理，采购人有权终止合同，同时对供应商处以扣除履约保证金的违约处罚，并报相关网站公示。</w:t>
      </w:r>
    </w:p>
    <w:p>
      <w:pPr>
        <w:tabs>
          <w:tab w:val="left" w:pos="945"/>
        </w:tabs>
        <w:spacing w:line="360" w:lineRule="auto"/>
        <w:rPr>
          <w:rFonts w:ascii="宋体"/>
          <w:b/>
          <w:bCs/>
          <w:sz w:val="24"/>
          <w:szCs w:val="24"/>
          <w:highlight w:val="yellow"/>
        </w:rPr>
      </w:pPr>
      <w:r>
        <w:rPr>
          <w:rFonts w:hint="eastAsia" w:ascii="宋体" w:hAnsi="宋体"/>
          <w:bCs/>
          <w:sz w:val="24"/>
          <w:szCs w:val="24"/>
          <w:lang w:val="zh-CN"/>
        </w:rPr>
        <w:t xml:space="preserve">     </w:t>
      </w:r>
      <w:r>
        <w:rPr>
          <w:rFonts w:ascii="宋体" w:hAnsi="宋体"/>
          <w:bCs/>
          <w:sz w:val="24"/>
          <w:szCs w:val="24"/>
          <w:lang w:val="zh-CN"/>
        </w:rPr>
        <w:t>3</w:t>
      </w:r>
      <w:r>
        <w:rPr>
          <w:rFonts w:hint="eastAsia" w:ascii="宋体" w:hAnsi="宋体"/>
          <w:bCs/>
          <w:sz w:val="24"/>
          <w:szCs w:val="24"/>
          <w:lang w:val="zh-CN"/>
        </w:rPr>
        <w:t>、甲方在签订合同后发现乙方存在弄虚作假等行为，则由乙方支付赔偿违约金，并在</w:t>
      </w:r>
      <w:r>
        <w:rPr>
          <w:rFonts w:ascii="宋体" w:hAnsi="宋体"/>
          <w:bCs/>
          <w:sz w:val="24"/>
          <w:szCs w:val="24"/>
          <w:lang w:val="zh-CN"/>
        </w:rPr>
        <w:t>3</w:t>
      </w:r>
      <w:r>
        <w:rPr>
          <w:rFonts w:hint="eastAsia" w:ascii="宋体" w:hAnsi="宋体"/>
          <w:bCs/>
          <w:sz w:val="24"/>
          <w:szCs w:val="24"/>
          <w:lang w:val="zh-CN"/>
        </w:rPr>
        <w:t>年内不得参与甲方组织的招投标活动。情节严重的，甲方有权终止合同，并在媒体发布公告平台上公布其行为。</w:t>
      </w:r>
    </w:p>
    <w:p>
      <w:pPr>
        <w:spacing w:line="360" w:lineRule="auto"/>
        <w:ind w:firstLine="480" w:firstLineChars="200"/>
        <w:rPr>
          <w:rFonts w:ascii="宋体"/>
          <w:bCs/>
          <w:sz w:val="24"/>
          <w:szCs w:val="24"/>
        </w:rPr>
      </w:pPr>
      <w:r>
        <w:rPr>
          <w:rFonts w:hint="eastAsia" w:ascii="宋体" w:hAnsi="宋体"/>
          <w:bCs/>
          <w:sz w:val="24"/>
          <w:szCs w:val="24"/>
        </w:rPr>
        <w:t>五、交货和验收</w:t>
      </w:r>
    </w:p>
    <w:p>
      <w:pPr>
        <w:tabs>
          <w:tab w:val="left" w:pos="945"/>
        </w:tabs>
        <w:spacing w:line="360" w:lineRule="auto"/>
        <w:ind w:firstLine="398" w:firstLineChars="166"/>
        <w:rPr>
          <w:rFonts w:hint="eastAsia" w:ascii="宋体" w:hAnsi="宋体"/>
          <w:sz w:val="24"/>
          <w:szCs w:val="24"/>
        </w:rPr>
      </w:pPr>
      <w:r>
        <w:rPr>
          <w:rFonts w:hint="eastAsia" w:ascii="宋体" w:hAnsi="宋体"/>
          <w:bCs/>
          <w:sz w:val="24"/>
          <w:szCs w:val="24"/>
          <w:lang w:val="zh-CN"/>
        </w:rPr>
        <w:t xml:space="preserve"> </w:t>
      </w:r>
      <w:r>
        <w:rPr>
          <w:rFonts w:ascii="宋体" w:hAnsi="宋体"/>
          <w:bCs/>
          <w:sz w:val="24"/>
          <w:szCs w:val="24"/>
          <w:lang w:val="zh-CN"/>
        </w:rPr>
        <w:t>1</w:t>
      </w:r>
      <w:r>
        <w:rPr>
          <w:rFonts w:hint="eastAsia" w:ascii="宋体" w:hAnsi="宋体"/>
          <w:bCs/>
          <w:sz w:val="24"/>
          <w:szCs w:val="24"/>
          <w:lang w:val="zh-CN"/>
        </w:rPr>
        <w:t>、交货日期：</w:t>
      </w:r>
      <w:r>
        <w:rPr>
          <w:rFonts w:hint="eastAsia" w:ascii="宋体" w:hAnsi="宋体"/>
          <w:sz w:val="24"/>
          <w:szCs w:val="24"/>
        </w:rPr>
        <w:t>合同签订后两个月内按照要求完成阀门的年度预防性维护保养和检修服务；中标方在接到甲方应急维修通知后，必须在3小时内到达现场并实施维修，否则作为违约处理。</w:t>
      </w:r>
    </w:p>
    <w:p>
      <w:pPr>
        <w:tabs>
          <w:tab w:val="left" w:pos="945"/>
        </w:tabs>
        <w:spacing w:line="360" w:lineRule="auto"/>
        <w:ind w:firstLine="398" w:firstLineChars="166"/>
        <w:rPr>
          <w:rFonts w:ascii="宋体"/>
          <w:bCs/>
          <w:sz w:val="24"/>
          <w:szCs w:val="24"/>
          <w:lang w:val="zh-CN"/>
        </w:rPr>
      </w:pPr>
      <w:r>
        <w:rPr>
          <w:rFonts w:hint="eastAsia" w:ascii="宋体" w:hAnsi="宋体"/>
          <w:sz w:val="24"/>
          <w:szCs w:val="24"/>
        </w:rPr>
        <w:t xml:space="preserve"> 2</w:t>
      </w:r>
      <w:r>
        <w:rPr>
          <w:rFonts w:hint="eastAsia" w:ascii="宋体" w:hAnsi="宋体"/>
          <w:bCs/>
          <w:sz w:val="24"/>
          <w:szCs w:val="24"/>
          <w:lang w:val="zh-CN"/>
        </w:rPr>
        <w:t>、运输及到货地点：由乙方负责办理运输，并承担费用直接送到甲方指定地点，到货后的卸货力资、机械租赁等费用由乙方负责。</w:t>
      </w:r>
    </w:p>
    <w:p>
      <w:pPr>
        <w:tabs>
          <w:tab w:val="left" w:pos="945"/>
        </w:tabs>
        <w:spacing w:line="360" w:lineRule="auto"/>
        <w:ind w:firstLine="398" w:firstLineChars="166"/>
        <w:rPr>
          <w:rFonts w:ascii="宋体"/>
          <w:bCs/>
          <w:sz w:val="24"/>
          <w:szCs w:val="24"/>
          <w:lang w:val="zh-CN"/>
        </w:rPr>
      </w:pPr>
      <w:r>
        <w:rPr>
          <w:rFonts w:hint="eastAsia" w:ascii="宋体" w:hAnsi="宋体"/>
          <w:bCs/>
          <w:sz w:val="24"/>
          <w:szCs w:val="24"/>
        </w:rPr>
        <w:t xml:space="preserve"> </w:t>
      </w:r>
      <w:r>
        <w:rPr>
          <w:rFonts w:ascii="宋体" w:hAnsi="宋体"/>
          <w:bCs/>
          <w:sz w:val="24"/>
          <w:szCs w:val="24"/>
        </w:rPr>
        <w:t>3</w:t>
      </w:r>
      <w:r>
        <w:rPr>
          <w:rFonts w:hint="eastAsia" w:ascii="宋体" w:hAnsi="宋体"/>
          <w:bCs/>
          <w:sz w:val="24"/>
          <w:szCs w:val="24"/>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pPr>
        <w:tabs>
          <w:tab w:val="left" w:pos="945"/>
        </w:tabs>
        <w:spacing w:line="360" w:lineRule="auto"/>
        <w:ind w:firstLine="398" w:firstLineChars="166"/>
        <w:rPr>
          <w:rFonts w:ascii="宋体"/>
          <w:bCs/>
          <w:sz w:val="24"/>
          <w:szCs w:val="24"/>
        </w:rPr>
      </w:pPr>
      <w:r>
        <w:rPr>
          <w:rFonts w:hint="eastAsia" w:ascii="宋体" w:hAnsi="宋体"/>
          <w:bCs/>
          <w:sz w:val="24"/>
          <w:szCs w:val="24"/>
        </w:rPr>
        <w:t xml:space="preserve"> </w:t>
      </w:r>
      <w:r>
        <w:rPr>
          <w:rFonts w:ascii="宋体" w:hAnsi="宋体"/>
          <w:bCs/>
          <w:sz w:val="24"/>
          <w:szCs w:val="24"/>
        </w:rPr>
        <w:t>4</w:t>
      </w:r>
      <w:r>
        <w:rPr>
          <w:rFonts w:hint="eastAsia" w:ascii="宋体" w:hAnsi="宋体"/>
          <w:bCs/>
          <w:sz w:val="24"/>
          <w:szCs w:val="24"/>
        </w:rPr>
        <w:t>、货到甲方指定地址后，由于甲方保管不善造成的质量问题，乙方应负责修理，但有关费用甲方承担。</w:t>
      </w:r>
    </w:p>
    <w:p>
      <w:pPr>
        <w:tabs>
          <w:tab w:val="left" w:pos="945"/>
        </w:tabs>
        <w:spacing w:line="360" w:lineRule="auto"/>
        <w:ind w:firstLine="398" w:firstLineChars="166"/>
        <w:rPr>
          <w:rFonts w:ascii="宋体"/>
          <w:bCs/>
          <w:sz w:val="24"/>
          <w:szCs w:val="24"/>
          <w:lang w:val="zh-CN"/>
        </w:rPr>
      </w:pPr>
      <w:r>
        <w:rPr>
          <w:rFonts w:hint="eastAsia" w:ascii="宋体" w:hAnsi="宋体"/>
          <w:bCs/>
          <w:sz w:val="24"/>
          <w:szCs w:val="24"/>
        </w:rPr>
        <w:t xml:space="preserve"> </w:t>
      </w:r>
      <w:r>
        <w:rPr>
          <w:rFonts w:ascii="宋体" w:hAnsi="宋体"/>
          <w:bCs/>
          <w:sz w:val="24"/>
          <w:szCs w:val="24"/>
          <w:lang w:val="zh-CN"/>
        </w:rPr>
        <w:t>5</w:t>
      </w:r>
      <w:r>
        <w:rPr>
          <w:rFonts w:hint="eastAsia" w:ascii="宋体" w:hAnsi="宋体"/>
          <w:bCs/>
          <w:sz w:val="24"/>
          <w:szCs w:val="24"/>
          <w:lang w:val="zh-CN"/>
        </w:rPr>
        <w:t>、货物的到货验收包括：数量、外观、质量、性能、随机材料及配件、装箱单、质量检验合格证书、原厂保修卡、用户手册等随机资料及包装完整无破损，</w:t>
      </w:r>
      <w:r>
        <w:rPr>
          <w:rFonts w:hint="eastAsia" w:ascii="宋体" w:hAnsi="宋体"/>
          <w:sz w:val="24"/>
          <w:szCs w:val="24"/>
        </w:rPr>
        <w:t>若发现任何损坏及质量问题，中标单位应负责更换设备零件，并妥善处理直至采购人满意。此工作所发生费用由中标单位自行承担。</w:t>
      </w:r>
    </w:p>
    <w:p>
      <w:pPr>
        <w:tabs>
          <w:tab w:val="left" w:pos="945"/>
        </w:tabs>
        <w:spacing w:line="360" w:lineRule="auto"/>
        <w:ind w:firstLine="398" w:firstLineChars="166"/>
        <w:rPr>
          <w:rFonts w:ascii="宋体"/>
          <w:bCs/>
          <w:sz w:val="24"/>
          <w:szCs w:val="24"/>
        </w:rPr>
      </w:pPr>
      <w:r>
        <w:rPr>
          <w:rFonts w:hint="eastAsia" w:ascii="宋体" w:hAnsi="宋体"/>
          <w:bCs/>
          <w:sz w:val="24"/>
          <w:szCs w:val="24"/>
        </w:rPr>
        <w:t xml:space="preserve"> </w:t>
      </w:r>
      <w:r>
        <w:rPr>
          <w:rFonts w:ascii="宋体" w:hAnsi="宋体"/>
          <w:bCs/>
          <w:sz w:val="24"/>
          <w:szCs w:val="24"/>
        </w:rPr>
        <w:t>6</w:t>
      </w:r>
      <w:r>
        <w:rPr>
          <w:rFonts w:hint="eastAsia" w:ascii="宋体" w:hAnsi="宋体"/>
          <w:bCs/>
          <w:sz w:val="24"/>
          <w:szCs w:val="24"/>
        </w:rPr>
        <w:t>、货物和系统调试验收标准：按行业通行标准、厂方出厂标准、招标文件要求和乙方投标文件的承诺，并不低于</w:t>
      </w:r>
      <w:r>
        <w:rPr>
          <w:rFonts w:hint="eastAsia" w:ascii="宋体" w:hAnsi="宋体"/>
          <w:bCs/>
          <w:sz w:val="24"/>
          <w:szCs w:val="24"/>
          <w:lang w:val="zh-CN"/>
        </w:rPr>
        <w:t>国家有关部门最新颁布的标准及规范</w:t>
      </w:r>
      <w:r>
        <w:rPr>
          <w:rFonts w:hint="eastAsia" w:ascii="宋体" w:hAnsi="宋体"/>
          <w:bCs/>
          <w:sz w:val="24"/>
          <w:szCs w:val="24"/>
        </w:rPr>
        <w:t>。</w:t>
      </w:r>
    </w:p>
    <w:p>
      <w:pPr>
        <w:tabs>
          <w:tab w:val="left" w:pos="945"/>
        </w:tabs>
        <w:spacing w:line="360" w:lineRule="auto"/>
        <w:ind w:firstLine="398" w:firstLineChars="166"/>
        <w:rPr>
          <w:rFonts w:ascii="宋体"/>
          <w:bCs/>
          <w:sz w:val="24"/>
          <w:szCs w:val="24"/>
        </w:rPr>
      </w:pPr>
      <w:r>
        <w:rPr>
          <w:rFonts w:hint="eastAsia" w:ascii="宋体" w:hAnsi="宋体"/>
          <w:bCs/>
          <w:sz w:val="24"/>
          <w:szCs w:val="24"/>
        </w:rPr>
        <w:t xml:space="preserve"> </w:t>
      </w:r>
      <w:r>
        <w:rPr>
          <w:rFonts w:ascii="宋体" w:hAnsi="宋体"/>
          <w:bCs/>
          <w:sz w:val="24"/>
          <w:szCs w:val="24"/>
        </w:rPr>
        <w:t>7</w:t>
      </w:r>
      <w:r>
        <w:rPr>
          <w:rFonts w:hint="eastAsia" w:ascii="宋体" w:hAnsi="宋体"/>
          <w:bCs/>
          <w:sz w:val="24"/>
          <w:szCs w:val="24"/>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bCs/>
          <w:sz w:val="24"/>
          <w:szCs w:val="24"/>
        </w:rPr>
      </w:pPr>
      <w:r>
        <w:rPr>
          <w:rFonts w:hint="eastAsia" w:ascii="宋体" w:hAnsi="宋体"/>
          <w:bCs/>
          <w:sz w:val="24"/>
          <w:szCs w:val="24"/>
        </w:rPr>
        <w:t>六、安装调试及售后服务：</w:t>
      </w:r>
    </w:p>
    <w:p>
      <w:pPr>
        <w:spacing w:line="360" w:lineRule="auto"/>
        <w:ind w:firstLine="398" w:firstLineChars="166"/>
        <w:rPr>
          <w:rFonts w:ascii="宋体"/>
          <w:bCs/>
          <w:sz w:val="24"/>
        </w:rPr>
      </w:pPr>
      <w:r>
        <w:rPr>
          <w:rFonts w:hint="eastAsia" w:ascii="宋体" w:hAnsi="宋体"/>
          <w:bCs/>
          <w:sz w:val="24"/>
        </w:rPr>
        <w:t xml:space="preserve"> </w:t>
      </w:r>
      <w:r>
        <w:rPr>
          <w:rFonts w:ascii="宋体" w:hAnsi="宋体"/>
          <w:bCs/>
          <w:sz w:val="24"/>
        </w:rPr>
        <w:t>1</w:t>
      </w:r>
      <w:r>
        <w:rPr>
          <w:rFonts w:hint="eastAsia" w:ascii="宋体" w:hAnsi="宋体"/>
          <w:bCs/>
          <w:sz w:val="24"/>
        </w:rPr>
        <w:t>、乙方负责本次设备的维护和调试，并照国家有关法律法规规章和“三包”规定以及按招标文件要求和乙方投标文件中的承诺提供服务。</w:t>
      </w:r>
    </w:p>
    <w:p>
      <w:pPr>
        <w:spacing w:line="360" w:lineRule="auto"/>
        <w:ind w:firstLine="398" w:firstLineChars="166"/>
        <w:rPr>
          <w:rFonts w:ascii="宋体"/>
          <w:bCs/>
          <w:sz w:val="24"/>
          <w:lang w:val="zh-CN"/>
        </w:rPr>
      </w:pPr>
      <w:r>
        <w:rPr>
          <w:rFonts w:hint="eastAsia" w:ascii="宋体" w:hAnsi="宋体"/>
          <w:bCs/>
          <w:sz w:val="24"/>
        </w:rPr>
        <w:t xml:space="preserve"> </w:t>
      </w:r>
      <w:r>
        <w:rPr>
          <w:rFonts w:ascii="宋体" w:hAnsi="宋体"/>
          <w:bCs/>
          <w:sz w:val="24"/>
          <w:lang w:val="zh-CN"/>
        </w:rPr>
        <w:t>2</w:t>
      </w:r>
      <w:r>
        <w:rPr>
          <w:rFonts w:hint="eastAsia" w:ascii="宋体" w:hAnsi="宋体"/>
          <w:bCs/>
          <w:sz w:val="24"/>
          <w:lang w:val="zh-CN"/>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spacing w:line="360" w:lineRule="auto"/>
        <w:ind w:firstLine="398" w:firstLineChars="166"/>
        <w:rPr>
          <w:rFonts w:ascii="宋体"/>
          <w:bCs/>
          <w:sz w:val="24"/>
          <w:lang w:val="zh-CN"/>
        </w:rPr>
      </w:pPr>
      <w:r>
        <w:rPr>
          <w:rFonts w:hint="eastAsia" w:ascii="宋体" w:hAnsi="宋体"/>
          <w:bCs/>
          <w:sz w:val="24"/>
          <w:lang w:val="zh-CN"/>
        </w:rPr>
        <w:t xml:space="preserve"> </w:t>
      </w:r>
      <w:r>
        <w:rPr>
          <w:rFonts w:ascii="宋体" w:hAnsi="宋体"/>
          <w:bCs/>
          <w:sz w:val="24"/>
          <w:lang w:val="zh-CN"/>
        </w:rPr>
        <w:t>3</w:t>
      </w:r>
      <w:r>
        <w:rPr>
          <w:rFonts w:hint="eastAsia" w:ascii="宋体" w:hAnsi="宋体"/>
          <w:bCs/>
          <w:sz w:val="24"/>
          <w:lang w:val="zh-CN"/>
        </w:rPr>
        <w:t>、保修期内，乙方负责对其提供的货物整机进行维修和系统维护，不再收取任何费用，但不可抗力（如火灾、雷击等）造成的故障除外。</w:t>
      </w:r>
    </w:p>
    <w:p>
      <w:pPr>
        <w:spacing w:line="360" w:lineRule="auto"/>
        <w:ind w:firstLine="398" w:firstLineChars="166"/>
        <w:rPr>
          <w:rFonts w:ascii="宋体"/>
          <w:bCs/>
          <w:sz w:val="24"/>
          <w:lang w:val="zh-CN"/>
        </w:rPr>
      </w:pPr>
      <w:r>
        <w:rPr>
          <w:rFonts w:hint="eastAsia" w:ascii="宋体" w:hAnsi="宋体"/>
          <w:bCs/>
          <w:sz w:val="24"/>
          <w:lang w:val="zh-CN"/>
        </w:rPr>
        <w:t xml:space="preserve"> </w:t>
      </w:r>
      <w:r>
        <w:rPr>
          <w:rFonts w:ascii="宋体" w:hAnsi="宋体"/>
          <w:bCs/>
          <w:sz w:val="24"/>
          <w:lang w:val="zh-CN"/>
        </w:rPr>
        <w:t>4</w:t>
      </w:r>
      <w:r>
        <w:rPr>
          <w:rFonts w:hint="eastAsia" w:ascii="宋体" w:hAnsi="宋体"/>
          <w:bCs/>
          <w:sz w:val="24"/>
          <w:lang w:val="zh-CN"/>
        </w:rPr>
        <w:t>、所有货物保修服务方式均为乙方上门保修，即由乙方派员到货物使用现场维修，由此产生的一切费用均由乙方承担。</w:t>
      </w:r>
    </w:p>
    <w:p>
      <w:pPr>
        <w:spacing w:line="360" w:lineRule="auto"/>
        <w:rPr>
          <w:rFonts w:ascii="宋体"/>
          <w:bCs/>
          <w:sz w:val="24"/>
        </w:rPr>
      </w:pPr>
      <w:r>
        <w:rPr>
          <w:rFonts w:ascii="宋体" w:hAnsi="宋体"/>
          <w:bCs/>
          <w:sz w:val="24"/>
        </w:rPr>
        <w:t xml:space="preserve">   </w:t>
      </w:r>
      <w:r>
        <w:rPr>
          <w:rFonts w:hint="eastAsia" w:ascii="宋体" w:hAnsi="宋体"/>
          <w:bCs/>
          <w:sz w:val="24"/>
        </w:rPr>
        <w:t xml:space="preserve"> </w:t>
      </w:r>
      <w:r>
        <w:rPr>
          <w:rFonts w:ascii="宋体" w:hAnsi="宋体"/>
          <w:bCs/>
          <w:sz w:val="24"/>
        </w:rPr>
        <w:t xml:space="preserve"> 5</w:t>
      </w:r>
      <w:r>
        <w:rPr>
          <w:rFonts w:hint="eastAsia" w:ascii="宋体" w:hAnsi="宋体"/>
          <w:bCs/>
          <w:sz w:val="24"/>
        </w:rPr>
        <w:t>、甲方应向乙方现场调试技术人员及维修人员提乙方便条件，有关费用由乙方负责。</w:t>
      </w:r>
    </w:p>
    <w:p>
      <w:pPr>
        <w:spacing w:line="360" w:lineRule="auto"/>
        <w:ind w:left="400"/>
        <w:rPr>
          <w:rFonts w:ascii="宋体"/>
          <w:bCs/>
          <w:sz w:val="24"/>
        </w:rPr>
      </w:pPr>
      <w:r>
        <w:rPr>
          <w:rFonts w:hint="eastAsia" w:ascii="宋体" w:hAnsi="宋体"/>
          <w:bCs/>
          <w:sz w:val="24"/>
        </w:rPr>
        <w:t xml:space="preserve"> </w:t>
      </w:r>
      <w:r>
        <w:rPr>
          <w:rFonts w:ascii="宋体" w:hAnsi="宋体"/>
          <w:bCs/>
          <w:sz w:val="24"/>
        </w:rPr>
        <w:t>6</w:t>
      </w:r>
      <w:r>
        <w:rPr>
          <w:rFonts w:hint="eastAsia" w:ascii="宋体" w:hAnsi="宋体"/>
          <w:bCs/>
          <w:sz w:val="24"/>
        </w:rPr>
        <w:t>、甲方如邀请乙方提供非质量问题的其它技术服务，其费用另定。</w:t>
      </w:r>
    </w:p>
    <w:p>
      <w:pPr>
        <w:spacing w:line="360" w:lineRule="auto"/>
        <w:ind w:left="400"/>
        <w:rPr>
          <w:rFonts w:ascii="宋体"/>
          <w:bCs/>
          <w:sz w:val="24"/>
          <w:lang w:val="zh-CN"/>
        </w:rPr>
      </w:pPr>
      <w:r>
        <w:rPr>
          <w:rFonts w:hint="eastAsia" w:ascii="宋体" w:hAnsi="宋体"/>
          <w:bCs/>
          <w:sz w:val="24"/>
          <w:lang w:val="zh-CN"/>
        </w:rPr>
        <w:t xml:space="preserve"> </w:t>
      </w:r>
      <w:r>
        <w:rPr>
          <w:rFonts w:ascii="宋体" w:hAnsi="宋体"/>
          <w:bCs/>
          <w:sz w:val="24"/>
          <w:lang w:val="zh-CN"/>
        </w:rPr>
        <w:t>7</w:t>
      </w:r>
      <w:r>
        <w:rPr>
          <w:rFonts w:hint="eastAsia" w:ascii="宋体" w:hAnsi="宋体"/>
          <w:bCs/>
          <w:sz w:val="24"/>
          <w:lang w:val="zh-CN"/>
        </w:rPr>
        <w:t>、保修期后的货物维护由双方协商再定。</w:t>
      </w:r>
    </w:p>
    <w:p>
      <w:pPr>
        <w:spacing w:line="360" w:lineRule="auto"/>
        <w:ind w:firstLine="480" w:firstLineChars="200"/>
        <w:rPr>
          <w:rFonts w:ascii="宋体"/>
          <w:bCs/>
          <w:sz w:val="24"/>
          <w:szCs w:val="24"/>
        </w:rPr>
      </w:pPr>
      <w:r>
        <w:rPr>
          <w:rFonts w:hint="eastAsia" w:ascii="宋体" w:hAnsi="宋体"/>
          <w:bCs/>
          <w:sz w:val="24"/>
          <w:szCs w:val="24"/>
        </w:rPr>
        <w:t>七、违约责任：</w:t>
      </w:r>
    </w:p>
    <w:p>
      <w:pPr>
        <w:pStyle w:val="526"/>
        <w:snapToGrid w:val="0"/>
        <w:spacing w:line="400" w:lineRule="exact"/>
        <w:ind w:firstLine="490"/>
        <w:rPr>
          <w:rFonts w:hint="eastAsia" w:ascii="宋体" w:hAnsi="宋体" w:eastAsia="宋体"/>
          <w:b w:val="0"/>
          <w:sz w:val="24"/>
        </w:rPr>
      </w:pPr>
      <w:r>
        <w:rPr>
          <w:rFonts w:hint="eastAsia" w:ascii="宋体" w:hAnsi="宋体" w:eastAsia="宋体"/>
          <w:b w:val="0"/>
          <w:sz w:val="24"/>
        </w:rPr>
        <w:t>1、如供货商逾期交货，除不可抗力外，成交供应商向采购人就逾期交货部分支付违约金，具体支付比例如下：</w:t>
      </w:r>
    </w:p>
    <w:p>
      <w:pPr>
        <w:pStyle w:val="526"/>
        <w:snapToGrid w:val="0"/>
        <w:spacing w:line="400" w:lineRule="exact"/>
        <w:ind w:firstLine="490"/>
        <w:rPr>
          <w:rFonts w:hint="eastAsia" w:ascii="宋体" w:hAnsi="宋体" w:eastAsia="宋体"/>
          <w:b w:val="0"/>
          <w:sz w:val="24"/>
        </w:rPr>
      </w:pPr>
      <w:r>
        <w:rPr>
          <w:rFonts w:hint="eastAsia" w:ascii="宋体" w:hAnsi="宋体" w:eastAsia="宋体"/>
          <w:b w:val="0"/>
          <w:sz w:val="24"/>
        </w:rPr>
        <w:t>迟交1～3天，每天违约金金额为逾期交货部分总价款的千分之三；</w:t>
      </w:r>
    </w:p>
    <w:p>
      <w:pPr>
        <w:pStyle w:val="526"/>
        <w:snapToGrid w:val="0"/>
        <w:spacing w:line="400" w:lineRule="exact"/>
        <w:ind w:firstLine="490"/>
        <w:rPr>
          <w:rFonts w:hint="eastAsia" w:ascii="宋体" w:hAnsi="宋体" w:eastAsia="宋体"/>
          <w:b w:val="0"/>
          <w:sz w:val="24"/>
        </w:rPr>
      </w:pPr>
      <w:r>
        <w:rPr>
          <w:rFonts w:hint="eastAsia" w:ascii="宋体" w:hAnsi="宋体" w:eastAsia="宋体"/>
          <w:b w:val="0"/>
          <w:sz w:val="24"/>
        </w:rPr>
        <w:t>迟交3～7天，每天违约金金额为逾期交货部分总价款的千分之五；</w:t>
      </w:r>
    </w:p>
    <w:p>
      <w:pPr>
        <w:pStyle w:val="526"/>
        <w:snapToGrid w:val="0"/>
        <w:spacing w:line="400" w:lineRule="exact"/>
        <w:ind w:firstLine="490"/>
        <w:rPr>
          <w:rFonts w:hint="eastAsia" w:ascii="宋体" w:hAnsi="宋体" w:eastAsia="宋体"/>
          <w:b w:val="0"/>
          <w:sz w:val="24"/>
        </w:rPr>
      </w:pPr>
      <w:r>
        <w:rPr>
          <w:rFonts w:hint="eastAsia" w:ascii="宋体" w:hAnsi="宋体" w:eastAsia="宋体"/>
          <w:b w:val="0"/>
          <w:sz w:val="24"/>
        </w:rPr>
        <w:t xml:space="preserve">迟交7～15天，每天违约金金额为逾期交货部分总价款的千分之八，如因此严重延误施工工期的，则视为成交供应商不履行合同。 </w:t>
      </w:r>
    </w:p>
    <w:p>
      <w:pPr>
        <w:pStyle w:val="526"/>
        <w:snapToGrid w:val="0"/>
        <w:spacing w:line="400" w:lineRule="exact"/>
        <w:ind w:firstLine="490"/>
        <w:rPr>
          <w:rFonts w:ascii="宋体" w:hAnsi="宋体" w:eastAsia="宋体"/>
          <w:b w:val="0"/>
          <w:sz w:val="24"/>
        </w:rPr>
      </w:pPr>
      <w:r>
        <w:rPr>
          <w:rFonts w:hint="eastAsia" w:ascii="宋体" w:hAnsi="宋体" w:eastAsia="宋体"/>
          <w:b w:val="0"/>
          <w:sz w:val="24"/>
        </w:rPr>
        <w:t>成交供应商逾期交货超过15天以上的视为供应商不履行合同。采购人有权随时解除合同，成交供应商支付迟交违约金，并扣除相应的履约保证金。</w:t>
      </w:r>
    </w:p>
    <w:p>
      <w:pPr>
        <w:spacing w:line="360" w:lineRule="auto"/>
        <w:ind w:firstLine="398" w:firstLineChars="166"/>
        <w:rPr>
          <w:rFonts w:ascii="宋体" w:hAnsi="宋体"/>
          <w:bCs/>
          <w:sz w:val="24"/>
          <w:lang w:val="zh-CN"/>
        </w:rPr>
      </w:pPr>
      <w:r>
        <w:rPr>
          <w:rFonts w:hint="eastAsia" w:ascii="宋体" w:hAnsi="宋体"/>
          <w:bCs/>
          <w:sz w:val="24"/>
        </w:rPr>
        <w:t xml:space="preserve"> 2</w:t>
      </w:r>
      <w:r>
        <w:rPr>
          <w:rFonts w:hint="eastAsia" w:ascii="宋体" w:hAnsi="宋体"/>
          <w:bCs/>
          <w:sz w:val="24"/>
          <w:lang w:val="zh-CN"/>
        </w:rPr>
        <w:t>、乙方如不能按合同约定按时提供调试和售后服务，则应承担甲方因此支出的费用并按合同总价款的</w:t>
      </w:r>
      <w:r>
        <w:rPr>
          <w:rFonts w:ascii="宋体" w:hAnsi="宋体"/>
          <w:bCs/>
          <w:sz w:val="24"/>
          <w:lang w:val="zh-CN"/>
        </w:rPr>
        <w:t>2%</w:t>
      </w:r>
      <w:r>
        <w:rPr>
          <w:rFonts w:hint="eastAsia" w:ascii="宋体" w:hAnsi="宋体"/>
          <w:bCs/>
          <w:sz w:val="24"/>
          <w:lang w:val="zh-CN"/>
        </w:rPr>
        <w:t>向甲方支付违约金。</w:t>
      </w:r>
    </w:p>
    <w:p>
      <w:pPr>
        <w:spacing w:line="360" w:lineRule="auto"/>
        <w:ind w:firstLine="398" w:firstLineChars="166"/>
        <w:rPr>
          <w:rFonts w:ascii="宋体"/>
          <w:bCs/>
          <w:sz w:val="24"/>
          <w:lang w:val="zh-CN"/>
        </w:rPr>
      </w:pPr>
      <w:r>
        <w:rPr>
          <w:rFonts w:hint="eastAsia" w:ascii="宋体" w:hAnsi="宋体"/>
          <w:bCs/>
          <w:sz w:val="24"/>
        </w:rPr>
        <w:t xml:space="preserve"> 3</w:t>
      </w:r>
      <w:r>
        <w:rPr>
          <w:rFonts w:hint="eastAsia" w:ascii="宋体" w:hAnsi="宋体"/>
          <w:bCs/>
          <w:sz w:val="24"/>
          <w:lang w:val="zh-CN"/>
        </w:rPr>
        <w:t>、乙方不履行合同或履行合同不符合约定的，甲方报相关监管部门同意后，有权随时解除合同，并扣除履约保证金。如果甲方因此造成的实际损失超过约定的违约金，则乙方的赔偿额应以甲方的实际损失为准。</w:t>
      </w:r>
    </w:p>
    <w:p>
      <w:pPr>
        <w:spacing w:line="360" w:lineRule="auto"/>
        <w:ind w:firstLine="398" w:firstLineChars="166"/>
        <w:rPr>
          <w:rFonts w:ascii="宋体"/>
          <w:bCs/>
          <w:sz w:val="24"/>
          <w:lang w:val="zh-CN"/>
        </w:rPr>
      </w:pPr>
      <w:r>
        <w:rPr>
          <w:rFonts w:hint="eastAsia" w:ascii="宋体" w:hAnsi="宋体"/>
          <w:bCs/>
          <w:sz w:val="24"/>
        </w:rPr>
        <w:t xml:space="preserve"> 4</w:t>
      </w:r>
      <w:r>
        <w:rPr>
          <w:rFonts w:hint="eastAsia" w:ascii="宋体" w:hAnsi="宋体"/>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bCs/>
          <w:sz w:val="24"/>
          <w:lang w:val="zh-CN"/>
        </w:rPr>
        <w:t>20%</w:t>
      </w:r>
      <w:r>
        <w:rPr>
          <w:rFonts w:hint="eastAsia" w:ascii="宋体" w:hAnsi="宋体"/>
          <w:bCs/>
          <w:sz w:val="24"/>
          <w:lang w:val="zh-CN"/>
        </w:rPr>
        <w:t>向甲方支付违约金，如给甲方造成其他损失的，乙方还应负责赔偿。</w:t>
      </w:r>
    </w:p>
    <w:p>
      <w:pPr>
        <w:spacing w:line="360" w:lineRule="auto"/>
        <w:ind w:firstLine="398" w:firstLineChars="166"/>
        <w:rPr>
          <w:rFonts w:ascii="宋体"/>
          <w:bCs/>
          <w:sz w:val="24"/>
          <w:lang w:val="zh-CN"/>
        </w:rPr>
      </w:pPr>
      <w:r>
        <w:rPr>
          <w:rFonts w:hint="eastAsia" w:ascii="宋体" w:hAnsi="宋体"/>
          <w:bCs/>
          <w:sz w:val="24"/>
        </w:rPr>
        <w:t xml:space="preserve"> 5</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398" w:firstLineChars="166"/>
        <w:rPr>
          <w:rFonts w:ascii="宋体"/>
          <w:bCs/>
          <w:sz w:val="24"/>
          <w:lang w:val="zh-CN"/>
        </w:rPr>
      </w:pPr>
      <w:r>
        <w:rPr>
          <w:rFonts w:hint="eastAsia" w:ascii="宋体" w:hAnsi="宋体"/>
          <w:bCs/>
          <w:sz w:val="24"/>
        </w:rPr>
        <w:t xml:space="preserve"> 6</w:t>
      </w:r>
      <w:r>
        <w:rPr>
          <w:rFonts w:hint="eastAsia" w:ascii="宋体" w:hAnsi="宋体"/>
          <w:bCs/>
          <w:sz w:val="24"/>
          <w:lang w:val="zh-CN"/>
        </w:rPr>
        <w:t>、招标文件及合同中所述之“不可抗力”系指不可预见、不可避免、不可克服的事件，包括但不限于：自然灾害</w:t>
      </w:r>
      <w:r>
        <w:rPr>
          <w:rFonts w:ascii="宋体"/>
          <w:bCs/>
          <w:sz w:val="24"/>
          <w:lang w:val="zh-CN"/>
        </w:rPr>
        <w:t>,</w:t>
      </w:r>
      <w:r>
        <w:rPr>
          <w:rFonts w:hint="eastAsia" w:ascii="宋体" w:hAnsi="宋体"/>
          <w:bCs/>
          <w:sz w:val="24"/>
          <w:lang w:val="zh-CN"/>
        </w:rPr>
        <w:t>例如地震、台风、洪水等</w:t>
      </w:r>
      <w:r>
        <w:rPr>
          <w:rFonts w:ascii="宋体" w:hAnsi="宋体"/>
          <w:bCs/>
          <w:sz w:val="24"/>
          <w:lang w:val="zh-CN"/>
        </w:rPr>
        <w:t>;</w:t>
      </w:r>
      <w:r>
        <w:rPr>
          <w:rFonts w:hint="eastAsia" w:ascii="宋体" w:hAnsi="宋体"/>
          <w:bCs/>
          <w:sz w:val="24"/>
          <w:lang w:val="zh-CN"/>
        </w:rPr>
        <w:t>某些政府行为，例如政府颁布新政策、法律和采取行政措施</w:t>
      </w:r>
      <w:r>
        <w:rPr>
          <w:rFonts w:ascii="宋体" w:hAnsi="宋体"/>
          <w:bCs/>
          <w:sz w:val="24"/>
          <w:lang w:val="zh-CN"/>
        </w:rPr>
        <w:t>;</w:t>
      </w:r>
      <w:r>
        <w:rPr>
          <w:rFonts w:hint="eastAsia" w:ascii="宋体" w:hAnsi="宋体"/>
          <w:bCs/>
          <w:sz w:val="24"/>
          <w:lang w:val="zh-CN"/>
        </w:rPr>
        <w:t>社会异常事件</w:t>
      </w:r>
      <w:r>
        <w:rPr>
          <w:rFonts w:ascii="宋体"/>
          <w:bCs/>
          <w:sz w:val="24"/>
          <w:lang w:val="zh-CN"/>
        </w:rPr>
        <w:t>,</w:t>
      </w:r>
      <w:r>
        <w:rPr>
          <w:rFonts w:hint="eastAsia" w:ascii="宋体" w:hAnsi="宋体"/>
          <w:bCs/>
          <w:sz w:val="24"/>
          <w:lang w:val="zh-CN"/>
        </w:rPr>
        <w:t>例如罢工、战争等及其他法律、法规规定的事件。</w:t>
      </w:r>
    </w:p>
    <w:p>
      <w:pPr>
        <w:spacing w:line="360" w:lineRule="auto"/>
        <w:ind w:firstLine="480" w:firstLineChars="200"/>
        <w:rPr>
          <w:rFonts w:asci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pPr>
        <w:spacing w:line="360" w:lineRule="auto"/>
        <w:ind w:firstLine="398" w:firstLineChars="166"/>
        <w:rPr>
          <w:rFonts w:ascii="宋体"/>
          <w:bCs/>
          <w:sz w:val="24"/>
          <w:lang w:val="zh-CN"/>
        </w:rPr>
      </w:pPr>
      <w:r>
        <w:rPr>
          <w:rFonts w:hint="eastAsia" w:ascii="宋体" w:hAnsi="宋体"/>
          <w:bCs/>
          <w:sz w:val="24"/>
          <w:lang w:val="zh-CN"/>
        </w:rPr>
        <w:t xml:space="preserve"> </w:t>
      </w:r>
      <w:r>
        <w:rPr>
          <w:rFonts w:ascii="宋体" w:hAnsi="宋体"/>
          <w:bCs/>
          <w:sz w:val="24"/>
          <w:lang w:val="zh-CN"/>
        </w:rPr>
        <w:t>1</w:t>
      </w:r>
      <w:r>
        <w:rPr>
          <w:rFonts w:hint="eastAsia" w:ascii="宋体" w:hAnsi="宋体"/>
          <w:bCs/>
          <w:sz w:val="24"/>
          <w:lang w:val="zh-CN"/>
        </w:rPr>
        <w:t>、因货物的质量问题发生争议的，应当邀请国家认可的质量检测机构对货物质量进行鉴定。符合标准的，鉴定费由甲方承担；不符合质量标准的，鉴定费由乙方承担。</w:t>
      </w:r>
    </w:p>
    <w:p>
      <w:pPr>
        <w:spacing w:line="360" w:lineRule="auto"/>
        <w:ind w:firstLine="398" w:firstLineChars="166"/>
        <w:rPr>
          <w:rFonts w:ascii="宋体"/>
          <w:bCs/>
          <w:sz w:val="24"/>
          <w:lang w:val="zh-CN"/>
        </w:rPr>
      </w:pPr>
      <w:r>
        <w:rPr>
          <w:rFonts w:hint="eastAsia" w:ascii="宋体" w:hAnsi="宋体"/>
          <w:bCs/>
          <w:sz w:val="24"/>
          <w:lang w:val="zh-CN"/>
        </w:rPr>
        <w:t xml:space="preserve"> </w:t>
      </w:r>
      <w:r>
        <w:rPr>
          <w:rFonts w:ascii="宋体" w:hAnsi="宋体"/>
          <w:bCs/>
          <w:sz w:val="24"/>
          <w:lang w:val="zh-CN"/>
        </w:rPr>
        <w:t>2</w:t>
      </w:r>
      <w:r>
        <w:rPr>
          <w:rFonts w:hint="eastAsia" w:ascii="宋体" w:hAnsi="宋体"/>
          <w:bCs/>
          <w:sz w:val="24"/>
          <w:lang w:val="zh-CN"/>
        </w:rPr>
        <w:t>、因履行本合同引起的或与本合同有关的争议，先由</w:t>
      </w:r>
      <w:r>
        <w:rPr>
          <w:rFonts w:hint="eastAsia" w:ascii="宋体" w:hAnsi="宋体"/>
          <w:bCs/>
          <w:sz w:val="24"/>
          <w:szCs w:val="24"/>
          <w:lang w:val="zh-CN"/>
        </w:rPr>
        <w:t>采购人所属预算级次的本级财政部门协</w:t>
      </w:r>
      <w:r>
        <w:rPr>
          <w:rFonts w:hint="eastAsia" w:ascii="宋体" w:hAnsi="宋体"/>
          <w:bCs/>
          <w:sz w:val="24"/>
          <w:lang w:val="zh-CN"/>
        </w:rPr>
        <w:t>调解决，如协调解决不成，则可向甲方所在地（宜兴）法院起诉。</w:t>
      </w:r>
    </w:p>
    <w:p>
      <w:pPr>
        <w:spacing w:line="360" w:lineRule="auto"/>
        <w:ind w:firstLine="480" w:firstLineChars="200"/>
        <w:rPr>
          <w:rFonts w:asci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pPr>
        <w:spacing w:line="360" w:lineRule="auto"/>
        <w:ind w:left="400"/>
        <w:rPr>
          <w:rFonts w:ascii="宋体"/>
          <w:bCs/>
          <w:sz w:val="24"/>
          <w:lang w:val="zh-CN"/>
        </w:rPr>
      </w:pPr>
      <w:r>
        <w:rPr>
          <w:rFonts w:hint="eastAsia" w:ascii="宋体" w:hAnsi="宋体"/>
          <w:bCs/>
          <w:sz w:val="24"/>
          <w:lang w:val="zh-CN"/>
        </w:rPr>
        <w:t xml:space="preserve"> </w:t>
      </w:r>
      <w:r>
        <w:rPr>
          <w:rFonts w:ascii="宋体" w:hAnsi="宋体"/>
          <w:bCs/>
          <w:sz w:val="24"/>
          <w:lang w:val="zh-CN"/>
        </w:rPr>
        <w:t>1</w:t>
      </w:r>
      <w:r>
        <w:rPr>
          <w:rFonts w:hint="eastAsia" w:ascii="宋体" w:hAnsi="宋体"/>
          <w:bCs/>
          <w:sz w:val="24"/>
          <w:lang w:val="zh-CN"/>
        </w:rPr>
        <w:t>、合同经供需双方代表签字并加盖公章（或合同章）后即生效。</w:t>
      </w:r>
    </w:p>
    <w:p>
      <w:pPr>
        <w:spacing w:line="360" w:lineRule="auto"/>
        <w:ind w:firstLine="398" w:firstLineChars="166"/>
        <w:rPr>
          <w:rFonts w:ascii="宋体"/>
          <w:bCs/>
          <w:sz w:val="24"/>
          <w:lang w:val="zh-CN"/>
        </w:rPr>
      </w:pPr>
      <w:r>
        <w:rPr>
          <w:rFonts w:hint="eastAsia" w:ascii="宋体" w:hAnsi="宋体"/>
          <w:bCs/>
          <w:sz w:val="24"/>
          <w:lang w:val="zh-CN"/>
        </w:rPr>
        <w:t xml:space="preserve"> </w:t>
      </w:r>
      <w:r>
        <w:rPr>
          <w:rFonts w:ascii="宋体" w:hAnsi="宋体"/>
          <w:bCs/>
          <w:sz w:val="24"/>
          <w:lang w:val="zh-CN"/>
        </w:rPr>
        <w:t>2</w:t>
      </w:r>
      <w:r>
        <w:rPr>
          <w:rFonts w:hint="eastAsia" w:ascii="宋体" w:hAnsi="宋体"/>
          <w:bCs/>
          <w:sz w:val="24"/>
          <w:lang w:val="zh-CN"/>
        </w:rPr>
        <w:t>、合同签订后供需双方即直接产生权利与义务的关系，合同执行过程中出现的问题应按照《民法典》的规定办理。</w:t>
      </w:r>
    </w:p>
    <w:p>
      <w:pPr>
        <w:spacing w:line="360" w:lineRule="auto"/>
        <w:ind w:firstLine="398" w:firstLineChars="166"/>
        <w:rPr>
          <w:rFonts w:ascii="宋体"/>
          <w:bCs/>
          <w:sz w:val="24"/>
          <w:lang w:val="zh-CN"/>
        </w:rPr>
      </w:pPr>
      <w:r>
        <w:rPr>
          <w:rFonts w:hint="eastAsia" w:ascii="宋体" w:hAnsi="宋体"/>
          <w:bCs/>
          <w:sz w:val="24"/>
          <w:lang w:val="zh-CN"/>
        </w:rPr>
        <w:t xml:space="preserve"> </w:t>
      </w:r>
      <w:r>
        <w:rPr>
          <w:rFonts w:ascii="宋体" w:hAnsi="宋体"/>
          <w:bCs/>
          <w:sz w:val="24"/>
          <w:lang w:val="zh-CN"/>
        </w:rPr>
        <w:t>3</w:t>
      </w: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r>
        <w:rPr>
          <w:rFonts w:hint="eastAsia" w:ascii="宋体" w:hAnsi="宋体"/>
          <w:bCs/>
          <w:sz w:val="24"/>
          <w:lang w:val="zh-CN"/>
        </w:rPr>
        <w:t xml:space="preserve">    </w:t>
      </w:r>
      <w:r>
        <w:rPr>
          <w:rFonts w:ascii="宋体" w:hAnsi="宋体"/>
          <w:bCs/>
          <w:sz w:val="24"/>
          <w:lang w:val="zh-CN"/>
        </w:rPr>
        <w:t>4</w:t>
      </w:r>
      <w:r>
        <w:rPr>
          <w:rFonts w:hint="eastAsia" w:ascii="宋体" w:hAnsi="宋体"/>
          <w:bCs/>
          <w:sz w:val="24"/>
          <w:lang w:val="zh-CN"/>
        </w:rPr>
        <w:t>、本合同应按照中华人民共和国的现行法律进行解释。</w:t>
      </w:r>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spacing w:line="360" w:lineRule="auto"/>
        <w:jc w:val="center"/>
        <w:outlineLvl w:val="0"/>
        <w:rPr>
          <w:rFonts w:ascii="黑体" w:hAnsi="黑体" w:eastAsia="黑体"/>
          <w:sz w:val="28"/>
        </w:rPr>
      </w:pPr>
      <w:bookmarkStart w:id="78"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79" w:name="_Toc29240"/>
      <w:r>
        <w:rPr>
          <w:rFonts w:hint="eastAsia" w:ascii="宋体" w:hAnsi="宋体"/>
          <w:b/>
          <w:sz w:val="120"/>
          <w:szCs w:val="120"/>
        </w:rPr>
        <w:t>投标文件</w:t>
      </w:r>
      <w:bookmarkEnd w:id="79"/>
    </w:p>
    <w:p>
      <w:pPr>
        <w:jc w:val="center"/>
        <w:rPr>
          <w:rFonts w:ascii="宋体" w:hAnsi="宋体"/>
          <w:b/>
          <w:sz w:val="32"/>
          <w:szCs w:val="32"/>
        </w:rPr>
      </w:pPr>
      <w:bookmarkStart w:id="80" w:name="_Toc2400"/>
      <w:r>
        <w:rPr>
          <w:rFonts w:hint="eastAsia" w:ascii="宋体" w:hAnsi="宋体"/>
          <w:b/>
          <w:sz w:val="32"/>
          <w:szCs w:val="32"/>
        </w:rPr>
        <w:t>项目编号：</w:t>
      </w:r>
      <w:bookmarkEnd w:id="80"/>
      <w:r>
        <w:rPr>
          <w:rFonts w:ascii="宋体" w:hAnsi="宋体"/>
          <w:b/>
          <w:sz w:val="32"/>
          <w:szCs w:val="32"/>
        </w:rPr>
        <w:t xml:space="preserve">YXGYJT202107014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1" w:name="_Toc10010"/>
      <w:r>
        <w:rPr>
          <w:rFonts w:hint="eastAsia" w:ascii="宋体" w:hAnsi="宋体"/>
          <w:b/>
          <w:sz w:val="32"/>
          <w:szCs w:val="32"/>
        </w:rPr>
        <w:t>项目名称：</w:t>
      </w:r>
      <w:bookmarkEnd w:id="81"/>
      <w:bookmarkStart w:id="82" w:name="_Toc8670"/>
      <w:r>
        <w:rPr>
          <w:rFonts w:hint="eastAsia" w:ascii="宋体" w:hAnsi="宋体"/>
          <w:b/>
          <w:sz w:val="32"/>
          <w:szCs w:val="32"/>
          <w:u w:val="single"/>
        </w:rPr>
        <w:t>宜兴水务集团有限公司电动、气动阀门维护保养及维修服务采购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2"/>
    </w:p>
    <w:p>
      <w:pPr>
        <w:rPr>
          <w:rFonts w:ascii="宋体" w:hAnsi="宋体"/>
        </w:rPr>
      </w:pPr>
      <w:bookmarkStart w:id="83"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3"/>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4" w:name="_Toc1179"/>
      <w:r>
        <w:rPr>
          <w:rFonts w:hint="eastAsia" w:ascii="宋体" w:hAnsi="宋体"/>
          <w:b/>
          <w:sz w:val="32"/>
          <w:szCs w:val="32"/>
        </w:rPr>
        <w:t>日期： 年 月 日</w:t>
      </w:r>
      <w:bookmarkEnd w:id="84"/>
    </w:p>
    <w:p>
      <w:pPr>
        <w:rPr>
          <w:rFonts w:ascii="宋体"/>
          <w:b/>
          <w:bCs/>
          <w:sz w:val="24"/>
          <w:szCs w:val="24"/>
        </w:rPr>
      </w:pPr>
      <w:bookmarkStart w:id="85" w:name="_Toc24602"/>
      <w:r>
        <w:rPr>
          <w:rFonts w:hint="eastAsia" w:ascii="黑体" w:hAnsi="宋体" w:eastAsia="黑体"/>
          <w:bCs/>
          <w:sz w:val="24"/>
          <w:szCs w:val="24"/>
        </w:rPr>
        <w:br w:type="page"/>
      </w:r>
      <w:bookmarkStart w:id="86" w:name="OLE_LINK24"/>
      <w:r>
        <w:rPr>
          <w:rFonts w:hint="eastAsia" w:ascii="黑体" w:hAnsi="宋体" w:eastAsia="黑体"/>
          <w:bCs/>
          <w:sz w:val="28"/>
          <w:szCs w:val="28"/>
        </w:rPr>
        <w:t>（一）投标函（格式）：</w:t>
      </w:r>
    </w:p>
    <w:bookmarkEnd w:id="86"/>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7" w:name="OLE_LINK185"/>
      <w:r>
        <w:rPr>
          <w:rFonts w:hint="eastAsia" w:ascii="宋体" w:hAnsi="宋体"/>
          <w:bCs/>
          <w:sz w:val="24"/>
          <w:lang w:val="zh-CN"/>
        </w:rPr>
        <w:t xml:space="preserve">    致</w:t>
      </w:r>
      <w:bookmarkEnd w:id="87"/>
      <w:r>
        <w:rPr>
          <w:rFonts w:hint="eastAsia" w:ascii="宋体" w:hAnsi="宋体"/>
          <w:bCs/>
          <w:sz w:val="24"/>
          <w:u w:val="single"/>
          <w:lang w:val="zh-CN"/>
        </w:rPr>
        <w:t>宜兴水务集团有限公司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电动、气动阀门维护保养及维修服务</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88"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8"/>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89" w:name="OLE_LINK34"/>
      <w:bookmarkStart w:id="90"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1" w:name="OLE_LINK28"/>
      <w:r>
        <w:rPr>
          <w:rFonts w:hint="eastAsia" w:ascii="宋体" w:hAnsi="宋体"/>
          <w:bCs/>
          <w:sz w:val="24"/>
          <w:lang w:val="zh-CN"/>
        </w:rPr>
        <w:t>投标人公章</w:t>
      </w:r>
      <w:bookmarkEnd w:id="91"/>
      <w:r>
        <w:rPr>
          <w:rFonts w:hint="eastAsia" w:ascii="宋体" w:hAnsi="宋体"/>
          <w:bCs/>
          <w:sz w:val="24"/>
          <w:lang w:val="zh-CN"/>
        </w:rPr>
        <w:t>：</w:t>
      </w:r>
    </w:p>
    <w:bookmarkEnd w:id="89"/>
    <w:bookmarkEnd w:id="90"/>
    <w:p>
      <w:pPr>
        <w:spacing w:line="480" w:lineRule="exact"/>
        <w:rPr>
          <w:rFonts w:ascii="黑体" w:hAnsi="宋体" w:eastAsia="黑体"/>
          <w:bCs/>
          <w:sz w:val="24"/>
          <w:szCs w:val="24"/>
        </w:rPr>
        <w:sectPr>
          <w:footerReference r:id="rId3" w:type="default"/>
          <w:pgSz w:w="11906" w:h="16838"/>
          <w:pgMar w:top="1134" w:right="1418" w:bottom="1134" w:left="1418" w:header="851" w:footer="992" w:gutter="0"/>
          <w:cols w:space="425" w:num="1"/>
          <w:docGrid w:type="lines" w:linePitch="312" w:charSpace="0"/>
        </w:sectPr>
      </w:pPr>
      <w:bookmarkStart w:id="92" w:name="OLE_LINK146"/>
    </w:p>
    <w:p>
      <w:pPr>
        <w:spacing w:line="480" w:lineRule="exact"/>
        <w:rPr>
          <w:rFonts w:hint="eastAsia" w:ascii="黑体" w:hAnsi="宋体" w:eastAsia="黑体"/>
          <w:bCs/>
          <w:sz w:val="28"/>
          <w:szCs w:val="28"/>
        </w:rPr>
      </w:pPr>
      <w:r>
        <w:rPr>
          <w:rFonts w:hint="eastAsia" w:ascii="黑体" w:hAnsi="宋体" w:eastAsia="黑体"/>
          <w:bCs/>
          <w:sz w:val="28"/>
          <w:szCs w:val="28"/>
        </w:rPr>
        <w:t>（二）报价文件：</w:t>
      </w:r>
      <w:bookmarkEnd w:id="85"/>
      <w:bookmarkEnd w:id="92"/>
      <w:bookmarkStart w:id="93" w:name="OLE_LINK32"/>
    </w:p>
    <w:bookmarkEnd w:id="93"/>
    <w:p>
      <w:pPr>
        <w:spacing w:before="156" w:beforeLines="50" w:after="156" w:afterLines="50"/>
        <w:jc w:val="center"/>
        <w:rPr>
          <w:rFonts w:hint="eastAsia" w:ascii="黑体" w:eastAsia="黑体"/>
          <w:bCs/>
          <w:sz w:val="28"/>
          <w:szCs w:val="28"/>
        </w:rPr>
      </w:pPr>
      <w:r>
        <w:rPr>
          <w:rFonts w:hint="eastAsia" w:ascii="黑体" w:eastAsia="黑体"/>
          <w:bCs/>
          <w:sz w:val="28"/>
          <w:szCs w:val="28"/>
        </w:rPr>
        <w:t>开标一览表</w:t>
      </w:r>
    </w:p>
    <w:tbl>
      <w:tblPr>
        <w:tblStyle w:val="75"/>
        <w:tblW w:w="14474" w:type="dxa"/>
        <w:jc w:val="center"/>
        <w:tblLayout w:type="autofit"/>
        <w:tblCellMar>
          <w:top w:w="0" w:type="dxa"/>
          <w:left w:w="108" w:type="dxa"/>
          <w:bottom w:w="0" w:type="dxa"/>
          <w:right w:w="108" w:type="dxa"/>
        </w:tblCellMar>
      </w:tblPr>
      <w:tblGrid>
        <w:gridCol w:w="1167"/>
        <w:gridCol w:w="1213"/>
        <w:gridCol w:w="1860"/>
        <w:gridCol w:w="1116"/>
        <w:gridCol w:w="2116"/>
        <w:gridCol w:w="1263"/>
        <w:gridCol w:w="819"/>
        <w:gridCol w:w="732"/>
        <w:gridCol w:w="694"/>
        <w:gridCol w:w="1368"/>
        <w:gridCol w:w="992"/>
        <w:gridCol w:w="1134"/>
      </w:tblGrid>
      <w:tr>
        <w:tblPrEx>
          <w:tblCellMar>
            <w:top w:w="0" w:type="dxa"/>
            <w:left w:w="108" w:type="dxa"/>
            <w:bottom w:w="0" w:type="dxa"/>
            <w:right w:w="108" w:type="dxa"/>
          </w:tblCellMar>
        </w:tblPrEx>
        <w:trPr>
          <w:trHeight w:val="285"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21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水厂、泵站</w:t>
            </w:r>
          </w:p>
        </w:tc>
        <w:tc>
          <w:tcPr>
            <w:tcW w:w="18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111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品牌</w:t>
            </w:r>
          </w:p>
        </w:tc>
        <w:tc>
          <w:tcPr>
            <w:tcW w:w="211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型号规格</w:t>
            </w:r>
          </w:p>
        </w:tc>
        <w:tc>
          <w:tcPr>
            <w:tcW w:w="126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参数</w:t>
            </w:r>
          </w:p>
        </w:tc>
        <w:tc>
          <w:tcPr>
            <w:tcW w:w="81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c>
          <w:tcPr>
            <w:tcW w:w="73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69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13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地点</w:t>
            </w:r>
          </w:p>
        </w:tc>
        <w:tc>
          <w:tcPr>
            <w:tcW w:w="99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合价</w:t>
            </w:r>
          </w:p>
        </w:tc>
      </w:tr>
      <w:tr>
        <w:tblPrEx>
          <w:tblCellMar>
            <w:top w:w="0" w:type="dxa"/>
            <w:left w:w="108" w:type="dxa"/>
            <w:bottom w:w="0" w:type="dxa"/>
            <w:right w:w="108" w:type="dxa"/>
          </w:tblCellMar>
        </w:tblPrEx>
        <w:trPr>
          <w:trHeight w:val="27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氿滨水厂</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SA07.6-F10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SA07.6-F10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SA07.6-F10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SA07.6-F10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DN600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5#泵电动阀门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SA07.6-F10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DN600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SA07.5-F10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0.37kw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DN600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SA07.5-F10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0.37kw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DN600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SA10.2-F10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DN800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9#泵电动阀门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SA10.2-F10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DN800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1～10＃排水阀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SA10.1-F10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普通快滤池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1～10＃进水阀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SA07.5-F10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普通快滤池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1～10＃冲洗阀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SA10.1-F10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DN700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普通快滤池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1～10＃清水阀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SA07.5-F10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普通快滤池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1＃,2#冲洗泵阀门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AUMA</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SA07.5-F10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DN300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普通快滤池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11～14＃进水阀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SND-ZTD10T-18S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0.3KW</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V型滤池二楼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11～14＃排水阀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SND-ZTD10T-18S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0.3KW</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V型滤池二楼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11～14＃气冲阀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DAPS-1440-090-R-F14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24V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11～14＃水冲阀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DAPS-2889-090-R-F16</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24V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11～14＃清水阀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DAPS-1440-090-R-F14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24V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15～18＃进水阀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SND-Z20T-24S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0.37KW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15～18＃排水阀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SND-Z20T-24S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0.37KW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15～18＃气冲阀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DAPS-1440-090-R-F14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24V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15～18＃水冲阀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DAPS-2889-090-R-F16</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24V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15～18＃清水阀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DAPS-1440-090-R-F14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24V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1～3＃水冲泵阀门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SND-Q200-0.6S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0.12KW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V型滤池一楼</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天津北方阀门控制</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802.300-1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750W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天津北方阀门控制</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802.300-1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750W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ＴＥＴ</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5＃离心泵电动阀门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江苏兰阀通用设备</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Q500-0.5w</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江苏兰阀通用设备</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Q500-0.5w</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江苏兰阀通用设备</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Q500-0.5w</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8＃离心泵电动阀门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江苏兰阀通用设备</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Q500-0.5w</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1#、2#水冲泵阀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GD960-F10F12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冲洗泵房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3#、4#水冲泵阀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GD192C-F14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冲洗泵房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1#、2#气冲阀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GD960-F10F12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冲洗泵房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1～8＃进水阀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1～8＃排水阀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FESTO</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1～8＃气冲阀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VAG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800-DA</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1～8＃水冲阀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VAG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2300-DA</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1～8＃清水阀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VAG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2300-DA</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1～8＃排气阀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VAG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200-DA</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1～8＃初滤水阀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VAG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515-DA</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三期V型滤池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1#~6#初滤水阀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GD720-F1012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DN300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1#~6#气冲阀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GD960-F10F12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1#~6#水冲阀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GD3840-F16</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DN700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1#~6#清水阀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GD960-F10F12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1#~6#进水阀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YC-LGCD95B-16-530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炭滤池二层</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1#~6#排水阀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YC-LGCD95B-200-1030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炭滤池二层</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1#~6#排气阀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ACTUATECH</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GD30-F03F05</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炭滤池二层</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1#~3#风机电动阀门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QB100-1  AW</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0.18KW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DN250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曝气鼓风机房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2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浓缩池出水电动闸阀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南京西部</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FELIX FMM-01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0.4kw 380v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浓缩池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平衡池出泥电动闸阀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FeLix</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FMM-02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0.75kw 380v 50hz 2.34A</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DN150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脱水间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1#2#切割机前电动阀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FeLix</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FMM-01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0.4kw 380V 50Hz 1.33A</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脱水间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1#2#电动阀门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常州电站辅机总厂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ZB5-18/10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0.09kw 18r/min</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脱水间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大贤岭</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 -Z15-36S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转矩150N.m</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DN200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大贤岭</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 -Z15-36S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转矩150N.m</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DN300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大贤岭</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SND -Z20-36S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转矩200N.m</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大贤岭</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DN500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调节张渚压力</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2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蒲墅</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(1--3)# 泵后电动阀门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天津塘沽瓦特斯阀门</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D04B1X-100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泵房（3台）</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4#泵后电动阀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VN1-01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1#新管道自流阀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泵站外</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2#泵前连通阀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泵站外</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3#新管道泵后连通阀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泵站</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4#老管道自流阀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泵站</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2#新管道自流阀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泵站</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新泵房进水电动阀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值班室门口</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新泵房出水电动阀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配电室门口</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新管道连通电动阀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门卫东</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新管道隔离电动阀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2.2KW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门卫东</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新泵房出水电动阀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新泵房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油车</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ROTORK</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L03207020103</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xml:space="preserve">48rpm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ROTORK</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L03207020103</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xml:space="preserve">48rpm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ROTORK</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L03267010102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xml:space="preserve">96rpm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ROTORK</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L03267010102</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xml:space="preserve">96rpm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进水阀门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DN1200</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超越阀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出水阀门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DN1200</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1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鲸塘</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湖父</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BG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扭矩1000N.M</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380V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二泵房出水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BG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BG-50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380V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一泵房出水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BG</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BG-100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380V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一泵房出水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常州电站辅机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YPFC80M2-4</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380V</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一泵房出水</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太华</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出水电动阀门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centork</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自用水电动阀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冠龙</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FBEX</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PN10</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DN150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二泵房</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常州武进远恩自控设备厂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Z15</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废水处理系统</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常州武进远恩自控设备厂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Z20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废水处理系统</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常州武进远恩自控设备厂</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Z20</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550W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废水处理系统</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浓缩池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排水池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Seibu</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VM-01</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75kw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原排水池</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调度控制阀门</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DN1200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油车水库</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DN1000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宜兴小马岭</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DN600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张渚西河桥</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DN800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云湖路</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电动阀门</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西渚</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2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宜丰</w:t>
            </w: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电动阀（内）</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SDN-Z60-24S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11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2"/>
                <w:szCs w:val="22"/>
              </w:rPr>
            </w:pPr>
          </w:p>
        </w:tc>
        <w:tc>
          <w:tcPr>
            <w:tcW w:w="12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rPr>
            </w:pPr>
          </w:p>
        </w:tc>
        <w:tc>
          <w:tcPr>
            <w:tcW w:w="18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电动阀（井内）</w:t>
            </w:r>
          </w:p>
        </w:tc>
        <w:tc>
          <w:tcPr>
            <w:tcW w:w="1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常州电动辅机</w:t>
            </w:r>
          </w:p>
        </w:tc>
        <w:tc>
          <w:tcPr>
            <w:tcW w:w="21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SDN-Z60-24S</w:t>
            </w:r>
          </w:p>
        </w:tc>
        <w:tc>
          <w:tcPr>
            <w:tcW w:w="126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1.5KW</w:t>
            </w:r>
          </w:p>
        </w:tc>
        <w:tc>
          <w:tcPr>
            <w:tcW w:w="8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DN400</w:t>
            </w:r>
          </w:p>
        </w:tc>
        <w:tc>
          <w:tcPr>
            <w:tcW w:w="73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6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只</w:t>
            </w:r>
          </w:p>
        </w:tc>
        <w:tc>
          <w:tcPr>
            <w:tcW w:w="13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36" w:hRule="atLeast"/>
          <w:jc w:val="center"/>
        </w:trPr>
        <w:tc>
          <w:tcPr>
            <w:tcW w:w="5356" w:type="dxa"/>
            <w:gridSpan w:val="4"/>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总计</w:t>
            </w:r>
          </w:p>
        </w:tc>
        <w:tc>
          <w:tcPr>
            <w:tcW w:w="9118"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（小写）：</w:t>
            </w:r>
          </w:p>
        </w:tc>
      </w:tr>
      <w:tr>
        <w:tblPrEx>
          <w:tblCellMar>
            <w:top w:w="0" w:type="dxa"/>
            <w:left w:w="108" w:type="dxa"/>
            <w:bottom w:w="0" w:type="dxa"/>
            <w:right w:w="108" w:type="dxa"/>
          </w:tblCellMar>
        </w:tblPrEx>
        <w:trPr>
          <w:trHeight w:val="844" w:hRule="atLeast"/>
          <w:jc w:val="center"/>
        </w:trPr>
        <w:tc>
          <w:tcPr>
            <w:tcW w:w="5356" w:type="dxa"/>
            <w:gridSpan w:val="4"/>
            <w:vMerge w:val="continue"/>
            <w:tcBorders>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szCs w:val="24"/>
              </w:rPr>
            </w:pPr>
          </w:p>
        </w:tc>
        <w:tc>
          <w:tcPr>
            <w:tcW w:w="9118"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（大写）：</w:t>
            </w:r>
          </w:p>
        </w:tc>
      </w:tr>
    </w:tbl>
    <w:p>
      <w:pPr>
        <w:rPr>
          <w:rFonts w:ascii="宋体" w:hAnsi="宋体"/>
          <w:bCs/>
          <w:sz w:val="24"/>
          <w:lang w:val="zh-CN"/>
        </w:rPr>
      </w:pPr>
    </w:p>
    <w:p>
      <w:pPr>
        <w:ind w:left="1"/>
        <w:jc w:val="center"/>
        <w:rPr>
          <w:rFonts w:ascii="宋体" w:hAnsi="宋体"/>
          <w:bCs/>
          <w:sz w:val="24"/>
        </w:rPr>
      </w:pPr>
      <w:r>
        <w:rPr>
          <w:rFonts w:hint="eastAsia" w:ascii="宋体" w:hAnsi="宋体"/>
          <w:bCs/>
          <w:sz w:val="24"/>
          <w:lang w:val="zh-CN"/>
        </w:rPr>
        <w:t xml:space="preserve">投标人签名盖章：                                                            </w:t>
      </w:r>
      <w:r>
        <w:rPr>
          <w:rFonts w:hint="eastAsia" w:ascii="宋体" w:hAnsi="宋体"/>
          <w:sz w:val="24"/>
          <w:szCs w:val="24"/>
        </w:rPr>
        <w:t>日期：</w:t>
      </w:r>
      <w:bookmarkStart w:id="94" w:name="OLE_LINK147"/>
    </w:p>
    <w:bookmarkEnd w:id="94"/>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5"/>
        </w:numPr>
        <w:ind w:firstLine="480" w:firstLineChars="200"/>
        <w:jc w:val="left"/>
        <w:rPr>
          <w:rFonts w:hint="eastAsia" w:ascii="宋体" w:hAnsi="宋体"/>
          <w:sz w:val="24"/>
          <w:szCs w:val="24"/>
          <w:lang w:val="zh-CN"/>
        </w:rPr>
      </w:pPr>
      <w:r>
        <w:rPr>
          <w:rFonts w:hint="eastAsia" w:ascii="宋体" w:hAnsi="宋体"/>
          <w:sz w:val="24"/>
          <w:szCs w:val="24"/>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 w:val="24"/>
          <w:szCs w:val="24"/>
        </w:rPr>
        <w:t>，以及投标人认为需要的其他费用等；</w:t>
      </w:r>
    </w:p>
    <w:p>
      <w:pPr>
        <w:numPr>
          <w:ilvl w:val="0"/>
          <w:numId w:val="25"/>
        </w:numPr>
        <w:ind w:firstLine="484" w:firstLineChars="202"/>
        <w:jc w:val="left"/>
        <w:rPr>
          <w:rFonts w:hint="eastAsia" w:ascii="宋体" w:hAnsi="宋体"/>
          <w:sz w:val="24"/>
          <w:szCs w:val="24"/>
          <w:lang w:val="zh-CN"/>
        </w:rPr>
      </w:pPr>
      <w:r>
        <w:rPr>
          <w:rFonts w:hint="eastAsia" w:ascii="宋体" w:hAnsi="宋体"/>
          <w:sz w:val="24"/>
          <w:szCs w:val="24"/>
          <w:lang w:val="zh-CN"/>
        </w:rPr>
        <w:t>每一项货物或服务仅接受一个价格，投标文件应对《</w:t>
      </w:r>
      <w:bookmarkStart w:id="95" w:name="OLE_LINK15"/>
      <w:r>
        <w:rPr>
          <w:rFonts w:hint="eastAsia" w:ascii="宋体" w:hAnsi="宋体"/>
          <w:sz w:val="24"/>
          <w:szCs w:val="24"/>
          <w:lang w:val="zh-CN"/>
        </w:rPr>
        <w:t>开标一览表</w:t>
      </w:r>
      <w:bookmarkEnd w:id="95"/>
      <w:r>
        <w:rPr>
          <w:rFonts w:hint="eastAsia" w:ascii="宋体" w:hAnsi="宋体"/>
          <w:sz w:val="24"/>
          <w:szCs w:val="24"/>
          <w:lang w:val="zh-CN"/>
        </w:rPr>
        <w:t>》中的全部货物或服务进行投标，只投其中部分货物或服务者，投标无效。</w:t>
      </w: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ascii="宋体" w:hAnsi="宋体"/>
          <w:szCs w:val="21"/>
          <w:lang w:val="zh-CN"/>
        </w:rPr>
        <w:sectPr>
          <w:pgSz w:w="16838" w:h="11906" w:orient="landscape"/>
          <w:pgMar w:top="1418" w:right="1134" w:bottom="1418" w:left="1134" w:header="851" w:footer="992" w:gutter="0"/>
          <w:cols w:space="425" w:num="1"/>
          <w:docGrid w:type="linesAndChars" w:linePitch="312" w:charSpace="0"/>
        </w:sectPr>
      </w:pPr>
    </w:p>
    <w:p>
      <w:pPr>
        <w:rPr>
          <w:rFonts w:ascii="黑体" w:hAnsi="宋体" w:eastAsia="黑体"/>
          <w:bCs/>
          <w:sz w:val="28"/>
          <w:szCs w:val="28"/>
        </w:rPr>
      </w:pPr>
      <w:bookmarkStart w:id="96" w:name="OLE_LINK151"/>
      <w:bookmarkStart w:id="97" w:name="_Toc8000"/>
      <w:r>
        <w:rPr>
          <w:rFonts w:hint="eastAsia" w:ascii="黑体" w:hAnsi="宋体" w:eastAsia="黑体"/>
          <w:bCs/>
          <w:sz w:val="28"/>
          <w:szCs w:val="28"/>
        </w:rPr>
        <w:t>（三）资格证明文件</w:t>
      </w:r>
      <w:bookmarkEnd w:id="96"/>
    </w:p>
    <w:p>
      <w:pPr>
        <w:ind w:firstLine="480" w:firstLineChars="200"/>
        <w:rPr>
          <w:rFonts w:ascii="黑体" w:eastAsia="黑体"/>
          <w:bCs/>
          <w:sz w:val="36"/>
        </w:rPr>
      </w:pPr>
      <w:r>
        <w:rPr>
          <w:rFonts w:hint="eastAsia" w:ascii="黑体" w:hAnsi="宋体" w:eastAsia="黑体"/>
          <w:bCs/>
          <w:sz w:val="24"/>
          <w:szCs w:val="24"/>
        </w:rPr>
        <w:t>1、关于资格的声明函（格式）：</w:t>
      </w:r>
      <w:bookmarkEnd w:id="97"/>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YXGYJT202107014</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YXGYJT202107014</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YXGYJT202107014</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78"/>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YXGYJT202107014</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投标人法定代表人授权委托书及被授权代表的身份证；</w:t>
      </w:r>
    </w:p>
    <w:p>
      <w:pPr>
        <w:tabs>
          <w:tab w:val="left" w:pos="0"/>
          <w:tab w:val="left" w:pos="255"/>
        </w:tabs>
        <w:spacing w:line="360" w:lineRule="auto"/>
        <w:ind w:left="508"/>
        <w:rPr>
          <w:rFonts w:ascii="宋体" w:hAnsi="宋体"/>
          <w:b/>
          <w:bCs/>
          <w:sz w:val="24"/>
          <w:szCs w:val="24"/>
          <w:lang w:val="zh-CN"/>
        </w:rPr>
      </w:pPr>
      <w:r>
        <w:rPr>
          <w:rFonts w:hint="eastAsia" w:ascii="宋体" w:hAnsi="宋体"/>
          <w:b/>
          <w:bCs/>
          <w:sz w:val="24"/>
          <w:szCs w:val="24"/>
          <w:lang w:val="zh-CN"/>
        </w:rPr>
        <w:t>2、</w:t>
      </w:r>
      <w:r>
        <w:rPr>
          <w:rFonts w:hint="eastAsia" w:ascii="宋体" w:hAnsi="宋体"/>
          <w:bCs/>
          <w:sz w:val="24"/>
          <w:szCs w:val="24"/>
          <w:lang w:val="zh-CN"/>
        </w:rPr>
        <w:t>投标人具有独立承担民事责任能力的供应商营业执照或法人（登记）证书；</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3、投标人依法缴纳近十二个月中任意一个月份税收的相关材料（提供相关主管部门证明或银行代扣证明）；</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4、投标人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pPr>
        <w:tabs>
          <w:tab w:val="left" w:pos="420"/>
          <w:tab w:val="left" w:pos="945"/>
          <w:tab w:val="left" w:pos="1155"/>
        </w:tabs>
        <w:spacing w:line="360" w:lineRule="auto"/>
        <w:ind w:firstLine="504" w:firstLineChars="210"/>
        <w:rPr>
          <w:rFonts w:hint="eastAsia" w:ascii="宋体" w:hAnsi="宋体" w:cs="宋体"/>
          <w:sz w:val="24"/>
          <w:szCs w:val="24"/>
        </w:rPr>
      </w:pPr>
      <w:r>
        <w:rPr>
          <w:rFonts w:hint="eastAsia" w:ascii="宋体" w:hAnsi="宋体" w:cs="宋体"/>
          <w:sz w:val="24"/>
          <w:szCs w:val="24"/>
        </w:rPr>
        <w:t>5、同类业绩证明材料扫描件（证明材料必须为针对常州电站辅机、奥玛、Seibu、ROTORK电动执行器；FESTO 、ACTUATECH气动执行器；VAG阀门，其中一个或多个进行维修保养的业绩）。</w:t>
      </w: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98"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YXGYJT202107014</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8"/>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jc w:val="center"/>
        <w:rPr>
          <w:rFonts w:hint="eastAsia" w:ascii="黑体" w:hAnsi="黑体" w:eastAsia="黑体"/>
          <w:bCs/>
          <w:sz w:val="44"/>
          <w:szCs w:val="44"/>
        </w:rPr>
      </w:pPr>
      <w:r>
        <w:rPr>
          <w:rFonts w:hint="eastAsia" w:ascii="黑体" w:hAnsi="黑体" w:eastAsia="黑体"/>
          <w:bCs/>
          <w:sz w:val="44"/>
          <w:szCs w:val="44"/>
        </w:rPr>
        <w:t>宜兴水务集团有限公司</w:t>
      </w:r>
    </w:p>
    <w:p>
      <w:pPr>
        <w:jc w:val="center"/>
        <w:rPr>
          <w:rFonts w:hint="eastAsia" w:ascii="宋体" w:hAnsi="宋体"/>
          <w:b/>
          <w:bCs/>
          <w:sz w:val="44"/>
          <w:szCs w:val="44"/>
        </w:rPr>
      </w:pPr>
      <w:r>
        <w:rPr>
          <w:rFonts w:hint="eastAsia" w:ascii="黑体" w:hAnsi="黑体" w:eastAsia="黑体"/>
          <w:bCs/>
          <w:sz w:val="44"/>
          <w:szCs w:val="44"/>
        </w:rPr>
        <w:t>电动、气动阀门维护保养及维修服务采购</w:t>
      </w:r>
    </w:p>
    <w:p>
      <w:pPr>
        <w:jc w:val="center"/>
        <w:rPr>
          <w:rFonts w:hint="eastAsia" w:ascii="宋体" w:hAnsi="宋体"/>
          <w:b/>
          <w:bCs/>
          <w:sz w:val="44"/>
          <w:szCs w:val="44"/>
        </w:rPr>
      </w:pPr>
      <w:r>
        <w:rPr>
          <w:rFonts w:hint="eastAsia" w:ascii="黑体" w:hAnsi="黑体" w:eastAsia="黑体"/>
          <w:bCs/>
          <w:sz w:val="44"/>
          <w:szCs w:val="44"/>
        </w:rPr>
        <w:t>招标公告(第二次)</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因工作需要，现组织宜兴水务集团有限公司对电动、气动阀门维护保养及维修服务采购进行招标。现欢迎符合相关条件的供应商参加投标。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YXGYJT202107014</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电动、气动阀门维护保养及维修服务</w:t>
      </w:r>
      <w:r>
        <w:rPr>
          <w:rFonts w:hint="eastAsia" w:ascii="仿宋_GB2312" w:eastAsia="仿宋_GB2312"/>
          <w:sz w:val="28"/>
          <w:szCs w:val="28"/>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111"/>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10万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111"/>
        <w:rPr>
          <w:rFonts w:ascii="仿宋_GB2312" w:eastAsia="仿宋_GB2312"/>
          <w:sz w:val="28"/>
          <w:szCs w:val="28"/>
        </w:rPr>
      </w:pPr>
      <w:r>
        <w:rPr>
          <w:rFonts w:hint="eastAsia" w:ascii="仿宋_GB2312" w:eastAsia="仿宋_GB2312"/>
          <w:sz w:val="28"/>
          <w:szCs w:val="28"/>
        </w:rPr>
        <w:t xml:space="preserve">    ①具有独立承担民事责任的能力；</w:t>
      </w:r>
    </w:p>
    <w:p>
      <w:pPr>
        <w:pStyle w:val="111"/>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pStyle w:val="111"/>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pStyle w:val="111"/>
        <w:rPr>
          <w:rFonts w:ascii="仿宋_GB2312" w:eastAsia="仿宋_GB2312"/>
          <w:sz w:val="28"/>
          <w:szCs w:val="28"/>
        </w:rPr>
      </w:pPr>
      <w:r>
        <w:rPr>
          <w:rFonts w:hint="eastAsia" w:ascii="仿宋_GB2312" w:eastAsia="仿宋_GB2312"/>
          <w:sz w:val="28"/>
          <w:szCs w:val="28"/>
        </w:rPr>
        <w:t xml:space="preserve">    ④不接受联合体，不接受成交后分包；</w:t>
      </w:r>
    </w:p>
    <w:p>
      <w:pPr>
        <w:pStyle w:val="111"/>
        <w:rPr>
          <w:rFonts w:hint="eastAsia" w:ascii="仿宋_GB2312" w:eastAsia="仿宋_GB2312"/>
          <w:sz w:val="28"/>
          <w:szCs w:val="28"/>
        </w:rPr>
      </w:pPr>
      <w:r>
        <w:rPr>
          <w:rFonts w:hint="eastAsia" w:ascii="仿宋_GB2312" w:eastAsia="仿宋_GB2312"/>
          <w:sz w:val="28"/>
          <w:szCs w:val="28"/>
        </w:rPr>
        <w:t xml:space="preserve">    ⑤无不良信用记录；</w:t>
      </w:r>
    </w:p>
    <w:p>
      <w:pPr>
        <w:pStyle w:val="111"/>
        <w:rPr>
          <w:rFonts w:ascii="仿宋_GB2312" w:eastAsia="仿宋_GB2312"/>
          <w:sz w:val="28"/>
          <w:szCs w:val="28"/>
        </w:rPr>
      </w:pPr>
      <w:r>
        <w:rPr>
          <w:rFonts w:hint="eastAsia" w:ascii="仿宋_GB2312" w:eastAsia="仿宋_GB2312"/>
          <w:sz w:val="28"/>
          <w:szCs w:val="28"/>
        </w:rPr>
        <w:t xml:space="preserve">    ⑥同类业绩证明材料扫描件（证明材料必须为针对常州电站辅机、奥玛、Seibu、ROTORK电动执行器；FESTO 、ACTUATECH气动执行器；VAG阀门，其中一个或多个进行维修保养的业绩）。</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2021年8月20日10:</w:t>
      </w:r>
      <w:r>
        <w:rPr>
          <w:rFonts w:hint="eastAsia" w:ascii="仿宋_GB2312" w:eastAsia="仿宋_GB2312"/>
          <w:sz w:val="28"/>
          <w:szCs w:val="28"/>
        </w:rPr>
        <w:t>00</w:t>
      </w:r>
    </w:p>
    <w:p>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ind w:firstLine="560" w:firstLineChars="200"/>
        <w:rPr>
          <w:rFonts w:ascii="仿宋_GB2312" w:eastAsia="仿宋_GB2312"/>
          <w:sz w:val="28"/>
          <w:szCs w:val="28"/>
        </w:rPr>
      </w:pPr>
      <w:r>
        <w:rPr>
          <w:rFonts w:hint="eastAsia" w:ascii="仿宋_GB2312" w:eastAsia="仿宋_GB2312"/>
          <w:sz w:val="28"/>
          <w:szCs w:val="28"/>
        </w:rPr>
        <w:t>3、投标方式：不见面开标。</w:t>
      </w:r>
      <w:r>
        <w:rPr>
          <w:rFonts w:ascii="仿宋_GB2312" w:eastAsia="仿宋_GB2312"/>
          <w:b/>
          <w:sz w:val="28"/>
          <w:szCs w:val="28"/>
        </w:rPr>
        <w:t>供应商须递交</w:t>
      </w:r>
      <w:r>
        <w:rPr>
          <w:rFonts w:hint="eastAsia" w:ascii="仿宋_GB2312" w:eastAsia="仿宋_GB2312"/>
          <w:b/>
          <w:sz w:val="28"/>
          <w:szCs w:val="28"/>
        </w:rPr>
        <w:t>符合招标文件要求的</w:t>
      </w:r>
      <w:r>
        <w:rPr>
          <w:rFonts w:ascii="仿宋_GB2312" w:eastAsia="仿宋_GB2312"/>
          <w:b/>
          <w:sz w:val="28"/>
          <w:szCs w:val="28"/>
        </w:rPr>
        <w:t>标书</w:t>
      </w:r>
      <w:r>
        <w:rPr>
          <w:rFonts w:hint="eastAsia" w:ascii="仿宋_GB2312" w:eastAsia="仿宋_GB2312"/>
          <w:b/>
          <w:sz w:val="28"/>
          <w:szCs w:val="28"/>
        </w:rPr>
        <w:t>扫描件</w:t>
      </w:r>
      <w:r>
        <w:rPr>
          <w:rFonts w:ascii="仿宋_GB2312" w:eastAsia="仿宋_GB2312"/>
          <w:b/>
          <w:sz w:val="28"/>
          <w:szCs w:val="28"/>
        </w:rPr>
        <w:t>，</w:t>
      </w:r>
      <w:r>
        <w:rPr>
          <w:rFonts w:hint="eastAsia" w:ascii="仿宋_GB2312" w:eastAsia="仿宋_GB2312"/>
          <w:b/>
          <w:sz w:val="28"/>
          <w:szCs w:val="28"/>
        </w:rPr>
        <w:t>于开标前20分钟内发送到指定邮箱，由评委在开标时间截止后现场开启</w:t>
      </w:r>
      <w:r>
        <w:rPr>
          <w:rFonts w:ascii="仿宋_GB2312" w:eastAsia="仿宋_GB2312"/>
          <w:b/>
          <w:sz w:val="28"/>
          <w:szCs w:val="28"/>
        </w:rPr>
        <w:t>。</w:t>
      </w:r>
      <w:r>
        <w:rPr>
          <w:rFonts w:hint="eastAsia" w:ascii="宋体" w:hAnsi="宋体" w:cs="宋体"/>
          <w:b/>
          <w:sz w:val="24"/>
          <w:szCs w:val="24"/>
        </w:rPr>
        <w:t>（邮件标题必须注明所投项目名称及投标单位名称，否则将视作为无效投标）</w:t>
      </w:r>
    </w:p>
    <w:p>
      <w:pPr>
        <w:ind w:firstLine="560" w:firstLineChars="200"/>
        <w:rPr>
          <w:rFonts w:ascii="仿宋_GB2312" w:eastAsia="仿宋_GB2312"/>
          <w:sz w:val="28"/>
          <w:szCs w:val="28"/>
        </w:rPr>
      </w:pPr>
      <w:r>
        <w:rPr>
          <w:rFonts w:hint="eastAsia" w:ascii="仿宋_GB2312" w:eastAsia="仿宋_GB2312"/>
          <w:sz w:val="28"/>
          <w:szCs w:val="28"/>
        </w:rPr>
        <w:t>4、开标地点：宜兴市公用产业集团有限公司二楼开标室</w:t>
      </w:r>
    </w:p>
    <w:p>
      <w:pPr>
        <w:ind w:firstLine="560" w:firstLineChars="200"/>
        <w:rPr>
          <w:rFonts w:ascii="仿宋_GB2312" w:eastAsia="仿宋_GB2312"/>
          <w:sz w:val="28"/>
          <w:szCs w:val="28"/>
        </w:rPr>
      </w:pPr>
      <w:r>
        <w:rPr>
          <w:rFonts w:hint="eastAsia" w:ascii="仿宋_GB2312" w:eastAsia="仿宋_GB2312"/>
          <w:sz w:val="28"/>
          <w:szCs w:val="28"/>
        </w:rPr>
        <w:t>5、其他有关事项：截止期后的投标文件，恕不接受。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2021年8月13日-2021年8月19日</w:t>
      </w:r>
      <w:r>
        <w:rPr>
          <w:rFonts w:hint="eastAsia" w:ascii="仿宋_GB2312" w:eastAsia="仿宋_GB2312"/>
          <w:sz w:val="28"/>
          <w:szCs w:val="28"/>
        </w:rPr>
        <w:t>。</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99" w:name="OLE_LINK29"/>
            <w:bookmarkEnd w:id="99"/>
            <w:r>
              <w:rPr>
                <w:rFonts w:hint="eastAsia" w:ascii="仿宋_GB2312" w:eastAsia="仿宋_GB2312"/>
                <w:sz w:val="28"/>
                <w:szCs w:val="28"/>
              </w:rPr>
              <w:t>采购人：</w:t>
            </w:r>
            <w:r>
              <w:rPr>
                <w:rFonts w:hint="eastAsia" w:ascii="仿宋" w:hAnsi="仿宋" w:eastAsia="仿宋" w:cs="仿宋"/>
                <w:sz w:val="28"/>
                <w:szCs w:val="28"/>
              </w:rPr>
              <w:t>宜兴水务集团有限公司</w:t>
            </w:r>
          </w:p>
          <w:p>
            <w:pPr>
              <w:spacing w:line="560" w:lineRule="exact"/>
              <w:rPr>
                <w:rFonts w:ascii="仿宋_GB2312" w:eastAsia="仿宋_GB2312"/>
                <w:sz w:val="28"/>
                <w:szCs w:val="28"/>
              </w:rPr>
            </w:pPr>
            <w:r>
              <w:rPr>
                <w:rFonts w:hint="eastAsia" w:ascii="仿宋_GB2312" w:eastAsia="仿宋_GB2312"/>
                <w:sz w:val="28"/>
                <w:szCs w:val="28"/>
              </w:rPr>
              <w:t>联系人：朱先生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eastAsia="仿宋_GB2312"/>
          <w:sz w:val="28"/>
          <w:szCs w:val="28"/>
        </w:rPr>
      </w:pPr>
    </w:p>
    <w:p>
      <w:pPr>
        <w:spacing w:line="560" w:lineRule="exact"/>
        <w:jc w:val="right"/>
        <w:rPr>
          <w:rFonts w:hint="eastAsia" w:ascii="仿宋_GB2312" w:eastAsia="仿宋_GB2312"/>
          <w:sz w:val="28"/>
          <w:szCs w:val="28"/>
        </w:rPr>
      </w:pPr>
      <w:r>
        <w:rPr>
          <w:rFonts w:hint="eastAsia" w:ascii="仿宋" w:hAnsi="仿宋" w:eastAsia="仿宋" w:cs="仿宋"/>
          <w:sz w:val="28"/>
          <w:szCs w:val="28"/>
        </w:rPr>
        <w:t>宜兴水务集团有限公司</w:t>
      </w:r>
      <w:r>
        <w:rPr>
          <w:rFonts w:hint="eastAsia" w:ascii="仿宋_GB2312" w:eastAsia="仿宋_GB2312"/>
          <w:sz w:val="28"/>
          <w:szCs w:val="28"/>
        </w:rPr>
        <w:t xml:space="preserve">                        </w:t>
      </w:r>
    </w:p>
    <w:p>
      <w:pPr>
        <w:spacing w:line="560" w:lineRule="exact"/>
        <w:jc w:val="right"/>
        <w:rPr>
          <w:rFonts w:ascii="仿宋_GB2312" w:eastAsia="仿宋_GB2312"/>
          <w:sz w:val="28"/>
          <w:szCs w:val="28"/>
        </w:rPr>
      </w:pPr>
      <w:r>
        <w:rPr>
          <w:rFonts w:hint="eastAsia" w:ascii="仿宋_GB2312" w:eastAsia="仿宋_GB2312"/>
          <w:sz w:val="28"/>
          <w:szCs w:val="28"/>
        </w:rPr>
        <w:t>2021年8月</w:t>
      </w:r>
      <w:r>
        <w:rPr>
          <w:rFonts w:hint="eastAsia" w:ascii="仿宋_GB2312" w:eastAsia="仿宋_GB2312"/>
          <w:color w:val="FF0000"/>
          <w:sz w:val="28"/>
          <w:szCs w:val="28"/>
        </w:rPr>
        <w:t>13</w:t>
      </w:r>
      <w:r>
        <w:rPr>
          <w:rFonts w:hint="eastAsia" w:ascii="仿宋_GB2312" w:eastAsia="仿宋_GB2312"/>
          <w:sz w:val="28"/>
          <w:szCs w:val="28"/>
        </w:rPr>
        <w:t>日</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0" w:usb1="00000000" w:usb2="00000010" w:usb3="00000000" w:csb0="00040000" w:csb1="00000000"/>
  </w:font>
  <w:font w:name="EU-F1">
    <w:altName w:val="宋体"/>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35</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leftChars="800" w:hanging="360" w:hangingChars="20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leftChars="400" w:hanging="360" w:hangingChars="20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leftChars="200" w:hanging="360" w:hangingChars="20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leftChars="800" w:hanging="360" w:hangingChars="20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leftChars="600" w:hanging="360" w:hangingChars="20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leftChars="400" w:hanging="360" w:hangingChars="20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hangingChars="20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29"/>
      <w:lvlText w:val="%5．"/>
      <w:lvlJc w:val="left"/>
      <w:pPr>
        <w:tabs>
          <w:tab w:val="left" w:pos="360"/>
        </w:tabs>
        <w:ind w:left="360" w:hanging="360"/>
      </w:pPr>
      <w:rPr>
        <w:rFonts w:hint="default"/>
      </w:rPr>
    </w:lvl>
    <w:lvl w:ilvl="5" w:tentative="0">
      <w:start w:val="5"/>
      <w:numFmt w:val="decimal"/>
      <w:pStyle w:val="234"/>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3">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6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4"/>
  </w:num>
  <w:num w:numId="2">
    <w:abstractNumId w:val="10"/>
  </w:num>
  <w:num w:numId="3">
    <w:abstractNumId w:val="17"/>
  </w:num>
  <w:num w:numId="4">
    <w:abstractNumId w:val="16"/>
  </w:num>
  <w:num w:numId="5">
    <w:abstractNumId w:val="15"/>
  </w:num>
  <w:num w:numId="6">
    <w:abstractNumId w:val="14"/>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3"/>
  </w:num>
  <w:num w:numId="15">
    <w:abstractNumId w:val="18"/>
  </w:num>
  <w:num w:numId="16">
    <w:abstractNumId w:val="9"/>
  </w:num>
  <w:num w:numId="17">
    <w:abstractNumId w:val="22"/>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24EB"/>
    <w:rsid w:val="00004FD4"/>
    <w:rsid w:val="000115E0"/>
    <w:rsid w:val="00016618"/>
    <w:rsid w:val="000255A4"/>
    <w:rsid w:val="00027A8A"/>
    <w:rsid w:val="0003761F"/>
    <w:rsid w:val="00042CC3"/>
    <w:rsid w:val="00047327"/>
    <w:rsid w:val="00047392"/>
    <w:rsid w:val="000520B0"/>
    <w:rsid w:val="00063081"/>
    <w:rsid w:val="00063887"/>
    <w:rsid w:val="0007007A"/>
    <w:rsid w:val="00072E0D"/>
    <w:rsid w:val="000770C1"/>
    <w:rsid w:val="00077B4D"/>
    <w:rsid w:val="00082A29"/>
    <w:rsid w:val="000874F5"/>
    <w:rsid w:val="00094306"/>
    <w:rsid w:val="000975B0"/>
    <w:rsid w:val="000B34F3"/>
    <w:rsid w:val="000D028C"/>
    <w:rsid w:val="000D0A31"/>
    <w:rsid w:val="000D45B7"/>
    <w:rsid w:val="000D4D3F"/>
    <w:rsid w:val="000E1BC8"/>
    <w:rsid w:val="000E2ABB"/>
    <w:rsid w:val="000E2D0A"/>
    <w:rsid w:val="000E618B"/>
    <w:rsid w:val="000E775E"/>
    <w:rsid w:val="00102273"/>
    <w:rsid w:val="00107521"/>
    <w:rsid w:val="00110153"/>
    <w:rsid w:val="00111AB9"/>
    <w:rsid w:val="00115C57"/>
    <w:rsid w:val="00145CF6"/>
    <w:rsid w:val="00152E50"/>
    <w:rsid w:val="00156D11"/>
    <w:rsid w:val="00157204"/>
    <w:rsid w:val="00162D73"/>
    <w:rsid w:val="00163B02"/>
    <w:rsid w:val="00171AA6"/>
    <w:rsid w:val="00173360"/>
    <w:rsid w:val="00173521"/>
    <w:rsid w:val="0017472D"/>
    <w:rsid w:val="00180C41"/>
    <w:rsid w:val="00182C0B"/>
    <w:rsid w:val="0019472B"/>
    <w:rsid w:val="00194751"/>
    <w:rsid w:val="001A11E5"/>
    <w:rsid w:val="001A3569"/>
    <w:rsid w:val="001B2010"/>
    <w:rsid w:val="001B3697"/>
    <w:rsid w:val="001B387B"/>
    <w:rsid w:val="001C65C0"/>
    <w:rsid w:val="001C6828"/>
    <w:rsid w:val="001D475E"/>
    <w:rsid w:val="001E02B5"/>
    <w:rsid w:val="001E480B"/>
    <w:rsid w:val="001E527B"/>
    <w:rsid w:val="001E55D4"/>
    <w:rsid w:val="001F7345"/>
    <w:rsid w:val="0020510D"/>
    <w:rsid w:val="00205424"/>
    <w:rsid w:val="00211160"/>
    <w:rsid w:val="00216917"/>
    <w:rsid w:val="00223458"/>
    <w:rsid w:val="00225291"/>
    <w:rsid w:val="002271E9"/>
    <w:rsid w:val="00230D5E"/>
    <w:rsid w:val="00234760"/>
    <w:rsid w:val="002375AF"/>
    <w:rsid w:val="002404C7"/>
    <w:rsid w:val="00243C15"/>
    <w:rsid w:val="00251986"/>
    <w:rsid w:val="00253543"/>
    <w:rsid w:val="002568D9"/>
    <w:rsid w:val="00261D7C"/>
    <w:rsid w:val="002674E8"/>
    <w:rsid w:val="00280EDD"/>
    <w:rsid w:val="00281C19"/>
    <w:rsid w:val="0028335F"/>
    <w:rsid w:val="00284CC6"/>
    <w:rsid w:val="00284E4B"/>
    <w:rsid w:val="0029521A"/>
    <w:rsid w:val="00296193"/>
    <w:rsid w:val="002A1E2E"/>
    <w:rsid w:val="002A24D8"/>
    <w:rsid w:val="002B08FF"/>
    <w:rsid w:val="002B39BB"/>
    <w:rsid w:val="002C0F0C"/>
    <w:rsid w:val="002C70BA"/>
    <w:rsid w:val="002D28BF"/>
    <w:rsid w:val="002D5406"/>
    <w:rsid w:val="002E51F7"/>
    <w:rsid w:val="0030271C"/>
    <w:rsid w:val="0032060A"/>
    <w:rsid w:val="00325CA3"/>
    <w:rsid w:val="00342F5B"/>
    <w:rsid w:val="0034450C"/>
    <w:rsid w:val="003451BB"/>
    <w:rsid w:val="00362009"/>
    <w:rsid w:val="00365223"/>
    <w:rsid w:val="00367385"/>
    <w:rsid w:val="003757F4"/>
    <w:rsid w:val="0037783C"/>
    <w:rsid w:val="00377A1A"/>
    <w:rsid w:val="0038324F"/>
    <w:rsid w:val="003937B6"/>
    <w:rsid w:val="00393C62"/>
    <w:rsid w:val="00394046"/>
    <w:rsid w:val="00396495"/>
    <w:rsid w:val="003B376F"/>
    <w:rsid w:val="003B52A6"/>
    <w:rsid w:val="003C3A51"/>
    <w:rsid w:val="003D08A7"/>
    <w:rsid w:val="003D60A1"/>
    <w:rsid w:val="003E1D25"/>
    <w:rsid w:val="003F27C7"/>
    <w:rsid w:val="003F3E55"/>
    <w:rsid w:val="003F7B1A"/>
    <w:rsid w:val="00414C87"/>
    <w:rsid w:val="00415810"/>
    <w:rsid w:val="00415D2C"/>
    <w:rsid w:val="00422FB7"/>
    <w:rsid w:val="00443203"/>
    <w:rsid w:val="00445969"/>
    <w:rsid w:val="00465523"/>
    <w:rsid w:val="00485C68"/>
    <w:rsid w:val="00490924"/>
    <w:rsid w:val="00492137"/>
    <w:rsid w:val="00496BF9"/>
    <w:rsid w:val="004A16AA"/>
    <w:rsid w:val="004B012F"/>
    <w:rsid w:val="004B2387"/>
    <w:rsid w:val="004B2460"/>
    <w:rsid w:val="004B3B04"/>
    <w:rsid w:val="004D4322"/>
    <w:rsid w:val="004D65D3"/>
    <w:rsid w:val="004D7CB0"/>
    <w:rsid w:val="004E1819"/>
    <w:rsid w:val="004E4701"/>
    <w:rsid w:val="004E5E09"/>
    <w:rsid w:val="004F1D66"/>
    <w:rsid w:val="00500B97"/>
    <w:rsid w:val="00505606"/>
    <w:rsid w:val="00510E70"/>
    <w:rsid w:val="00511196"/>
    <w:rsid w:val="00517120"/>
    <w:rsid w:val="00517E1D"/>
    <w:rsid w:val="00520A70"/>
    <w:rsid w:val="00523E01"/>
    <w:rsid w:val="00531743"/>
    <w:rsid w:val="0053192E"/>
    <w:rsid w:val="00533CEB"/>
    <w:rsid w:val="00537CEA"/>
    <w:rsid w:val="00543359"/>
    <w:rsid w:val="00547EB7"/>
    <w:rsid w:val="00552B9D"/>
    <w:rsid w:val="00554A82"/>
    <w:rsid w:val="0056381F"/>
    <w:rsid w:val="00563CCD"/>
    <w:rsid w:val="00572186"/>
    <w:rsid w:val="00575902"/>
    <w:rsid w:val="0057756F"/>
    <w:rsid w:val="00584C7A"/>
    <w:rsid w:val="005A35C4"/>
    <w:rsid w:val="005B3469"/>
    <w:rsid w:val="005B4FA7"/>
    <w:rsid w:val="005C1367"/>
    <w:rsid w:val="005C2860"/>
    <w:rsid w:val="005C6322"/>
    <w:rsid w:val="005D613E"/>
    <w:rsid w:val="005F2DB3"/>
    <w:rsid w:val="005F73AF"/>
    <w:rsid w:val="0060445B"/>
    <w:rsid w:val="006052C9"/>
    <w:rsid w:val="00611F53"/>
    <w:rsid w:val="00612EEF"/>
    <w:rsid w:val="006170A3"/>
    <w:rsid w:val="00624DB0"/>
    <w:rsid w:val="00636A45"/>
    <w:rsid w:val="00641E38"/>
    <w:rsid w:val="00657F7E"/>
    <w:rsid w:val="006626C6"/>
    <w:rsid w:val="00667851"/>
    <w:rsid w:val="0067075C"/>
    <w:rsid w:val="00673B42"/>
    <w:rsid w:val="0068693F"/>
    <w:rsid w:val="006901A0"/>
    <w:rsid w:val="00690980"/>
    <w:rsid w:val="0069511D"/>
    <w:rsid w:val="00697679"/>
    <w:rsid w:val="00697BBB"/>
    <w:rsid w:val="006B51C4"/>
    <w:rsid w:val="006B55B4"/>
    <w:rsid w:val="006C2FFD"/>
    <w:rsid w:val="006C55FF"/>
    <w:rsid w:val="006C5913"/>
    <w:rsid w:val="006D196A"/>
    <w:rsid w:val="006E1EAA"/>
    <w:rsid w:val="006E3C6F"/>
    <w:rsid w:val="006E72CE"/>
    <w:rsid w:val="006F5E22"/>
    <w:rsid w:val="006F6722"/>
    <w:rsid w:val="006F71BA"/>
    <w:rsid w:val="00701AF5"/>
    <w:rsid w:val="007026D5"/>
    <w:rsid w:val="00710B2E"/>
    <w:rsid w:val="00714C03"/>
    <w:rsid w:val="007241D7"/>
    <w:rsid w:val="00731C9A"/>
    <w:rsid w:val="00732591"/>
    <w:rsid w:val="0073294A"/>
    <w:rsid w:val="0073295A"/>
    <w:rsid w:val="00734982"/>
    <w:rsid w:val="007477BC"/>
    <w:rsid w:val="00751B1C"/>
    <w:rsid w:val="00760775"/>
    <w:rsid w:val="00773E58"/>
    <w:rsid w:val="00776638"/>
    <w:rsid w:val="0078335A"/>
    <w:rsid w:val="00794980"/>
    <w:rsid w:val="00795C42"/>
    <w:rsid w:val="007A376A"/>
    <w:rsid w:val="007A70D9"/>
    <w:rsid w:val="007C3291"/>
    <w:rsid w:val="007C5599"/>
    <w:rsid w:val="007C7CDD"/>
    <w:rsid w:val="007D20CA"/>
    <w:rsid w:val="007D6775"/>
    <w:rsid w:val="007E62F1"/>
    <w:rsid w:val="007F188A"/>
    <w:rsid w:val="007F24CB"/>
    <w:rsid w:val="007F2654"/>
    <w:rsid w:val="007F2D64"/>
    <w:rsid w:val="007F3E17"/>
    <w:rsid w:val="007F5A69"/>
    <w:rsid w:val="00800B8A"/>
    <w:rsid w:val="00801052"/>
    <w:rsid w:val="00803E7C"/>
    <w:rsid w:val="008054A7"/>
    <w:rsid w:val="00806B1F"/>
    <w:rsid w:val="00810F54"/>
    <w:rsid w:val="00832320"/>
    <w:rsid w:val="00836091"/>
    <w:rsid w:val="00836D8E"/>
    <w:rsid w:val="00840EA7"/>
    <w:rsid w:val="00841471"/>
    <w:rsid w:val="00845FF7"/>
    <w:rsid w:val="008521FA"/>
    <w:rsid w:val="0086330F"/>
    <w:rsid w:val="0086331A"/>
    <w:rsid w:val="008648EB"/>
    <w:rsid w:val="0087544B"/>
    <w:rsid w:val="00891037"/>
    <w:rsid w:val="00891430"/>
    <w:rsid w:val="0089150E"/>
    <w:rsid w:val="008953DE"/>
    <w:rsid w:val="008B4989"/>
    <w:rsid w:val="008D2342"/>
    <w:rsid w:val="008D2564"/>
    <w:rsid w:val="008D3CD7"/>
    <w:rsid w:val="008D74F7"/>
    <w:rsid w:val="008E637F"/>
    <w:rsid w:val="008F05D2"/>
    <w:rsid w:val="008F2EEF"/>
    <w:rsid w:val="008F5CE2"/>
    <w:rsid w:val="008F6B7B"/>
    <w:rsid w:val="0090199D"/>
    <w:rsid w:val="00901CE3"/>
    <w:rsid w:val="00904D0F"/>
    <w:rsid w:val="00905D4E"/>
    <w:rsid w:val="00916FFD"/>
    <w:rsid w:val="00922A8A"/>
    <w:rsid w:val="00923D0D"/>
    <w:rsid w:val="0092743B"/>
    <w:rsid w:val="00932F13"/>
    <w:rsid w:val="00933662"/>
    <w:rsid w:val="0094024A"/>
    <w:rsid w:val="009432E3"/>
    <w:rsid w:val="00943BD3"/>
    <w:rsid w:val="00960456"/>
    <w:rsid w:val="00961492"/>
    <w:rsid w:val="0096255D"/>
    <w:rsid w:val="009639E0"/>
    <w:rsid w:val="00963F99"/>
    <w:rsid w:val="00965A95"/>
    <w:rsid w:val="00972492"/>
    <w:rsid w:val="009856C4"/>
    <w:rsid w:val="00991592"/>
    <w:rsid w:val="00993DA8"/>
    <w:rsid w:val="00996823"/>
    <w:rsid w:val="00996891"/>
    <w:rsid w:val="00996E25"/>
    <w:rsid w:val="00996FC8"/>
    <w:rsid w:val="009A0FB8"/>
    <w:rsid w:val="009B033D"/>
    <w:rsid w:val="009B3CF3"/>
    <w:rsid w:val="009C1577"/>
    <w:rsid w:val="009C298E"/>
    <w:rsid w:val="009C45FD"/>
    <w:rsid w:val="009C513C"/>
    <w:rsid w:val="009C5527"/>
    <w:rsid w:val="009C7C3F"/>
    <w:rsid w:val="009E74DE"/>
    <w:rsid w:val="00A2421A"/>
    <w:rsid w:val="00A24A80"/>
    <w:rsid w:val="00A24DED"/>
    <w:rsid w:val="00A2544B"/>
    <w:rsid w:val="00A36160"/>
    <w:rsid w:val="00A52BEF"/>
    <w:rsid w:val="00A5785A"/>
    <w:rsid w:val="00A678FA"/>
    <w:rsid w:val="00A72C5E"/>
    <w:rsid w:val="00A76493"/>
    <w:rsid w:val="00A91BD7"/>
    <w:rsid w:val="00A92322"/>
    <w:rsid w:val="00A927BE"/>
    <w:rsid w:val="00A95E84"/>
    <w:rsid w:val="00AA30CA"/>
    <w:rsid w:val="00AA42A8"/>
    <w:rsid w:val="00AC2325"/>
    <w:rsid w:val="00AC4069"/>
    <w:rsid w:val="00AC6C6F"/>
    <w:rsid w:val="00AD04E4"/>
    <w:rsid w:val="00AD0AA0"/>
    <w:rsid w:val="00AD499B"/>
    <w:rsid w:val="00B00209"/>
    <w:rsid w:val="00B02D95"/>
    <w:rsid w:val="00B032CC"/>
    <w:rsid w:val="00B17D9D"/>
    <w:rsid w:val="00B24081"/>
    <w:rsid w:val="00B254B9"/>
    <w:rsid w:val="00B30897"/>
    <w:rsid w:val="00B3107D"/>
    <w:rsid w:val="00B36F53"/>
    <w:rsid w:val="00B525E9"/>
    <w:rsid w:val="00B64171"/>
    <w:rsid w:val="00B706A8"/>
    <w:rsid w:val="00B70A8E"/>
    <w:rsid w:val="00B71F2D"/>
    <w:rsid w:val="00B767C3"/>
    <w:rsid w:val="00B805B3"/>
    <w:rsid w:val="00B829D0"/>
    <w:rsid w:val="00B8480D"/>
    <w:rsid w:val="00B909D7"/>
    <w:rsid w:val="00B939D6"/>
    <w:rsid w:val="00B943EC"/>
    <w:rsid w:val="00B97EE5"/>
    <w:rsid w:val="00BA3969"/>
    <w:rsid w:val="00BA5309"/>
    <w:rsid w:val="00BB7ACA"/>
    <w:rsid w:val="00BC7918"/>
    <w:rsid w:val="00BE515A"/>
    <w:rsid w:val="00BF1F2A"/>
    <w:rsid w:val="00BF2413"/>
    <w:rsid w:val="00BF7E55"/>
    <w:rsid w:val="00C032FB"/>
    <w:rsid w:val="00C1057C"/>
    <w:rsid w:val="00C13C6C"/>
    <w:rsid w:val="00C172A5"/>
    <w:rsid w:val="00C20209"/>
    <w:rsid w:val="00C25F3D"/>
    <w:rsid w:val="00C32A38"/>
    <w:rsid w:val="00C33F56"/>
    <w:rsid w:val="00C43230"/>
    <w:rsid w:val="00C46E18"/>
    <w:rsid w:val="00C61B60"/>
    <w:rsid w:val="00C6537F"/>
    <w:rsid w:val="00C77C14"/>
    <w:rsid w:val="00C87DEF"/>
    <w:rsid w:val="00C924CA"/>
    <w:rsid w:val="00C930F2"/>
    <w:rsid w:val="00C939B8"/>
    <w:rsid w:val="00C9493F"/>
    <w:rsid w:val="00C97C1C"/>
    <w:rsid w:val="00CA0016"/>
    <w:rsid w:val="00CA38FB"/>
    <w:rsid w:val="00CA6480"/>
    <w:rsid w:val="00CC4F5E"/>
    <w:rsid w:val="00CC7CDD"/>
    <w:rsid w:val="00CD5E41"/>
    <w:rsid w:val="00CD660B"/>
    <w:rsid w:val="00CE088D"/>
    <w:rsid w:val="00D05CBF"/>
    <w:rsid w:val="00D11189"/>
    <w:rsid w:val="00D12B95"/>
    <w:rsid w:val="00D14147"/>
    <w:rsid w:val="00D23C42"/>
    <w:rsid w:val="00D25077"/>
    <w:rsid w:val="00D26052"/>
    <w:rsid w:val="00D330CE"/>
    <w:rsid w:val="00D3393D"/>
    <w:rsid w:val="00D3536F"/>
    <w:rsid w:val="00D375AE"/>
    <w:rsid w:val="00D416F0"/>
    <w:rsid w:val="00D46709"/>
    <w:rsid w:val="00D55F92"/>
    <w:rsid w:val="00D57E88"/>
    <w:rsid w:val="00D63A42"/>
    <w:rsid w:val="00D66B2E"/>
    <w:rsid w:val="00D66C6F"/>
    <w:rsid w:val="00D67BC6"/>
    <w:rsid w:val="00D74B01"/>
    <w:rsid w:val="00D8328E"/>
    <w:rsid w:val="00D87318"/>
    <w:rsid w:val="00D922A2"/>
    <w:rsid w:val="00DA06C5"/>
    <w:rsid w:val="00DB09FD"/>
    <w:rsid w:val="00DC7154"/>
    <w:rsid w:val="00DC7F06"/>
    <w:rsid w:val="00DD0194"/>
    <w:rsid w:val="00DD0C97"/>
    <w:rsid w:val="00DD7C73"/>
    <w:rsid w:val="00DF662D"/>
    <w:rsid w:val="00E01CC0"/>
    <w:rsid w:val="00E05E02"/>
    <w:rsid w:val="00E21119"/>
    <w:rsid w:val="00E238F5"/>
    <w:rsid w:val="00E26EED"/>
    <w:rsid w:val="00E315D9"/>
    <w:rsid w:val="00E343F2"/>
    <w:rsid w:val="00E34860"/>
    <w:rsid w:val="00E36E09"/>
    <w:rsid w:val="00E3773E"/>
    <w:rsid w:val="00E427A2"/>
    <w:rsid w:val="00E45A95"/>
    <w:rsid w:val="00E56CB4"/>
    <w:rsid w:val="00E57313"/>
    <w:rsid w:val="00E57464"/>
    <w:rsid w:val="00E66277"/>
    <w:rsid w:val="00E7084A"/>
    <w:rsid w:val="00E8000C"/>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D0959"/>
    <w:rsid w:val="00ED3C83"/>
    <w:rsid w:val="00EE2EEC"/>
    <w:rsid w:val="00EE3BB1"/>
    <w:rsid w:val="00EE5F8B"/>
    <w:rsid w:val="00EF1D49"/>
    <w:rsid w:val="00F03A85"/>
    <w:rsid w:val="00F03B15"/>
    <w:rsid w:val="00F05F98"/>
    <w:rsid w:val="00F06ECE"/>
    <w:rsid w:val="00F13507"/>
    <w:rsid w:val="00F16BF2"/>
    <w:rsid w:val="00F20AD4"/>
    <w:rsid w:val="00F23886"/>
    <w:rsid w:val="00F26171"/>
    <w:rsid w:val="00F33132"/>
    <w:rsid w:val="00F34194"/>
    <w:rsid w:val="00F368BC"/>
    <w:rsid w:val="00F373AB"/>
    <w:rsid w:val="00F37D08"/>
    <w:rsid w:val="00F4434A"/>
    <w:rsid w:val="00F46FFC"/>
    <w:rsid w:val="00F507DE"/>
    <w:rsid w:val="00F51DCC"/>
    <w:rsid w:val="00F55979"/>
    <w:rsid w:val="00F57D25"/>
    <w:rsid w:val="00F63BB0"/>
    <w:rsid w:val="00F70ABE"/>
    <w:rsid w:val="00F73FDD"/>
    <w:rsid w:val="00F751C5"/>
    <w:rsid w:val="00F81AF0"/>
    <w:rsid w:val="00F822F0"/>
    <w:rsid w:val="00F84BF8"/>
    <w:rsid w:val="00FA1DD3"/>
    <w:rsid w:val="00FA6C2F"/>
    <w:rsid w:val="00FB0C38"/>
    <w:rsid w:val="00FB136F"/>
    <w:rsid w:val="00FB49F8"/>
    <w:rsid w:val="00FB53D7"/>
    <w:rsid w:val="00FC20AC"/>
    <w:rsid w:val="00FC298F"/>
    <w:rsid w:val="00FD33BD"/>
    <w:rsid w:val="00FD628A"/>
    <w:rsid w:val="00FD6F1A"/>
    <w:rsid w:val="00FE1913"/>
    <w:rsid w:val="00FE43DF"/>
    <w:rsid w:val="00FE73C8"/>
    <w:rsid w:val="01BC5A23"/>
    <w:rsid w:val="088C2CFA"/>
    <w:rsid w:val="0A3B412B"/>
    <w:rsid w:val="0E6024DC"/>
    <w:rsid w:val="1009308B"/>
    <w:rsid w:val="168A3D2C"/>
    <w:rsid w:val="1908229C"/>
    <w:rsid w:val="1A7B546E"/>
    <w:rsid w:val="215A19BE"/>
    <w:rsid w:val="23EC2F12"/>
    <w:rsid w:val="27225890"/>
    <w:rsid w:val="2AED2CDD"/>
    <w:rsid w:val="2BC11C46"/>
    <w:rsid w:val="2D161B30"/>
    <w:rsid w:val="30D41037"/>
    <w:rsid w:val="312E356C"/>
    <w:rsid w:val="31497D8B"/>
    <w:rsid w:val="319E5533"/>
    <w:rsid w:val="33060EBA"/>
    <w:rsid w:val="3CEA44D4"/>
    <w:rsid w:val="3E9876E2"/>
    <w:rsid w:val="3E987883"/>
    <w:rsid w:val="3EE424B4"/>
    <w:rsid w:val="40574364"/>
    <w:rsid w:val="420B6FB7"/>
    <w:rsid w:val="42EC32E2"/>
    <w:rsid w:val="43443D9B"/>
    <w:rsid w:val="437171AF"/>
    <w:rsid w:val="45156357"/>
    <w:rsid w:val="45ED31E3"/>
    <w:rsid w:val="46D51EE4"/>
    <w:rsid w:val="4CB542FF"/>
    <w:rsid w:val="4D1F4BD0"/>
    <w:rsid w:val="4E62234D"/>
    <w:rsid w:val="50D431BD"/>
    <w:rsid w:val="513076F1"/>
    <w:rsid w:val="51AC646F"/>
    <w:rsid w:val="52FD606D"/>
    <w:rsid w:val="54335A4F"/>
    <w:rsid w:val="543C0555"/>
    <w:rsid w:val="55F3018B"/>
    <w:rsid w:val="57BE02DE"/>
    <w:rsid w:val="58F97241"/>
    <w:rsid w:val="594819C3"/>
    <w:rsid w:val="5A9A28E7"/>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4"/>
    <w:qFormat/>
    <w:locked/>
    <w:uiPriority w:val="0"/>
    <w:pPr>
      <w:keepNext/>
      <w:spacing w:before="227" w:line="240" w:lineRule="exact"/>
      <w:ind w:firstLine="420"/>
      <w:outlineLvl w:val="0"/>
    </w:pPr>
    <w:rPr>
      <w:color w:val="000000"/>
      <w:sz w:val="24"/>
    </w:rPr>
  </w:style>
  <w:style w:type="paragraph" w:styleId="4">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7"/>
    <w:qFormat/>
    <w:locked/>
    <w:uiPriority w:val="0"/>
    <w:pPr>
      <w:keepNext/>
      <w:snapToGrid w:val="0"/>
      <w:spacing w:beforeLines="20" w:afterLines="20"/>
      <w:jc w:val="center"/>
      <w:outlineLvl w:val="3"/>
    </w:pPr>
    <w:rPr>
      <w:sz w:val="18"/>
      <w:szCs w:val="18"/>
    </w:rPr>
  </w:style>
  <w:style w:type="paragraph" w:styleId="7">
    <w:name w:val="heading 5"/>
    <w:basedOn w:val="1"/>
    <w:next w:val="1"/>
    <w:link w:val="98"/>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99"/>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0"/>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2"/>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237"/>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255"/>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23"/>
    <w:uiPriority w:val="0"/>
    <w:pPr>
      <w:shd w:val="clear" w:color="auto" w:fill="000080"/>
    </w:pPr>
  </w:style>
  <w:style w:type="paragraph" w:styleId="26">
    <w:name w:val="annotation text"/>
    <w:basedOn w:val="1"/>
    <w:link w:val="103"/>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60"/>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5"/>
    <w:qFormat/>
    <w:uiPriority w:val="0"/>
    <w:rPr>
      <w:sz w:val="20"/>
    </w:rPr>
  </w:style>
  <w:style w:type="paragraph" w:styleId="31">
    <w:name w:val="Body Text Indent"/>
    <w:basedOn w:val="1"/>
    <w:link w:val="106"/>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242"/>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58"/>
    <w:qFormat/>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24"/>
    <w:uiPriority w:val="0"/>
    <w:pPr>
      <w:autoSpaceDE w:val="0"/>
      <w:autoSpaceDN w:val="0"/>
      <w:adjustRightInd w:val="0"/>
      <w:textAlignment w:val="baseline"/>
    </w:pPr>
    <w:rPr>
      <w:rFonts w:ascii="Arial" w:hAnsi="Arial"/>
    </w:rPr>
  </w:style>
  <w:style w:type="paragraph" w:styleId="45">
    <w:name w:val="Body Text Indent 2"/>
    <w:basedOn w:val="1"/>
    <w:link w:val="133"/>
    <w:uiPriority w:val="0"/>
    <w:pPr>
      <w:autoSpaceDE w:val="0"/>
      <w:autoSpaceDN w:val="0"/>
      <w:adjustRightInd w:val="0"/>
      <w:spacing w:line="360" w:lineRule="auto"/>
      <w:ind w:left="1080"/>
      <w:textAlignment w:val="baseline"/>
    </w:pPr>
  </w:style>
  <w:style w:type="paragraph" w:styleId="46">
    <w:name w:val="endnote text"/>
    <w:basedOn w:val="47"/>
    <w:link w:val="25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07"/>
    <w:unhideWhenUsed/>
    <w:qFormat/>
    <w:uiPriority w:val="99"/>
    <w:rPr>
      <w:sz w:val="18"/>
      <w:szCs w:val="18"/>
    </w:rPr>
  </w:style>
  <w:style w:type="paragraph" w:styleId="49">
    <w:name w:val="footer"/>
    <w:basedOn w:val="1"/>
    <w:link w:val="108"/>
    <w:qFormat/>
    <w:uiPriority w:val="99"/>
    <w:pPr>
      <w:tabs>
        <w:tab w:val="center" w:pos="4153"/>
        <w:tab w:val="right" w:pos="8306"/>
      </w:tabs>
      <w:snapToGrid w:val="0"/>
      <w:jc w:val="left"/>
    </w:pPr>
    <w:rPr>
      <w:sz w:val="18"/>
      <w:szCs w:val="18"/>
    </w:rPr>
  </w:style>
  <w:style w:type="paragraph" w:styleId="50">
    <w:name w:val="header"/>
    <w:basedOn w:val="1"/>
    <w:link w:val="109"/>
    <w:qFormat/>
    <w:uiPriority w:val="99"/>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274"/>
    <w:qFormat/>
    <w:locked/>
    <w:uiPriority w:val="0"/>
    <w:pPr>
      <w:topLinePunct w:val="0"/>
      <w:adjustRightInd/>
      <w:snapToGrid w:val="0"/>
      <w:spacing w:before="360" w:after="680"/>
    </w:pPr>
    <w:rPr>
      <w:rFonts w:eastAsia="黑体"/>
      <w:b w:val="0"/>
      <w:sz w:val="48"/>
    </w:rPr>
  </w:style>
  <w:style w:type="paragraph" w:styleId="57">
    <w:name w:val="Title"/>
    <w:basedOn w:val="1"/>
    <w:link w:val="23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247"/>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2"/>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10"/>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275"/>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04"/>
    <w:unhideWhenUsed/>
    <w:qFormat/>
    <w:uiPriority w:val="99"/>
    <w:rPr>
      <w:b/>
      <w:bCs/>
    </w:rPr>
  </w:style>
  <w:style w:type="paragraph" w:styleId="73">
    <w:name w:val="Body Text First Indent"/>
    <w:basedOn w:val="30"/>
    <w:link w:val="213"/>
    <w:uiPriority w:val="0"/>
    <w:pPr>
      <w:spacing w:after="120"/>
      <w:ind w:firstLine="420" w:firstLineChars="100"/>
    </w:pPr>
    <w:rPr>
      <w:sz w:val="21"/>
    </w:rPr>
  </w:style>
  <w:style w:type="paragraph" w:styleId="74">
    <w:name w:val="Body Text First Indent 2"/>
    <w:basedOn w:val="31"/>
    <w:link w:val="232"/>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99"/>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99"/>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标题 1 Char"/>
    <w:basedOn w:val="77"/>
    <w:link w:val="3"/>
    <w:uiPriority w:val="0"/>
    <w:rPr>
      <w:rFonts w:ascii="Times New Roman" w:hAnsi="Times New Roman"/>
      <w:color w:val="000000"/>
      <w:kern w:val="2"/>
      <w:sz w:val="24"/>
    </w:rPr>
  </w:style>
  <w:style w:type="character" w:customStyle="1" w:styleId="95">
    <w:name w:val="标题 2 Char"/>
    <w:basedOn w:val="77"/>
    <w:link w:val="4"/>
    <w:uiPriority w:val="0"/>
    <w:rPr>
      <w:rFonts w:ascii="Arial" w:hAnsi="Arial" w:eastAsia="黑体"/>
      <w:sz w:val="32"/>
    </w:rPr>
  </w:style>
  <w:style w:type="character" w:customStyle="1" w:styleId="96">
    <w:name w:val="标题 3 Char"/>
    <w:basedOn w:val="77"/>
    <w:link w:val="5"/>
    <w:qFormat/>
    <w:uiPriority w:val="0"/>
    <w:rPr>
      <w:rFonts w:ascii="宋体" w:hAnsi="宋体" w:cs="宋体"/>
      <w:b/>
      <w:bCs/>
      <w:sz w:val="27"/>
      <w:szCs w:val="27"/>
    </w:rPr>
  </w:style>
  <w:style w:type="character" w:customStyle="1" w:styleId="97">
    <w:name w:val="标题 4 Char"/>
    <w:basedOn w:val="77"/>
    <w:link w:val="6"/>
    <w:uiPriority w:val="0"/>
    <w:rPr>
      <w:rFonts w:ascii="Times New Roman" w:hAnsi="Times New Roman"/>
      <w:kern w:val="2"/>
      <w:sz w:val="18"/>
      <w:szCs w:val="18"/>
    </w:rPr>
  </w:style>
  <w:style w:type="character" w:customStyle="1" w:styleId="98">
    <w:name w:val="标题 5 Char"/>
    <w:basedOn w:val="77"/>
    <w:link w:val="7"/>
    <w:uiPriority w:val="0"/>
    <w:rPr>
      <w:rFonts w:ascii="Times New Roman" w:hAnsi="Times New Roman"/>
      <w:b/>
      <w:kern w:val="2"/>
      <w:sz w:val="28"/>
    </w:rPr>
  </w:style>
  <w:style w:type="character" w:customStyle="1" w:styleId="99">
    <w:name w:val="标题 6 Char"/>
    <w:basedOn w:val="77"/>
    <w:link w:val="8"/>
    <w:uiPriority w:val="0"/>
    <w:rPr>
      <w:rFonts w:ascii="Arial" w:hAnsi="Arial" w:eastAsia="黑体"/>
      <w:b/>
      <w:kern w:val="2"/>
      <w:sz w:val="24"/>
    </w:rPr>
  </w:style>
  <w:style w:type="character" w:customStyle="1" w:styleId="100">
    <w:name w:val="标题 7 Char"/>
    <w:basedOn w:val="77"/>
    <w:link w:val="9"/>
    <w:uiPriority w:val="0"/>
    <w:rPr>
      <w:rFonts w:ascii="Times New Roman" w:hAnsi="Times New Roman"/>
      <w:b/>
      <w:kern w:val="2"/>
      <w:sz w:val="24"/>
    </w:rPr>
  </w:style>
  <w:style w:type="character" w:customStyle="1" w:styleId="101">
    <w:name w:val="标题 8 Char"/>
    <w:basedOn w:val="77"/>
    <w:link w:val="10"/>
    <w:uiPriority w:val="0"/>
    <w:rPr>
      <w:rFonts w:ascii="宋体" w:hAnsi="Times New Roman"/>
      <w:b/>
      <w:sz w:val="21"/>
    </w:rPr>
  </w:style>
  <w:style w:type="character" w:customStyle="1" w:styleId="102">
    <w:name w:val="标题 9 Char"/>
    <w:basedOn w:val="77"/>
    <w:link w:val="12"/>
    <w:uiPriority w:val="0"/>
    <w:rPr>
      <w:rFonts w:ascii="Arial" w:hAnsi="Arial" w:eastAsia="黑体"/>
      <w:kern w:val="2"/>
      <w:sz w:val="21"/>
    </w:rPr>
  </w:style>
  <w:style w:type="character" w:customStyle="1" w:styleId="103">
    <w:name w:val="批注文字 Char"/>
    <w:basedOn w:val="77"/>
    <w:link w:val="26"/>
    <w:qFormat/>
    <w:uiPriority w:val="99"/>
    <w:rPr>
      <w:kern w:val="2"/>
      <w:sz w:val="21"/>
    </w:rPr>
  </w:style>
  <w:style w:type="character" w:customStyle="1" w:styleId="104">
    <w:name w:val="批注主题 Char"/>
    <w:basedOn w:val="103"/>
    <w:link w:val="72"/>
    <w:qFormat/>
    <w:uiPriority w:val="99"/>
    <w:rPr>
      <w:b/>
      <w:bCs/>
    </w:rPr>
  </w:style>
  <w:style w:type="character" w:customStyle="1" w:styleId="105">
    <w:name w:val="正文文本 Char"/>
    <w:basedOn w:val="77"/>
    <w:link w:val="30"/>
    <w:qFormat/>
    <w:uiPriority w:val="0"/>
    <w:rPr>
      <w:rFonts w:ascii="Times New Roman" w:hAnsi="Times New Roman"/>
      <w:kern w:val="2"/>
    </w:rPr>
  </w:style>
  <w:style w:type="character" w:customStyle="1" w:styleId="106">
    <w:name w:val="正文文本缩进 Char"/>
    <w:basedOn w:val="77"/>
    <w:link w:val="31"/>
    <w:uiPriority w:val="0"/>
    <w:rPr>
      <w:b/>
      <w:kern w:val="2"/>
      <w:sz w:val="30"/>
    </w:rPr>
  </w:style>
  <w:style w:type="character" w:customStyle="1" w:styleId="107">
    <w:name w:val="批注框文本 Char"/>
    <w:basedOn w:val="77"/>
    <w:link w:val="48"/>
    <w:qFormat/>
    <w:uiPriority w:val="99"/>
    <w:rPr>
      <w:kern w:val="2"/>
      <w:sz w:val="18"/>
      <w:szCs w:val="18"/>
    </w:rPr>
  </w:style>
  <w:style w:type="character" w:customStyle="1" w:styleId="108">
    <w:name w:val="页脚 Char"/>
    <w:basedOn w:val="77"/>
    <w:link w:val="49"/>
    <w:qFormat/>
    <w:locked/>
    <w:uiPriority w:val="99"/>
    <w:rPr>
      <w:rFonts w:ascii="Times New Roman" w:hAnsi="Times New Roman" w:eastAsia="宋体" w:cs="Times New Roman"/>
      <w:sz w:val="18"/>
      <w:szCs w:val="18"/>
    </w:rPr>
  </w:style>
  <w:style w:type="character" w:customStyle="1" w:styleId="109">
    <w:name w:val="页眉 Char"/>
    <w:basedOn w:val="77"/>
    <w:link w:val="50"/>
    <w:semiHidden/>
    <w:qFormat/>
    <w:locked/>
    <w:uiPriority w:val="99"/>
    <w:rPr>
      <w:rFonts w:ascii="Times New Roman" w:hAnsi="Times New Roman" w:eastAsia="宋体" w:cs="Times New Roman"/>
      <w:sz w:val="18"/>
      <w:szCs w:val="18"/>
    </w:rPr>
  </w:style>
  <w:style w:type="character" w:customStyle="1" w:styleId="110">
    <w:name w:val="正文文本 2 Char"/>
    <w:basedOn w:val="77"/>
    <w:link w:val="66"/>
    <w:qFormat/>
    <w:uiPriority w:val="0"/>
    <w:rPr>
      <w:kern w:val="2"/>
      <w:sz w:val="21"/>
    </w:rPr>
  </w:style>
  <w:style w:type="paragraph" w:customStyle="1" w:styleId="111">
    <w:name w:val="普通文字"/>
    <w:basedOn w:val="1"/>
    <w:next w:val="1"/>
    <w:qFormat/>
    <w:uiPriority w:val="99"/>
    <w:rPr>
      <w:rFonts w:ascii="宋体"/>
      <w:kern w:val="0"/>
      <w:sz w:val="24"/>
      <w:u w:val="none" w:color="000000"/>
    </w:rPr>
  </w:style>
  <w:style w:type="character" w:customStyle="1" w:styleId="112">
    <w:name w:val="明显参考1"/>
    <w:basedOn w:val="77"/>
    <w:qFormat/>
    <w:uiPriority w:val="99"/>
    <w:rPr>
      <w:rFonts w:cs="Times New Roman"/>
      <w:b/>
      <w:bCs/>
      <w:smallCaps/>
      <w:color w:val="C0504D"/>
      <w:spacing w:val="5"/>
      <w:u w:val="single"/>
    </w:rPr>
  </w:style>
  <w:style w:type="paragraph" w:customStyle="1" w:styleId="113">
    <w:name w:val="正文_1_1"/>
    <w:qFormat/>
    <w:uiPriority w:val="99"/>
    <w:pPr>
      <w:widowControl w:val="0"/>
      <w:jc w:val="both"/>
    </w:pPr>
    <w:rPr>
      <w:rFonts w:ascii="Calibri" w:hAnsi="Calibri" w:eastAsia="宋体" w:cs="Times New Roman"/>
      <w:kern w:val="2"/>
      <w:sz w:val="21"/>
      <w:szCs w:val="22"/>
      <w:lang w:val="en-US" w:eastAsia="zh-CN" w:bidi="ar-SA"/>
    </w:rPr>
  </w:style>
  <w:style w:type="paragraph" w:styleId="114">
    <w:name w:val="List Paragraph"/>
    <w:basedOn w:val="1"/>
    <w:qFormat/>
    <w:uiPriority w:val="99"/>
    <w:pPr>
      <w:ind w:firstLine="420" w:firstLineChars="200"/>
    </w:pPr>
  </w:style>
  <w:style w:type="paragraph" w:customStyle="1" w:styleId="11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Normal_0_0"/>
    <w:qFormat/>
    <w:uiPriority w:val="0"/>
    <w:rPr>
      <w:rFonts w:ascii="黑体" w:hAnsi="黑体" w:eastAsia="黑体" w:cs="Times New Roman"/>
      <w:b/>
      <w:sz w:val="32"/>
      <w:szCs w:val="24"/>
      <w:lang w:val="en-US" w:eastAsia="zh-CN" w:bidi="ar-SA"/>
    </w:rPr>
  </w:style>
  <w:style w:type="character" w:customStyle="1" w:styleId="118">
    <w:name w:val="样式 标题 1 + 加粗 Char Char"/>
    <w:basedOn w:val="119"/>
    <w:uiPriority w:val="0"/>
    <w:rPr>
      <w:b/>
      <w:bCs/>
    </w:rPr>
  </w:style>
  <w:style w:type="character" w:customStyle="1" w:styleId="119">
    <w:name w:val="标题 1 Char Char"/>
    <w:basedOn w:val="77"/>
    <w:uiPriority w:val="0"/>
    <w:rPr>
      <w:rFonts w:eastAsia="黑体"/>
      <w:kern w:val="44"/>
      <w:sz w:val="28"/>
      <w:szCs w:val="28"/>
      <w:lang w:val="en-US" w:eastAsia="zh-CN" w:bidi="ar-SA"/>
    </w:rPr>
  </w:style>
  <w:style w:type="character" w:customStyle="1" w:styleId="120">
    <w:name w:val="表头 Char Char"/>
    <w:basedOn w:val="77"/>
    <w:uiPriority w:val="0"/>
    <w:rPr>
      <w:rFonts w:eastAsia="黑体"/>
      <w:kern w:val="2"/>
      <w:sz w:val="21"/>
      <w:szCs w:val="21"/>
      <w:lang w:val="en-US" w:eastAsia="zh-CN" w:bidi="ar-SA"/>
    </w:rPr>
  </w:style>
  <w:style w:type="character" w:customStyle="1" w:styleId="121">
    <w:name w:val="样式 标题 2 + 五号 Char Char"/>
    <w:basedOn w:val="77"/>
    <w:uiPriority w:val="0"/>
    <w:rPr>
      <w:rFonts w:eastAsia="黑体"/>
      <w:bCs/>
      <w:kern w:val="2"/>
      <w:sz w:val="21"/>
      <w:szCs w:val="21"/>
      <w:lang w:val="en-US" w:eastAsia="zh-CN" w:bidi="ar-SA"/>
    </w:rPr>
  </w:style>
  <w:style w:type="character" w:customStyle="1" w:styleId="122">
    <w:name w:val="正文文本缩进 3 Char"/>
    <w:basedOn w:val="77"/>
    <w:link w:val="60"/>
    <w:uiPriority w:val="0"/>
    <w:rPr>
      <w:rFonts w:ascii="Times New Roman" w:hAnsi="Times New Roman"/>
      <w:kern w:val="2"/>
      <w:sz w:val="24"/>
    </w:rPr>
  </w:style>
  <w:style w:type="character" w:customStyle="1" w:styleId="123">
    <w:name w:val="文档结构图 Char"/>
    <w:basedOn w:val="77"/>
    <w:link w:val="25"/>
    <w:uiPriority w:val="0"/>
    <w:rPr>
      <w:rFonts w:ascii="Times New Roman" w:hAnsi="Times New Roman"/>
      <w:kern w:val="2"/>
      <w:sz w:val="21"/>
      <w:shd w:val="clear" w:color="auto" w:fill="000080"/>
    </w:rPr>
  </w:style>
  <w:style w:type="character" w:customStyle="1" w:styleId="124">
    <w:name w:val="日期 Char"/>
    <w:basedOn w:val="77"/>
    <w:link w:val="44"/>
    <w:uiPriority w:val="0"/>
    <w:rPr>
      <w:rFonts w:ascii="Arial" w:hAnsi="Arial"/>
      <w:kern w:val="2"/>
      <w:sz w:val="21"/>
    </w:rPr>
  </w:style>
  <w:style w:type="paragraph" w:customStyle="1" w:styleId="125">
    <w:name w:val="p0"/>
    <w:basedOn w:val="1"/>
    <w:uiPriority w:val="0"/>
    <w:pPr>
      <w:widowControl/>
      <w:spacing w:after="200" w:line="273" w:lineRule="auto"/>
      <w:jc w:val="left"/>
    </w:pPr>
    <w:rPr>
      <w:rFonts w:ascii="Calibri" w:hAnsi="Calibri" w:cs="宋体"/>
      <w:kern w:val="0"/>
      <w:sz w:val="22"/>
      <w:szCs w:val="22"/>
    </w:rPr>
  </w:style>
  <w:style w:type="paragraph" w:customStyle="1" w:styleId="126">
    <w:name w:val="表文"/>
    <w:basedOn w:val="1"/>
    <w:uiPriority w:val="0"/>
    <w:pPr>
      <w:topLinePunct/>
      <w:spacing w:before="40" w:after="40"/>
    </w:pPr>
    <w:rPr>
      <w:sz w:val="18"/>
      <w:szCs w:val="18"/>
    </w:rPr>
  </w:style>
  <w:style w:type="paragraph" w:customStyle="1" w:styleId="127">
    <w:name w:val="样式 样式 标题 2 + 段前: 0.5 行 段后: 0.5 行 + 首行缩进:  2 字符 段前: 0.5 行 段后: 0..."/>
    <w:basedOn w:val="128"/>
    <w:uiPriority w:val="0"/>
  </w:style>
  <w:style w:type="paragraph" w:customStyle="1" w:styleId="128">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29">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30">
    <w:name w:val="批注主题 Char Char"/>
    <w:basedOn w:val="26"/>
    <w:next w:val="26"/>
    <w:uiPriority w:val="0"/>
    <w:rPr>
      <w:b/>
      <w:bCs/>
    </w:rPr>
  </w:style>
  <w:style w:type="paragraph" w:customStyle="1" w:styleId="131">
    <w:name w:val="表头"/>
    <w:basedOn w:val="1"/>
    <w:link w:val="132"/>
    <w:uiPriority w:val="0"/>
    <w:pPr>
      <w:topLinePunct/>
      <w:spacing w:before="160" w:after="60"/>
      <w:jc w:val="center"/>
    </w:pPr>
    <w:rPr>
      <w:rFonts w:eastAsia="黑体"/>
      <w:szCs w:val="21"/>
    </w:rPr>
  </w:style>
  <w:style w:type="character" w:customStyle="1" w:styleId="132">
    <w:name w:val="表头 Char"/>
    <w:basedOn w:val="77"/>
    <w:link w:val="131"/>
    <w:uiPriority w:val="0"/>
    <w:rPr>
      <w:rFonts w:ascii="Times New Roman" w:hAnsi="Times New Roman" w:eastAsia="黑体"/>
      <w:kern w:val="2"/>
      <w:sz w:val="21"/>
      <w:szCs w:val="21"/>
    </w:rPr>
  </w:style>
  <w:style w:type="character" w:customStyle="1" w:styleId="133">
    <w:name w:val="正文文本缩进 2 Char"/>
    <w:basedOn w:val="77"/>
    <w:link w:val="45"/>
    <w:uiPriority w:val="0"/>
    <w:rPr>
      <w:rFonts w:ascii="Times New Roman" w:hAnsi="Times New Roman"/>
      <w:kern w:val="2"/>
      <w:sz w:val="21"/>
    </w:rPr>
  </w:style>
  <w:style w:type="paragraph" w:customStyle="1" w:styleId="134">
    <w:name w:val="默认段落字体 Para Char Char Char Char Char"/>
    <w:basedOn w:val="1"/>
    <w:uiPriority w:val="0"/>
    <w:rPr>
      <w:rFonts w:ascii="宋体" w:hAnsi="宋体"/>
      <w:b/>
      <w:color w:val="000000"/>
      <w:sz w:val="24"/>
      <w:szCs w:val="24"/>
    </w:rPr>
  </w:style>
  <w:style w:type="paragraph" w:customStyle="1" w:styleId="135">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36">
    <w:name w:val="样式6"/>
    <w:basedOn w:val="1"/>
    <w:uiPriority w:val="0"/>
    <w:pPr>
      <w:topLinePunct/>
      <w:spacing w:before="160" w:after="60"/>
      <w:jc w:val="center"/>
    </w:pPr>
    <w:rPr>
      <w:rFonts w:eastAsia="黑体"/>
      <w:szCs w:val="21"/>
    </w:rPr>
  </w:style>
  <w:style w:type="paragraph" w:customStyle="1" w:styleId="137">
    <w:name w:val="Char Char"/>
    <w:basedOn w:val="1"/>
    <w:uiPriority w:val="0"/>
    <w:rPr>
      <w:szCs w:val="21"/>
    </w:rPr>
  </w:style>
  <w:style w:type="paragraph" w:customStyle="1" w:styleId="138">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139">
    <w:name w:val="Char Char Char Char"/>
    <w:basedOn w:val="1"/>
    <w:uiPriority w:val="0"/>
    <w:rPr>
      <w:szCs w:val="24"/>
    </w:rPr>
  </w:style>
  <w:style w:type="paragraph" w:customStyle="1" w:styleId="140">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41">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42">
    <w:name w:val="Char"/>
    <w:basedOn w:val="1"/>
    <w:uiPriority w:val="0"/>
    <w:rPr>
      <w:szCs w:val="24"/>
    </w:rPr>
  </w:style>
  <w:style w:type="paragraph" w:customStyle="1" w:styleId="143">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44">
    <w:name w:val="批注框文本 Char Char"/>
    <w:basedOn w:val="1"/>
    <w:uiPriority w:val="0"/>
    <w:rPr>
      <w:sz w:val="18"/>
      <w:szCs w:val="18"/>
    </w:rPr>
  </w:style>
  <w:style w:type="paragraph" w:customStyle="1" w:styleId="145">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46">
    <w:name w:val="正文格式"/>
    <w:basedOn w:val="1"/>
    <w:uiPriority w:val="0"/>
    <w:pPr>
      <w:topLinePunct/>
      <w:ind w:firstLine="420" w:firstLineChars="200"/>
    </w:pPr>
    <w:rPr>
      <w:rFonts w:ascii="宋体" w:hAnsi="宋体"/>
      <w:bCs/>
      <w:szCs w:val="21"/>
    </w:rPr>
  </w:style>
  <w:style w:type="paragraph" w:customStyle="1" w:styleId="147">
    <w:name w:val="段"/>
    <w:link w:val="148"/>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8">
    <w:name w:val="段 Char Char"/>
    <w:basedOn w:val="77"/>
    <w:link w:val="147"/>
    <w:uiPriority w:val="0"/>
    <w:rPr>
      <w:rFonts w:ascii="宋体" w:hAnsi="Times New Roman"/>
      <w:sz w:val="21"/>
      <w:lang w:val="en-US" w:eastAsia="zh-CN" w:bidi="ar-SA"/>
    </w:rPr>
  </w:style>
  <w:style w:type="paragraph" w:customStyle="1" w:styleId="149">
    <w:name w:val="样式1"/>
    <w:basedOn w:val="1"/>
    <w:link w:val="150"/>
    <w:uiPriority w:val="0"/>
    <w:rPr>
      <w:sz w:val="28"/>
      <w:szCs w:val="24"/>
    </w:rPr>
  </w:style>
  <w:style w:type="character" w:customStyle="1" w:styleId="150">
    <w:name w:val="样式1 Char"/>
    <w:basedOn w:val="77"/>
    <w:link w:val="149"/>
    <w:locked/>
    <w:uiPriority w:val="0"/>
    <w:rPr>
      <w:rFonts w:ascii="Times New Roman" w:hAnsi="Times New Roman"/>
      <w:kern w:val="2"/>
      <w:sz w:val="28"/>
      <w:szCs w:val="24"/>
    </w:rPr>
  </w:style>
  <w:style w:type="paragraph" w:customStyle="1" w:styleId="151">
    <w:name w:val="样式4"/>
    <w:basedOn w:val="152"/>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52">
    <w:name w:val="样式3"/>
    <w:basedOn w:val="149"/>
    <w:uiPriority w:val="0"/>
  </w:style>
  <w:style w:type="paragraph" w:customStyle="1" w:styleId="153">
    <w:name w:val="样式2"/>
    <w:basedOn w:val="149"/>
    <w:link w:val="154"/>
    <w:uiPriority w:val="0"/>
  </w:style>
  <w:style w:type="character" w:customStyle="1" w:styleId="154">
    <w:name w:val="样式2 Char Char"/>
    <w:link w:val="153"/>
    <w:uiPriority w:val="0"/>
    <w:rPr>
      <w:rFonts w:ascii="Times New Roman" w:hAnsi="Times New Roman"/>
      <w:kern w:val="2"/>
      <w:sz w:val="28"/>
      <w:szCs w:val="24"/>
    </w:rPr>
  </w:style>
  <w:style w:type="paragraph" w:customStyle="1" w:styleId="155">
    <w:name w:val="正文1"/>
    <w:basedOn w:val="149"/>
    <w:link w:val="156"/>
    <w:qFormat/>
    <w:uiPriority w:val="0"/>
  </w:style>
  <w:style w:type="character" w:customStyle="1" w:styleId="156">
    <w:name w:val="正文1 Char"/>
    <w:link w:val="155"/>
    <w:uiPriority w:val="0"/>
    <w:rPr>
      <w:rFonts w:ascii="Times New Roman" w:hAnsi="Times New Roman"/>
      <w:kern w:val="2"/>
      <w:sz w:val="28"/>
      <w:szCs w:val="24"/>
    </w:rPr>
  </w:style>
  <w:style w:type="character" w:customStyle="1" w:styleId="157">
    <w:name w:val="纯文本 Char"/>
    <w:basedOn w:val="77"/>
    <w:link w:val="41"/>
    <w:uiPriority w:val="0"/>
    <w:rPr>
      <w:rFonts w:ascii="宋体" w:hAnsi="Courier New"/>
      <w:kern w:val="2"/>
      <w:sz w:val="21"/>
    </w:rPr>
  </w:style>
  <w:style w:type="character" w:customStyle="1" w:styleId="158">
    <w:name w:val="纯文本 Char1"/>
    <w:basedOn w:val="77"/>
    <w:link w:val="41"/>
    <w:semiHidden/>
    <w:uiPriority w:val="99"/>
    <w:rPr>
      <w:rFonts w:ascii="宋体" w:hAnsi="Courier New" w:cs="Courier New"/>
      <w:kern w:val="2"/>
      <w:sz w:val="21"/>
      <w:szCs w:val="21"/>
    </w:rPr>
  </w:style>
  <w:style w:type="character" w:customStyle="1" w:styleId="159">
    <w:name w:val="正文文本 3 Char"/>
    <w:basedOn w:val="77"/>
    <w:link w:val="28"/>
    <w:uiPriority w:val="0"/>
    <w:rPr>
      <w:kern w:val="2"/>
      <w:sz w:val="16"/>
      <w:szCs w:val="16"/>
    </w:rPr>
  </w:style>
  <w:style w:type="character" w:customStyle="1" w:styleId="160">
    <w:name w:val="正文文本 3 Char1"/>
    <w:basedOn w:val="77"/>
    <w:link w:val="28"/>
    <w:semiHidden/>
    <w:uiPriority w:val="99"/>
    <w:rPr>
      <w:rFonts w:ascii="Times New Roman" w:hAnsi="Times New Roman"/>
      <w:kern w:val="2"/>
      <w:sz w:val="16"/>
      <w:szCs w:val="16"/>
    </w:rPr>
  </w:style>
  <w:style w:type="character" w:customStyle="1" w:styleId="161">
    <w:name w:val="样式 标题 1 + 加粗 Char"/>
    <w:basedOn w:val="94"/>
    <w:uiPriority w:val="0"/>
    <w:rPr>
      <w:rFonts w:eastAsia="黑体"/>
      <w:b/>
      <w:bCs/>
      <w:sz w:val="28"/>
      <w:szCs w:val="28"/>
      <w:lang w:val="en-US" w:eastAsia="zh-CN" w:bidi="ar-SA"/>
    </w:rPr>
  </w:style>
  <w:style w:type="paragraph" w:customStyle="1" w:styleId="16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63">
    <w:name w:val="二级条标题"/>
    <w:basedOn w:val="162"/>
    <w:next w:val="1"/>
    <w:uiPriority w:val="0"/>
    <w:pPr>
      <w:numPr>
        <w:ilvl w:val="3"/>
        <w:numId w:val="1"/>
      </w:numPr>
      <w:outlineLvl w:val="3"/>
    </w:pPr>
  </w:style>
  <w:style w:type="paragraph" w:customStyle="1" w:styleId="164">
    <w:name w:val="正文表标题"/>
    <w:next w:val="1"/>
    <w:uiPriority w:val="0"/>
    <w:pPr>
      <w:jc w:val="center"/>
    </w:pPr>
    <w:rPr>
      <w:rFonts w:ascii="黑体" w:hAnsi="Times New Roman" w:eastAsia="黑体" w:cs="Times New Roman"/>
      <w:sz w:val="21"/>
      <w:lang w:val="en-US" w:eastAsia="zh-CN" w:bidi="ar-SA"/>
    </w:rPr>
  </w:style>
  <w:style w:type="paragraph" w:customStyle="1" w:styleId="165">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character" w:customStyle="1" w:styleId="166">
    <w:name w:val="msoins"/>
    <w:uiPriority w:val="0"/>
    <w:rPr>
      <w:u w:val="single"/>
    </w:rPr>
  </w:style>
  <w:style w:type="character" w:customStyle="1" w:styleId="167">
    <w:name w:val="样式 正文（首行缩进两字） Char + 加粗 Char Char"/>
    <w:uiPriority w:val="0"/>
    <w:rPr>
      <w:rFonts w:eastAsia="宋体"/>
      <w:b/>
      <w:kern w:val="2"/>
      <w:sz w:val="21"/>
      <w:lang w:val="en-US" w:eastAsia="zh-CN"/>
    </w:rPr>
  </w:style>
  <w:style w:type="character" w:customStyle="1" w:styleId="168">
    <w:name w:val="style251"/>
    <w:uiPriority w:val="0"/>
    <w:rPr>
      <w:rFonts w:eastAsia="宋体"/>
      <w:kern w:val="2"/>
      <w:sz w:val="21"/>
      <w:lang w:val="en-US" w:eastAsia="zh-CN"/>
    </w:rPr>
  </w:style>
  <w:style w:type="character" w:customStyle="1" w:styleId="169">
    <w:name w:val="着重强调"/>
    <w:uiPriority w:val="0"/>
    <w:rPr>
      <w:rFonts w:ascii="Arial" w:hAnsi="Arial"/>
      <w:b/>
      <w:spacing w:val="-4"/>
    </w:rPr>
  </w:style>
  <w:style w:type="character" w:customStyle="1" w:styleId="170">
    <w:name w:val="发布"/>
    <w:uiPriority w:val="0"/>
    <w:rPr>
      <w:rFonts w:ascii="黑体" w:eastAsia="黑体"/>
      <w:spacing w:val="22"/>
      <w:w w:val="100"/>
      <w:position w:val="3"/>
      <w:sz w:val="28"/>
    </w:rPr>
  </w:style>
  <w:style w:type="character" w:customStyle="1" w:styleId="171">
    <w:name w:val="样式 样式 正文缩进正文缩进 Char正文（首行缩进两字） Char Char正文（首行缩进两字） Char1正文（首行缩进两.... Char Char"/>
    <w:basedOn w:val="172"/>
    <w:link w:val="174"/>
    <w:uiPriority w:val="0"/>
  </w:style>
  <w:style w:type="character" w:customStyle="1" w:styleId="172">
    <w:name w:val="样式 正文缩进正文缩进 Char正文（首行缩进两字） Char Char正文（首行缩进两字） Char1正文（首行缩进两...1 Char Char"/>
    <w:link w:val="173"/>
    <w:uiPriority w:val="0"/>
    <w:rPr>
      <w:kern w:val="2"/>
      <w:sz w:val="21"/>
    </w:rPr>
  </w:style>
  <w:style w:type="paragraph" w:customStyle="1" w:styleId="173">
    <w:name w:val="样式 正文缩进正文缩进 Char正文（首行缩进两字） Char Char正文（首行缩进两字） Char1正文（首行缩进两...1"/>
    <w:basedOn w:val="1"/>
    <w:link w:val="172"/>
    <w:uiPriority w:val="0"/>
    <w:pPr>
      <w:spacing w:beforeLines="10" w:line="312" w:lineRule="auto"/>
      <w:ind w:firstLine="200" w:firstLineChars="200"/>
    </w:pPr>
    <w:rPr>
      <w:rFonts w:ascii="Calibri" w:hAnsi="Calibri"/>
    </w:rPr>
  </w:style>
  <w:style w:type="paragraph" w:customStyle="1" w:styleId="174">
    <w:name w:val="样式 样式 正文缩进正文缩进 Char正文（首行缩进两字） Char Char正文（首行缩进两字） Char1正文（首行缩进两...."/>
    <w:basedOn w:val="173"/>
    <w:link w:val="171"/>
    <w:uiPriority w:val="0"/>
    <w:pPr>
      <w:spacing w:line="300" w:lineRule="auto"/>
    </w:pPr>
    <w:rPr>
      <w:rFonts w:ascii="Calibri" w:hAnsi="Calibri"/>
    </w:rPr>
  </w:style>
  <w:style w:type="character" w:customStyle="1" w:styleId="175">
    <w:name w:val="样式 Times New Roman 首行缩进:  0.74 厘米 段前: 0.1 行 行距1.15 Char Char"/>
    <w:link w:val="176"/>
    <w:uiPriority w:val="0"/>
    <w:rPr>
      <w:rFonts w:hAnsi="宋体"/>
      <w:kern w:val="2"/>
      <w:sz w:val="21"/>
    </w:rPr>
  </w:style>
  <w:style w:type="paragraph" w:customStyle="1" w:styleId="176">
    <w:name w:val="样式 Times New Roman 首行缩进:  0.74 厘米 段前: 0.1 行 行距1.15"/>
    <w:basedOn w:val="1"/>
    <w:link w:val="175"/>
    <w:uiPriority w:val="0"/>
    <w:pPr>
      <w:spacing w:line="276" w:lineRule="auto"/>
      <w:ind w:firstLine="420"/>
    </w:pPr>
    <w:rPr>
      <w:rFonts w:ascii="Calibri" w:hAnsi="宋体"/>
    </w:rPr>
  </w:style>
  <w:style w:type="character" w:customStyle="1" w:styleId="177">
    <w:name w:val="样式 样式 Times New Roman 首行缩进:  0.74 厘米 段前: 0行 行距1.15 + (符号) Tim... Char Char"/>
    <w:basedOn w:val="175"/>
    <w:link w:val="178"/>
    <w:uiPriority w:val="0"/>
  </w:style>
  <w:style w:type="paragraph" w:customStyle="1" w:styleId="178">
    <w:name w:val="样式 样式 Times New Roman 首行缩进:  0.74 厘米 段前: 0行 行距1.15 + (符号) Tim..."/>
    <w:basedOn w:val="176"/>
    <w:link w:val="177"/>
    <w:uiPriority w:val="0"/>
  </w:style>
  <w:style w:type="character" w:customStyle="1" w:styleId="179">
    <w:name w:val="表格条文首行缩进 Char Char"/>
    <w:link w:val="180"/>
    <w:uiPriority w:val="0"/>
    <w:rPr>
      <w:rFonts w:ascii="宋体" w:hAnsi="宋体"/>
      <w:sz w:val="24"/>
    </w:rPr>
  </w:style>
  <w:style w:type="paragraph" w:customStyle="1" w:styleId="180">
    <w:name w:val="表格条文首行缩进"/>
    <w:basedOn w:val="1"/>
    <w:link w:val="179"/>
    <w:uiPriority w:val="0"/>
    <w:pPr>
      <w:spacing w:line="360" w:lineRule="auto"/>
      <w:ind w:firstLine="480" w:firstLineChars="200"/>
      <w:jc w:val="left"/>
    </w:pPr>
    <w:rPr>
      <w:rFonts w:ascii="宋体" w:hAnsi="宋体"/>
      <w:kern w:val="0"/>
      <w:sz w:val="24"/>
    </w:rPr>
  </w:style>
  <w:style w:type="character" w:customStyle="1" w:styleId="181">
    <w:name w:val="个人撰写风格"/>
    <w:uiPriority w:val="0"/>
    <w:rPr>
      <w:rFonts w:ascii="Arial" w:hAnsi="Arial" w:eastAsia="宋体"/>
      <w:color w:val="auto"/>
      <w:sz w:val="20"/>
    </w:rPr>
  </w:style>
  <w:style w:type="character" w:customStyle="1" w:styleId="182">
    <w:name w:val="H2 Char"/>
    <w:uiPriority w:val="0"/>
    <w:rPr>
      <w:rFonts w:ascii="Arial" w:hAnsi="Arial" w:eastAsia="黑体"/>
      <w:b/>
      <w:kern w:val="2"/>
      <w:sz w:val="32"/>
      <w:lang w:val="en-US" w:eastAsia="zh-CN"/>
    </w:rPr>
  </w:style>
  <w:style w:type="character" w:customStyle="1" w:styleId="183">
    <w:name w:val="样式 宋体"/>
    <w:uiPriority w:val="0"/>
    <w:rPr>
      <w:rFonts w:ascii="宋体" w:eastAsia="宋体"/>
      <w:sz w:val="18"/>
    </w:rPr>
  </w:style>
  <w:style w:type="character" w:customStyle="1" w:styleId="184">
    <w:name w:val="样式 a) Char Char"/>
    <w:link w:val="185"/>
    <w:uiPriority w:val="0"/>
    <w:rPr>
      <w:kern w:val="2"/>
      <w:sz w:val="21"/>
    </w:rPr>
  </w:style>
  <w:style w:type="paragraph" w:customStyle="1" w:styleId="185">
    <w:name w:val="样式 a)"/>
    <w:basedOn w:val="1"/>
    <w:next w:val="1"/>
    <w:link w:val="184"/>
    <w:uiPriority w:val="0"/>
    <w:pPr>
      <w:tabs>
        <w:tab w:val="left" w:pos="780"/>
      </w:tabs>
      <w:spacing w:beforeLines="10" w:line="312" w:lineRule="auto"/>
      <w:ind w:firstLine="200" w:firstLineChars="200"/>
    </w:pPr>
    <w:rPr>
      <w:rFonts w:ascii="Calibri" w:hAnsi="Calibri"/>
    </w:rPr>
  </w:style>
  <w:style w:type="character" w:customStyle="1" w:styleId="186">
    <w:name w:val="样式 标题 2 + 段前: 0.1 行 Char Char"/>
    <w:link w:val="187"/>
    <w:uiPriority w:val="0"/>
    <w:rPr>
      <w:b/>
      <w:kern w:val="2"/>
      <w:sz w:val="21"/>
    </w:rPr>
  </w:style>
  <w:style w:type="paragraph" w:customStyle="1" w:styleId="187">
    <w:name w:val="样式 标题 2 + 段前: 0.1 行"/>
    <w:basedOn w:val="4"/>
    <w:link w:val="18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88">
    <w:name w:val="样式 正文（首行缩进两字） Char + Times New Roman Char Char"/>
    <w:basedOn w:val="189"/>
    <w:link w:val="191"/>
    <w:uiPriority w:val="0"/>
  </w:style>
  <w:style w:type="character" w:customStyle="1" w:styleId="189">
    <w:name w:val="样式1正文（首行缩进两字） Char Char Char"/>
    <w:link w:val="190"/>
    <w:uiPriority w:val="0"/>
    <w:rPr>
      <w:kern w:val="2"/>
      <w:sz w:val="21"/>
    </w:rPr>
  </w:style>
  <w:style w:type="paragraph" w:customStyle="1" w:styleId="190">
    <w:name w:val="样式1正文（首行缩进两字） Char"/>
    <w:basedOn w:val="1"/>
    <w:next w:val="1"/>
    <w:link w:val="189"/>
    <w:uiPriority w:val="0"/>
    <w:pPr>
      <w:topLinePunct/>
      <w:snapToGrid w:val="0"/>
      <w:spacing w:before="40" w:after="40"/>
      <w:ind w:firstLine="396" w:firstLineChars="200"/>
    </w:pPr>
    <w:rPr>
      <w:rFonts w:ascii="Calibri" w:hAnsi="Calibri"/>
    </w:rPr>
  </w:style>
  <w:style w:type="paragraph" w:customStyle="1" w:styleId="191">
    <w:name w:val="样式 正文（首行缩进两字） Char + Times New Roman"/>
    <w:basedOn w:val="190"/>
    <w:link w:val="188"/>
    <w:uiPriority w:val="0"/>
    <w:pPr>
      <w:ind w:firstLine="0" w:firstLineChars="0"/>
      <w:jc w:val="center"/>
    </w:pPr>
    <w:rPr>
      <w:rFonts w:ascii="Calibri" w:hAnsi="Calibri"/>
    </w:rPr>
  </w:style>
  <w:style w:type="character" w:customStyle="1" w:styleId="192">
    <w:name w:val="H1 Char"/>
    <w:uiPriority w:val="0"/>
    <w:rPr>
      <w:rFonts w:ascii="Arial" w:hAnsi="Arial" w:eastAsia="黑体"/>
      <w:kern w:val="21"/>
      <w:sz w:val="21"/>
      <w:lang w:val="en-US" w:eastAsia="zh-CN"/>
    </w:rPr>
  </w:style>
  <w:style w:type="character" w:customStyle="1" w:styleId="193">
    <w:name w:val="列表编号 2 Char Char"/>
    <w:uiPriority w:val="0"/>
    <w:rPr>
      <w:rFonts w:ascii="Arial" w:hAnsi="Arial" w:eastAsia="宋体"/>
      <w:sz w:val="18"/>
      <w:lang w:val="en-US" w:eastAsia="zh-CN"/>
    </w:rPr>
  </w:style>
  <w:style w:type="character" w:customStyle="1" w:styleId="194">
    <w:name w:val="Char Char2"/>
    <w:uiPriority w:val="0"/>
    <w:rPr>
      <w:rFonts w:ascii="Arial" w:hAnsi="Arial" w:eastAsia="宋体"/>
      <w:kern w:val="2"/>
      <w:sz w:val="21"/>
      <w:lang w:val="en-US" w:eastAsia="zh-CN"/>
    </w:rPr>
  </w:style>
  <w:style w:type="character" w:customStyle="1" w:styleId="195">
    <w:name w:val="科东_正文 Char Char"/>
    <w:link w:val="196"/>
    <w:uiPriority w:val="0"/>
    <w:rPr>
      <w:kern w:val="2"/>
      <w:sz w:val="24"/>
    </w:rPr>
  </w:style>
  <w:style w:type="paragraph" w:customStyle="1" w:styleId="196">
    <w:name w:val="科东_正文"/>
    <w:basedOn w:val="1"/>
    <w:link w:val="195"/>
    <w:uiPriority w:val="0"/>
    <w:pPr>
      <w:spacing w:line="360" w:lineRule="auto"/>
      <w:ind w:firstLine="200" w:firstLineChars="200"/>
    </w:pPr>
    <w:rPr>
      <w:rFonts w:ascii="Calibri" w:hAnsi="Calibri"/>
      <w:sz w:val="24"/>
    </w:rPr>
  </w:style>
  <w:style w:type="character" w:customStyle="1" w:styleId="197">
    <w:name w:val="个人答复风格"/>
    <w:uiPriority w:val="0"/>
    <w:rPr>
      <w:rFonts w:ascii="Arial" w:hAnsi="Arial" w:eastAsia="宋体"/>
      <w:color w:val="auto"/>
      <w:sz w:val="20"/>
    </w:rPr>
  </w:style>
  <w:style w:type="character" w:customStyle="1" w:styleId="198">
    <w:name w:val="样式1 正文（首行缩进2字） Char + 首行缩进:  2 字符 段前: 0 行 Char Char"/>
    <w:link w:val="199"/>
    <w:uiPriority w:val="0"/>
    <w:rPr>
      <w:rFonts w:hAnsi="Arial"/>
      <w:kern w:val="2"/>
      <w:sz w:val="21"/>
    </w:rPr>
  </w:style>
  <w:style w:type="paragraph" w:customStyle="1" w:styleId="199">
    <w:name w:val="样式1 正文（首行缩进2字） Char + 首行缩进:  2 字符 段前: 0 行"/>
    <w:basedOn w:val="1"/>
    <w:next w:val="1"/>
    <w:link w:val="198"/>
    <w:uiPriority w:val="0"/>
    <w:pPr>
      <w:spacing w:line="276" w:lineRule="auto"/>
      <w:ind w:firstLine="420" w:firstLineChars="200"/>
    </w:pPr>
    <w:rPr>
      <w:rFonts w:ascii="Calibri" w:hAnsi="Arial"/>
    </w:rPr>
  </w:style>
  <w:style w:type="character" w:customStyle="1" w:styleId="200">
    <w:name w:val="样式 a首行缩进:  0 字符 段前: 0 行 + 黑体 Char Char"/>
    <w:link w:val="201"/>
    <w:uiPriority w:val="0"/>
    <w:rPr>
      <w:rFonts w:eastAsia="黑体"/>
      <w:sz w:val="21"/>
    </w:rPr>
  </w:style>
  <w:style w:type="paragraph" w:customStyle="1" w:styleId="201">
    <w:name w:val="样式 a首行缩进:  0 字符 段前: 0 行 + 黑体"/>
    <w:basedOn w:val="202"/>
    <w:link w:val="200"/>
    <w:uiPriority w:val="0"/>
    <w:rPr>
      <w:rFonts w:eastAsia="黑体"/>
    </w:rPr>
  </w:style>
  <w:style w:type="paragraph" w:customStyle="1" w:styleId="202">
    <w:name w:val="样式 a首行缩进:  2 字符 段前: 0 行"/>
    <w:basedOn w:val="1"/>
    <w:link w:val="203"/>
    <w:uiPriority w:val="0"/>
    <w:pPr>
      <w:adjustRightInd w:val="0"/>
      <w:spacing w:afterLines="50"/>
      <w:jc w:val="left"/>
      <w:textAlignment w:val="baseline"/>
    </w:pPr>
    <w:rPr>
      <w:rFonts w:ascii="Calibri" w:hAnsi="Calibri"/>
      <w:kern w:val="0"/>
    </w:rPr>
  </w:style>
  <w:style w:type="character" w:customStyle="1" w:styleId="203">
    <w:name w:val="样式 a首行缩进:  2 字符 段前: 0 行 Char Char"/>
    <w:link w:val="202"/>
    <w:uiPriority w:val="0"/>
    <w:rPr>
      <w:sz w:val="21"/>
    </w:rPr>
  </w:style>
  <w:style w:type="character" w:customStyle="1" w:styleId="204">
    <w:name w:val="朱2 Char Char"/>
    <w:basedOn w:val="154"/>
    <w:link w:val="205"/>
    <w:uiPriority w:val="0"/>
  </w:style>
  <w:style w:type="paragraph" w:customStyle="1" w:styleId="205">
    <w:name w:val="朱2"/>
    <w:basedOn w:val="153"/>
    <w:link w:val="204"/>
    <w:uiPriority w:val="0"/>
    <w:pPr>
      <w:topLinePunct/>
      <w:adjustRightInd w:val="0"/>
      <w:spacing w:line="312" w:lineRule="exact"/>
    </w:pPr>
  </w:style>
  <w:style w:type="character" w:customStyle="1" w:styleId="206">
    <w:name w:val="Lincer表格样式 Char Char"/>
    <w:link w:val="207"/>
    <w:uiPriority w:val="0"/>
    <w:rPr>
      <w:kern w:val="2"/>
      <w:sz w:val="21"/>
    </w:rPr>
  </w:style>
  <w:style w:type="paragraph" w:customStyle="1" w:styleId="207">
    <w:name w:val="Lincer表格样式"/>
    <w:basedOn w:val="1"/>
    <w:link w:val="206"/>
    <w:uiPriority w:val="0"/>
    <w:pPr>
      <w:ind w:left="344" w:hanging="344" w:hangingChars="164"/>
    </w:pPr>
    <w:rPr>
      <w:rFonts w:ascii="Calibri" w:hAnsi="Calibri"/>
    </w:rPr>
  </w:style>
  <w:style w:type="character" w:customStyle="1" w:styleId="208">
    <w:name w:val="Reference"/>
    <w:uiPriority w:val="0"/>
    <w:rPr>
      <w:rFonts w:ascii="Arial" w:hAnsi="Arial"/>
      <w:sz w:val="20"/>
      <w:lang w:val="en-US" w:eastAsia="zh-CN"/>
    </w:rPr>
  </w:style>
  <w:style w:type="character" w:customStyle="1" w:styleId="209">
    <w:name w:val="上标"/>
    <w:uiPriority w:val="0"/>
    <w:rPr>
      <w:b/>
      <w:vertAlign w:val="superscript"/>
    </w:rPr>
  </w:style>
  <w:style w:type="character" w:customStyle="1" w:styleId="210">
    <w:name w:val="正文文本 Char1 Char"/>
    <w:uiPriority w:val="0"/>
    <w:rPr>
      <w:rFonts w:ascii="Arial" w:hAnsi="Arial" w:eastAsia="宋体"/>
      <w:kern w:val="2"/>
      <w:sz w:val="18"/>
      <w:lang w:val="en-US" w:eastAsia="zh-CN"/>
    </w:rPr>
  </w:style>
  <w:style w:type="character" w:customStyle="1" w:styleId="211">
    <w:name w:val="附录标题2 Char Char"/>
    <w:link w:val="212"/>
    <w:uiPriority w:val="0"/>
    <w:rPr>
      <w:rFonts w:ascii="Arial" w:hAnsi="Arial" w:eastAsia="黑体"/>
      <w:kern w:val="2"/>
      <w:sz w:val="21"/>
    </w:rPr>
  </w:style>
  <w:style w:type="paragraph" w:customStyle="1" w:styleId="212">
    <w:name w:val="附录标题2"/>
    <w:basedOn w:val="4"/>
    <w:next w:val="73"/>
    <w:link w:val="21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13">
    <w:name w:val="正文首行缩进 Char"/>
    <w:basedOn w:val="105"/>
    <w:link w:val="73"/>
    <w:uiPriority w:val="0"/>
    <w:rPr>
      <w:sz w:val="21"/>
    </w:rPr>
  </w:style>
  <w:style w:type="character" w:customStyle="1" w:styleId="214">
    <w:name w:val="样式1 悬挂缩进: 4 字符 段前: 0.1 行，小五 Char Char"/>
    <w:link w:val="215"/>
    <w:uiPriority w:val="0"/>
    <w:rPr>
      <w:kern w:val="2"/>
      <w:sz w:val="18"/>
    </w:rPr>
  </w:style>
  <w:style w:type="paragraph" w:customStyle="1" w:styleId="215">
    <w:name w:val="样式1 悬挂缩进: 4 字符 段前: 0.1 行，小五"/>
    <w:basedOn w:val="1"/>
    <w:link w:val="214"/>
    <w:uiPriority w:val="0"/>
    <w:pPr>
      <w:spacing w:beforeLines="10" w:line="312" w:lineRule="auto"/>
      <w:ind w:left="400" w:leftChars="400"/>
    </w:pPr>
    <w:rPr>
      <w:rFonts w:ascii="Calibri" w:hAnsi="Calibri"/>
      <w:sz w:val="18"/>
    </w:rPr>
  </w:style>
  <w:style w:type="character" w:customStyle="1" w:styleId="216">
    <w:name w:val="附录三 Char Char"/>
    <w:link w:val="217"/>
    <w:uiPriority w:val="0"/>
    <w:rPr>
      <w:rFonts w:ascii="E-F1" w:eastAsia="黑体"/>
      <w:kern w:val="21"/>
      <w:sz w:val="21"/>
    </w:rPr>
  </w:style>
  <w:style w:type="paragraph" w:customStyle="1" w:styleId="217">
    <w:name w:val="附录三"/>
    <w:basedOn w:val="1"/>
    <w:link w:val="216"/>
    <w:uiPriority w:val="0"/>
    <w:pPr>
      <w:tabs>
        <w:tab w:val="center" w:pos="4706"/>
        <w:tab w:val="right" w:pos="9072"/>
      </w:tabs>
      <w:spacing w:before="120" w:after="60" w:line="312" w:lineRule="exact"/>
    </w:pPr>
    <w:rPr>
      <w:rFonts w:ascii="E-F1" w:hAnsi="Calibri" w:eastAsia="黑体"/>
      <w:kern w:val="21"/>
    </w:rPr>
  </w:style>
  <w:style w:type="character" w:customStyle="1" w:styleId="218">
    <w:name w:val="SoDA Field"/>
    <w:uiPriority w:val="0"/>
    <w:rPr>
      <w:color w:val="0000FF"/>
    </w:rPr>
  </w:style>
  <w:style w:type="character" w:customStyle="1" w:styleId="219">
    <w:name w:val="样式1 样式 标题 2 + 段前: 0行 Char Char"/>
    <w:uiPriority w:val="0"/>
    <w:rPr>
      <w:rFonts w:eastAsia="黑体"/>
      <w:b/>
      <w:kern w:val="2"/>
      <w:sz w:val="21"/>
      <w:lang w:val="en-US" w:eastAsia="zh-CN"/>
    </w:rPr>
  </w:style>
  <w:style w:type="character" w:customStyle="1" w:styleId="220">
    <w:name w:val="_标准条文 Char Char"/>
    <w:link w:val="221"/>
    <w:uiPriority w:val="0"/>
    <w:rPr>
      <w:rFonts w:ascii="Arial" w:hAnsi="Arial"/>
      <w:kern w:val="2"/>
      <w:sz w:val="21"/>
    </w:rPr>
  </w:style>
  <w:style w:type="paragraph" w:customStyle="1" w:styleId="221">
    <w:name w:val="_标准条文"/>
    <w:basedOn w:val="1"/>
    <w:link w:val="220"/>
    <w:qFormat/>
    <w:uiPriority w:val="0"/>
    <w:pPr>
      <w:overflowPunct w:val="0"/>
      <w:snapToGrid w:val="0"/>
      <w:spacing w:line="276" w:lineRule="auto"/>
      <w:ind w:firstLine="420" w:firstLineChars="200"/>
    </w:pPr>
    <w:rPr>
      <w:rFonts w:ascii="Arial" w:hAnsi="Arial"/>
    </w:rPr>
  </w:style>
  <w:style w:type="character" w:customStyle="1" w:styleId="222">
    <w:name w:val="标语"/>
    <w:uiPriority w:val="0"/>
    <w:rPr>
      <w:i/>
      <w:spacing w:val="-6"/>
      <w:sz w:val="24"/>
    </w:rPr>
  </w:style>
  <w:style w:type="character" w:customStyle="1" w:styleId="223">
    <w:name w:val="short_text1"/>
    <w:uiPriority w:val="0"/>
    <w:rPr>
      <w:sz w:val="29"/>
    </w:rPr>
  </w:style>
  <w:style w:type="character" w:customStyle="1" w:styleId="224">
    <w:name w:val="H3 Char"/>
    <w:uiPriority w:val="0"/>
    <w:rPr>
      <w:rFonts w:eastAsia="宋体"/>
      <w:b/>
      <w:kern w:val="2"/>
      <w:sz w:val="32"/>
      <w:lang w:val="en-US" w:eastAsia="zh-CN"/>
    </w:rPr>
  </w:style>
  <w:style w:type="character" w:customStyle="1" w:styleId="225">
    <w:name w:val="样式 样式 样式 标题 2 + 段前: 0.1 行 + 段前: 0.1 行 + Times New Roman Char Char"/>
    <w:basedOn w:val="219"/>
    <w:link w:val="226"/>
    <w:uiPriority w:val="0"/>
  </w:style>
  <w:style w:type="paragraph" w:customStyle="1" w:styleId="226">
    <w:name w:val="样式 样式 样式 标题 2 + 段前: 0.1 行 + 段前: 0.1 行 + Times New Roman"/>
    <w:basedOn w:val="227"/>
    <w:link w:val="225"/>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227">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28">
    <w:name w:val="样式 目录 1 + 首行缩进:  0.74 厘米"/>
    <w:basedOn w:val="51"/>
    <w:uiPriority w:val="0"/>
    <w:pPr>
      <w:spacing w:beforeLines="10" w:line="312" w:lineRule="auto"/>
    </w:pPr>
    <w:rPr>
      <w:bCs w:val="0"/>
    </w:rPr>
  </w:style>
  <w:style w:type="paragraph" w:customStyle="1" w:styleId="229">
    <w:name w:val="三级无标题条"/>
    <w:basedOn w:val="1"/>
    <w:uiPriority w:val="0"/>
    <w:pPr>
      <w:numPr>
        <w:ilvl w:val="4"/>
        <w:numId w:val="2"/>
      </w:numPr>
    </w:pPr>
    <w:rPr>
      <w:b/>
    </w:rPr>
  </w:style>
  <w:style w:type="paragraph" w:customStyle="1" w:styleId="230">
    <w:name w:val="样式 样式 正文文本 2 + 段前: 0.1 行 + 悬挂缩进: 0.03 字符 段后: 1.2 磅 行距: 单倍行距"/>
    <w:basedOn w:val="231"/>
    <w:uiPriority w:val="0"/>
  </w:style>
  <w:style w:type="paragraph" w:customStyle="1" w:styleId="231">
    <w:name w:val="样式 正文文本 2 + 段前: 0.1 行"/>
    <w:basedOn w:val="66"/>
    <w:uiPriority w:val="0"/>
    <w:pPr>
      <w:spacing w:beforeLines="10" w:after="0" w:line="264" w:lineRule="auto"/>
      <w:jc w:val="left"/>
    </w:pPr>
    <w:rPr>
      <w:sz w:val="18"/>
    </w:rPr>
  </w:style>
  <w:style w:type="character" w:customStyle="1" w:styleId="232">
    <w:name w:val="正文首行缩进 2 Char"/>
    <w:basedOn w:val="106"/>
    <w:link w:val="74"/>
    <w:uiPriority w:val="0"/>
    <w:rPr>
      <w:rFonts w:ascii="Times New Roman" w:hAnsi="Times New Roman"/>
      <w:sz w:val="21"/>
    </w:rPr>
  </w:style>
  <w:style w:type="paragraph" w:customStyle="1" w:styleId="233">
    <w:name w:val="样式 正文（首行缩进两字） Char + 黑色 首行缩进:  2 字符 段前: 0.1 行"/>
    <w:basedOn w:val="190"/>
    <w:uiPriority w:val="0"/>
    <w:pPr>
      <w:spacing w:before="24" w:afterLines="10"/>
      <w:ind w:firstLine="200"/>
    </w:pPr>
    <w:rPr>
      <w:color w:val="000000"/>
    </w:rPr>
  </w:style>
  <w:style w:type="paragraph" w:customStyle="1" w:styleId="234">
    <w:name w:val="四级无标题条"/>
    <w:basedOn w:val="1"/>
    <w:uiPriority w:val="0"/>
    <w:pPr>
      <w:numPr>
        <w:ilvl w:val="5"/>
        <w:numId w:val="2"/>
      </w:numPr>
    </w:pPr>
    <w:rPr>
      <w:rFonts w:eastAsia="黑体"/>
      <w:b/>
    </w:rPr>
  </w:style>
  <w:style w:type="paragraph" w:customStyle="1" w:styleId="235">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36">
    <w:name w:val="图片"/>
    <w:basedOn w:val="1"/>
    <w:uiPriority w:val="0"/>
    <w:pPr>
      <w:topLinePunct/>
      <w:snapToGrid w:val="0"/>
      <w:spacing w:before="160" w:after="60"/>
      <w:jc w:val="center"/>
    </w:pPr>
  </w:style>
  <w:style w:type="character" w:customStyle="1" w:styleId="237">
    <w:name w:val="宏文本 Char"/>
    <w:basedOn w:val="77"/>
    <w:link w:val="2"/>
    <w:uiPriority w:val="0"/>
    <w:rPr>
      <w:rFonts w:ascii="Courier New" w:hAnsi="Courier New"/>
      <w:sz w:val="21"/>
    </w:rPr>
  </w:style>
  <w:style w:type="character" w:customStyle="1" w:styleId="238">
    <w:name w:val="标题 Char"/>
    <w:basedOn w:val="77"/>
    <w:link w:val="57"/>
    <w:uiPriority w:val="0"/>
    <w:rPr>
      <w:rFonts w:ascii="Arial" w:hAnsi="Arial"/>
      <w:b/>
      <w:kern w:val="2"/>
      <w:sz w:val="32"/>
    </w:rPr>
  </w:style>
  <w:style w:type="paragraph" w:customStyle="1" w:styleId="239">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40">
    <w:name w:val="样式1 样式 标题 5 + 段前: 0 行"/>
    <w:basedOn w:val="241"/>
    <w:next w:val="1"/>
    <w:uiPriority w:val="0"/>
    <w:pPr>
      <w:tabs>
        <w:tab w:val="left" w:pos="0"/>
        <w:tab w:val="left" w:pos="210"/>
        <w:tab w:val="left" w:pos="1050"/>
        <w:tab w:val="left" w:pos="1080"/>
      </w:tabs>
      <w:spacing w:beforeLines="0" w:line="276" w:lineRule="auto"/>
    </w:pPr>
  </w:style>
  <w:style w:type="paragraph" w:customStyle="1" w:styleId="241">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character" w:customStyle="1" w:styleId="242">
    <w:name w:val="HTML 地址 Char"/>
    <w:basedOn w:val="77"/>
    <w:link w:val="37"/>
    <w:uiPriority w:val="0"/>
    <w:rPr>
      <w:rFonts w:ascii="Times New Roman" w:hAnsi="Times New Roman"/>
      <w:i/>
      <w:kern w:val="2"/>
      <w:sz w:val="21"/>
    </w:rPr>
  </w:style>
  <w:style w:type="paragraph" w:customStyle="1" w:styleId="243">
    <w:name w:val="样式 正文（首行缩进两字） Char + 首行缩进:  2 字符"/>
    <w:basedOn w:val="190"/>
    <w:uiPriority w:val="0"/>
    <w:pPr>
      <w:spacing w:afterLines="10"/>
      <w:ind w:firstLine="200"/>
      <w:jc w:val="center"/>
    </w:pPr>
    <w:rPr>
      <w:b/>
    </w:rPr>
  </w:style>
  <w:style w:type="paragraph" w:customStyle="1" w:styleId="244">
    <w:name w:val="样式 首行缩进:  0 厘米 行距: 单倍行距"/>
    <w:basedOn w:val="1"/>
    <w:uiPriority w:val="0"/>
    <w:pPr>
      <w:adjustRightInd w:val="0"/>
      <w:textAlignment w:val="baseline"/>
    </w:pPr>
    <w:rPr>
      <w:kern w:val="0"/>
    </w:rPr>
  </w:style>
  <w:style w:type="paragraph" w:customStyle="1" w:styleId="245">
    <w:name w:val="样式 样式 样式 首行缩进:  0.77 厘米 段前: 0.1 行 + 首行缩进:  2 字符 段前: 0.1 行 + 首行缩进..."/>
    <w:basedOn w:val="246"/>
    <w:uiPriority w:val="0"/>
    <w:pPr>
      <w:ind w:firstLine="420"/>
    </w:pPr>
  </w:style>
  <w:style w:type="paragraph" w:customStyle="1" w:styleId="246">
    <w:name w:val="样式 样式 首行缩进:  0.77 厘米 段前: 0.1 行 + 首行缩进:  2 字符 段前: 0.1 行"/>
    <w:basedOn w:val="1"/>
    <w:uiPriority w:val="0"/>
    <w:pPr>
      <w:spacing w:line="276" w:lineRule="auto"/>
      <w:ind w:firstLine="200" w:firstLineChars="200"/>
    </w:pPr>
  </w:style>
  <w:style w:type="character" w:customStyle="1" w:styleId="247">
    <w:name w:val="脚注文本 Char"/>
    <w:basedOn w:val="77"/>
    <w:link w:val="58"/>
    <w:uiPriority w:val="0"/>
    <w:rPr>
      <w:rFonts w:ascii="Times New Roman" w:hAnsi="Times New Roman"/>
      <w:kern w:val="2"/>
      <w:sz w:val="18"/>
    </w:rPr>
  </w:style>
  <w:style w:type="paragraph" w:customStyle="1" w:styleId="248">
    <w:name w:val="术语定义三级条标题"/>
    <w:basedOn w:val="249"/>
    <w:next w:val="147"/>
    <w:uiPriority w:val="0"/>
    <w:pPr>
      <w:tabs>
        <w:tab w:val="left" w:pos="420"/>
        <w:tab w:val="left" w:pos="735"/>
        <w:tab w:val="left" w:pos="1575"/>
      </w:tabs>
      <w:ind w:left="1575"/>
    </w:pPr>
  </w:style>
  <w:style w:type="paragraph" w:customStyle="1" w:styleId="249">
    <w:name w:val="术语定义条标题"/>
    <w:basedOn w:val="250"/>
    <w:next w:val="147"/>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0">
    <w:name w:val="章标题"/>
    <w:next w:val="147"/>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1">
    <w:name w:val="其他发布部门"/>
    <w:basedOn w:val="252"/>
    <w:uiPriority w:val="0"/>
    <w:pPr>
      <w:spacing w:line="0" w:lineRule="atLeast"/>
    </w:pPr>
    <w:rPr>
      <w:rFonts w:ascii="黑体" w:eastAsia="黑体"/>
      <w:b w:val="0"/>
    </w:rPr>
  </w:style>
  <w:style w:type="paragraph" w:customStyle="1" w:styleId="252">
    <w:name w:val="发布部门"/>
    <w:next w:val="147"/>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character" w:customStyle="1" w:styleId="254">
    <w:name w:val="尾注文本 Char"/>
    <w:basedOn w:val="77"/>
    <w:link w:val="46"/>
    <w:uiPriority w:val="0"/>
    <w:rPr>
      <w:rFonts w:ascii="Arial" w:hAnsi="Arial"/>
      <w:sz w:val="18"/>
    </w:rPr>
  </w:style>
  <w:style w:type="character" w:customStyle="1" w:styleId="255">
    <w:name w:val="注释标题 Char"/>
    <w:basedOn w:val="77"/>
    <w:link w:val="17"/>
    <w:uiPriority w:val="0"/>
    <w:rPr>
      <w:rFonts w:ascii="Arial" w:hAnsi="Arial" w:eastAsia="黑体"/>
      <w:kern w:val="2"/>
      <w:sz w:val="21"/>
    </w:rPr>
  </w:style>
  <w:style w:type="paragraph" w:customStyle="1" w:styleId="256">
    <w:name w:val="正文文字样式"/>
    <w:basedOn w:val="1"/>
    <w:uiPriority w:val="0"/>
    <w:pPr>
      <w:spacing w:line="480" w:lineRule="exact"/>
      <w:ind w:firstLine="480" w:firstLineChars="200"/>
    </w:pPr>
    <w:rPr>
      <w:sz w:val="24"/>
    </w:rPr>
  </w:style>
  <w:style w:type="paragraph" w:customStyle="1" w:styleId="257">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58">
    <w:name w:val="朱1"/>
    <w:basedOn w:val="149"/>
    <w:uiPriority w:val="0"/>
  </w:style>
  <w:style w:type="paragraph" w:customStyle="1" w:styleId="259">
    <w:name w:val="CM40"/>
    <w:basedOn w:val="260"/>
    <w:next w:val="260"/>
    <w:uiPriority w:val="0"/>
    <w:pPr>
      <w:spacing w:line="320" w:lineRule="atLeast"/>
    </w:pPr>
    <w:rPr>
      <w:rFonts w:ascii="Times New Roman"/>
      <w:color w:val="auto"/>
    </w:rPr>
  </w:style>
  <w:style w:type="paragraph" w:customStyle="1" w:styleId="260">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1">
    <w:name w:val="样式1 样式 编号 a + Times New Roman 段前: 0 行 行距: 多倍行距 1.15 字行 + 左侧... + ..."/>
    <w:basedOn w:val="262"/>
    <w:uiPriority w:val="0"/>
    <w:pPr>
      <w:spacing w:before="0" w:afterLines="0"/>
      <w:ind w:left="620" w:hanging="200" w:hangingChars="200"/>
    </w:pPr>
  </w:style>
  <w:style w:type="paragraph" w:customStyle="1" w:styleId="262">
    <w:name w:val="样式 编号 a + Times New Roman 段前: 0 行 行距: 多倍行距 1.15 字行 + 左侧..."/>
    <w:basedOn w:val="190"/>
    <w:next w:val="263"/>
    <w:uiPriority w:val="0"/>
    <w:pPr>
      <w:spacing w:before="24" w:afterLines="10"/>
      <w:ind w:firstLine="0" w:firstLineChars="0"/>
    </w:pPr>
  </w:style>
  <w:style w:type="paragraph" w:customStyle="1" w:styleId="263">
    <w:name w:val="样式1-4 Times New Roman行距: 多倍行距 1.15 字行 + 左侧:  4 字符"/>
    <w:basedOn w:val="264"/>
    <w:uiPriority w:val="0"/>
    <w:pPr>
      <w:tabs>
        <w:tab w:val="left" w:pos="315"/>
      </w:tabs>
      <w:ind w:left="840" w:leftChars="400"/>
    </w:pPr>
  </w:style>
  <w:style w:type="paragraph" w:customStyle="1" w:styleId="264">
    <w:name w:val="样式 Times New Roman 段前: 0.1 行 行距: 多倍行距 1.2 字行"/>
    <w:basedOn w:val="1"/>
    <w:uiPriority w:val="0"/>
    <w:pPr>
      <w:spacing w:line="276" w:lineRule="auto"/>
      <w:ind w:left="420" w:leftChars="200"/>
    </w:pPr>
  </w:style>
  <w:style w:type="paragraph" w:customStyle="1" w:styleId="265">
    <w:name w:val="图表脚注"/>
    <w:next w:val="147"/>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266">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7">
    <w:name w:val="图说"/>
    <w:basedOn w:val="1"/>
    <w:uiPriority w:val="0"/>
    <w:pPr>
      <w:topLinePunct/>
      <w:spacing w:before="60" w:after="160"/>
      <w:jc w:val="center"/>
    </w:pPr>
    <w:rPr>
      <w:sz w:val="18"/>
    </w:rPr>
  </w:style>
  <w:style w:type="paragraph" w:customStyle="1" w:styleId="268">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69">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70">
    <w:name w:val="默认段落字体 Para Char Char Char Char"/>
    <w:basedOn w:val="1"/>
    <w:uiPriority w:val="0"/>
  </w:style>
  <w:style w:type="paragraph" w:customStyle="1" w:styleId="271">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3">
    <w:name w:val="正文_配电_小四"/>
    <w:basedOn w:val="1"/>
    <w:uiPriority w:val="0"/>
    <w:pPr>
      <w:spacing w:line="360" w:lineRule="auto"/>
      <w:ind w:firstLine="200" w:firstLineChars="200"/>
    </w:pPr>
    <w:rPr>
      <w:rFonts w:ascii="宋体" w:hAnsi="宋体"/>
      <w:kern w:val="0"/>
      <w:sz w:val="24"/>
    </w:rPr>
  </w:style>
  <w:style w:type="character" w:customStyle="1" w:styleId="274">
    <w:name w:val="副标题 Char"/>
    <w:basedOn w:val="77"/>
    <w:link w:val="56"/>
    <w:uiPriority w:val="0"/>
    <w:rPr>
      <w:rFonts w:ascii="Arial" w:hAnsi="Arial" w:eastAsia="黑体"/>
      <w:kern w:val="2"/>
      <w:sz w:val="48"/>
    </w:rPr>
  </w:style>
  <w:style w:type="character" w:customStyle="1" w:styleId="275">
    <w:name w:val="HTML 预设格式 Char"/>
    <w:basedOn w:val="77"/>
    <w:link w:val="68"/>
    <w:uiPriority w:val="0"/>
    <w:rPr>
      <w:rFonts w:ascii="Courier New" w:hAnsi="Courier New"/>
      <w:kern w:val="2"/>
    </w:rPr>
  </w:style>
  <w:style w:type="paragraph" w:customStyle="1" w:styleId="276">
    <w:name w:val="样式1 标题 3 + 段前: 0.1 行 + 段前: 0.1 行 + 段前: 0.5 行 段后: 0.5 行"/>
    <w:basedOn w:val="277"/>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0"/>
    <w:next w:val="260"/>
    <w:uiPriority w:val="0"/>
    <w:rPr>
      <w:rFonts w:ascii="Times New Roman"/>
      <w:color w:val="auto"/>
    </w:rPr>
  </w:style>
  <w:style w:type="paragraph" w:customStyle="1" w:styleId="279">
    <w:name w:val="a"/>
    <w:basedOn w:val="280"/>
    <w:uiPriority w:val="0"/>
    <w:pPr>
      <w:tabs>
        <w:tab w:val="left" w:pos="210"/>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360"/>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47"/>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47"/>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47"/>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47"/>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47"/>
    <w:uiPriority w:val="0"/>
    <w:pPr>
      <w:outlineLvl w:val="6"/>
    </w:pPr>
  </w:style>
  <w:style w:type="paragraph" w:customStyle="1" w:styleId="307">
    <w:name w:val="附录四级条标题"/>
    <w:basedOn w:val="308"/>
    <w:next w:val="147"/>
    <w:uiPriority w:val="0"/>
    <w:pPr>
      <w:outlineLvl w:val="5"/>
    </w:pPr>
  </w:style>
  <w:style w:type="paragraph" w:customStyle="1" w:styleId="308">
    <w:name w:val="附录三级条标题"/>
    <w:basedOn w:val="309"/>
    <w:next w:val="147"/>
    <w:uiPriority w:val="0"/>
    <w:pPr>
      <w:outlineLvl w:val="4"/>
    </w:pPr>
  </w:style>
  <w:style w:type="paragraph" w:customStyle="1" w:styleId="309">
    <w:name w:val="附录二级条标题"/>
    <w:basedOn w:val="310"/>
    <w:next w:val="147"/>
    <w:uiPriority w:val="0"/>
    <w:pPr>
      <w:outlineLvl w:val="3"/>
    </w:pPr>
  </w:style>
  <w:style w:type="paragraph" w:customStyle="1" w:styleId="310">
    <w:name w:val="附录一级条标题"/>
    <w:basedOn w:val="311"/>
    <w:next w:val="147"/>
    <w:uiPriority w:val="0"/>
    <w:pPr>
      <w:autoSpaceDN w:val="0"/>
      <w:spacing w:beforeLines="0" w:afterLines="0"/>
      <w:outlineLvl w:val="2"/>
    </w:pPr>
  </w:style>
  <w:style w:type="paragraph" w:customStyle="1" w:styleId="311">
    <w:name w:val="附录章标题"/>
    <w:next w:val="147"/>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47"/>
    <w:uiPriority w:val="0"/>
    <w:pPr>
      <w:numPr>
        <w:ilvl w:val="1"/>
        <w:numId w:val="5"/>
      </w:numPr>
      <w:tabs>
        <w:tab w:val="left" w:pos="1260"/>
      </w:tabs>
      <w:ind w:leftChars="0" w:firstLineChars="0"/>
    </w:pPr>
  </w:style>
  <w:style w:type="paragraph" w:customStyle="1" w:styleId="317">
    <w:name w:val="引言一级条标题"/>
    <w:basedOn w:val="1"/>
    <w:next w:val="147"/>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21"/>
    <w:uiPriority w:val="0"/>
    <w:pPr>
      <w:snapToGrid w:val="0"/>
      <w:spacing w:beforeLines="15" w:afterLines="15"/>
      <w:jc w:val="center"/>
    </w:pPr>
    <w:rPr>
      <w:sz w:val="21"/>
    </w:rPr>
  </w:style>
  <w:style w:type="paragraph" w:customStyle="1" w:styleId="324">
    <w:name w:val="四级条标题"/>
    <w:basedOn w:val="325"/>
    <w:next w:val="147"/>
    <w:uiPriority w:val="0"/>
    <w:pPr>
      <w:tabs>
        <w:tab w:val="left" w:pos="-1080"/>
      </w:tabs>
      <w:outlineLvl w:val="5"/>
    </w:pPr>
  </w:style>
  <w:style w:type="paragraph" w:customStyle="1" w:styleId="325">
    <w:name w:val="三级条标题"/>
    <w:basedOn w:val="163"/>
    <w:next w:val="147"/>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69"/>
    <w:next w:val="147"/>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48">
    <w:name w:val="无标题条"/>
    <w:next w:val="147"/>
    <w:uiPriority w:val="0"/>
    <w:pPr>
      <w:jc w:val="both"/>
    </w:pPr>
    <w:rPr>
      <w:rFonts w:ascii="Times New Roman" w:hAnsi="Times New Roman" w:eastAsia="宋体" w:cs="Times New Roman"/>
      <w:sz w:val="21"/>
      <w:lang w:val="en-US" w:eastAsia="zh-CN" w:bidi="ar-SA"/>
    </w:rPr>
  </w:style>
  <w:style w:type="paragraph" w:customStyle="1" w:styleId="349">
    <w:name w:val="朱公式"/>
    <w:basedOn w:val="19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19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27"/>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1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7"/>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65"/>
    <w:next w:val="147"/>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190"/>
    <w:next w:val="19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280"/>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27"/>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19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31"/>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31"/>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0">
    <w:name w:val="五级条标题"/>
    <w:basedOn w:val="324"/>
    <w:next w:val="147"/>
    <w:uiPriority w:val="0"/>
    <w:pPr>
      <w:outlineLvl w:val="6"/>
    </w:pPr>
  </w:style>
  <w:style w:type="paragraph" w:customStyle="1" w:styleId="381">
    <w:name w:val="术语定义五级条标题"/>
    <w:basedOn w:val="250"/>
    <w:next w:val="147"/>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69"/>
    <w:next w:val="1"/>
    <w:uiPriority w:val="0"/>
    <w:pPr>
      <w:spacing w:after="200"/>
    </w:pPr>
    <w:rPr>
      <w:sz w:val="21"/>
    </w:rPr>
  </w:style>
  <w:style w:type="paragraph" w:customStyle="1" w:styleId="384">
    <w:name w:val="样式 标题 5 + 段前: 0.1 行2"/>
    <w:basedOn w:val="240"/>
    <w:next w:val="240"/>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86">
    <w:name w:val=".."/>
    <w:basedOn w:val="260"/>
    <w:next w:val="260"/>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47"/>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89">
    <w:name w:val="附录表标题"/>
    <w:next w:val="147"/>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64"/>
    <w:next w:val="147"/>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1"/>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31"/>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47"/>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05">
    <w:name w:val="样式 章标题 + 小四 段前: 0.5 行 段后: 0.5 行"/>
    <w:basedOn w:val="250"/>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0"/>
    <w:next w:val="260"/>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49"/>
    <w:next w:val="147"/>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qFormat/>
    <w:uiPriority w:val="0"/>
    <w:pPr>
      <w:spacing w:line="240" w:lineRule="atLeast"/>
      <w:ind w:left="420" w:firstLine="420"/>
    </w:pPr>
    <w:rPr>
      <w:kern w:val="0"/>
    </w:rPr>
  </w:style>
  <w:style w:type="paragraph" w:customStyle="1" w:styleId="417">
    <w:name w:val="样式 样式2 + 右侧:  1 字符"/>
    <w:basedOn w:val="153"/>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1"/>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47"/>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19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0">
    <w:name w:val="CM56"/>
    <w:basedOn w:val="260"/>
    <w:next w:val="260"/>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69"/>
    <w:next w:val="147"/>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47"/>
    <w:uiPriority w:val="0"/>
    <w:pPr>
      <w:autoSpaceDE/>
      <w:autoSpaceDN/>
      <w:snapToGrid w:val="0"/>
      <w:spacing w:line="300" w:lineRule="auto"/>
    </w:pPr>
    <w:rPr>
      <w:rFonts w:ascii="Verdana" w:hAnsi="Verdana"/>
      <w:color w:val="111111"/>
      <w:sz w:val="24"/>
    </w:rPr>
  </w:style>
  <w:style w:type="paragraph" w:customStyle="1" w:styleId="435">
    <w:name w:val="朱表头"/>
    <w:basedOn w:val="131"/>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53">
    <w:name w:val="样式1 样式 编号 a + Times New Roman 段前: 0 行 行距: 多倍行距 1.15 字行 + 左侧....."/>
    <w:basedOn w:val="261"/>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49"/>
    <w:next w:val="147"/>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47"/>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0"/>
    <w:next w:val="260"/>
    <w:uiPriority w:val="0"/>
    <w:rPr>
      <w:rFonts w:ascii="Times New Roman"/>
      <w:color w:val="auto"/>
    </w:rPr>
  </w:style>
  <w:style w:type="paragraph" w:customStyle="1" w:styleId="471">
    <w:name w:val="附录图标题"/>
    <w:next w:val="147"/>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19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7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47"/>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69"/>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8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19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05">
    <w:name w:val="_Style 504"/>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23">
    <w:name w:val="Normal_1_0_0"/>
    <w:basedOn w:val="1"/>
    <w:qFormat/>
    <w:uiPriority w:val="0"/>
    <w:rPr>
      <w:kern w:val="0"/>
      <w:sz w:val="20"/>
    </w:rPr>
  </w:style>
  <w:style w:type="paragraph" w:customStyle="1" w:styleId="524">
    <w:name w:val="Default Paragraph Font Para Char"/>
    <w:basedOn w:val="1"/>
    <w:uiPriority w:val="0"/>
    <w:pPr>
      <w:widowControl/>
      <w:spacing w:after="160" w:line="240" w:lineRule="exact"/>
      <w:jc w:val="left"/>
    </w:pPr>
    <w:rPr>
      <w:szCs w:val="24"/>
    </w:rPr>
  </w:style>
  <w:style w:type="paragraph" w:customStyle="1" w:styleId="525">
    <w:name w:val="正文文本缩进 3_0"/>
    <w:basedOn w:val="516"/>
    <w:qFormat/>
    <w:uiPriority w:val="0"/>
    <w:pPr>
      <w:widowControl/>
      <w:spacing w:after="120"/>
      <w:ind w:left="420" w:leftChars="200"/>
      <w:jc w:val="left"/>
    </w:pPr>
    <w:rPr>
      <w:sz w:val="16"/>
      <w:szCs w:val="16"/>
    </w:rPr>
  </w:style>
  <w:style w:type="paragraph" w:customStyle="1" w:styleId="526">
    <w:name w:val="Normal_0"/>
    <w:qFormat/>
    <w:uiPriority w:val="0"/>
    <w:rPr>
      <w:rFonts w:ascii="黑体" w:hAnsi="黑体" w:eastAsia="黑体" w:cs="Times New Roman"/>
      <w:b/>
      <w:sz w:val="32"/>
      <w:szCs w:val="24"/>
      <w:lang w:val="en-US" w:eastAsia="zh-CN" w:bidi="ar-SA"/>
    </w:rPr>
  </w:style>
  <w:style w:type="character" w:customStyle="1" w:styleId="527">
    <w:name w:val="font61"/>
    <w:basedOn w:val="77"/>
    <w:qFormat/>
    <w:uiPriority w:val="0"/>
    <w:rPr>
      <w:rFonts w:hint="eastAsia" w:ascii="微软雅黑" w:hAnsi="微软雅黑" w:eastAsia="微软雅黑" w:cs="微软雅黑"/>
      <w:color w:val="000000"/>
      <w:sz w:val="22"/>
      <w:szCs w:val="22"/>
      <w:u w:val="none"/>
    </w:rPr>
  </w:style>
  <w:style w:type="character" w:customStyle="1" w:styleId="528">
    <w:name w:val="font21"/>
    <w:basedOn w:val="77"/>
    <w:qFormat/>
    <w:uiPriority w:val="0"/>
    <w:rPr>
      <w:rFonts w:hint="eastAsia" w:ascii="微软雅黑" w:hAnsi="微软雅黑" w:eastAsia="微软雅黑" w:cs="微软雅黑"/>
      <w:color w:val="0070C0"/>
      <w:sz w:val="22"/>
      <w:szCs w:val="22"/>
      <w:u w:val="none"/>
    </w:rPr>
  </w:style>
  <w:style w:type="character" w:customStyle="1" w:styleId="529">
    <w:name w:val="font71"/>
    <w:basedOn w:val="77"/>
    <w:qFormat/>
    <w:uiPriority w:val="0"/>
    <w:rPr>
      <w:rFonts w:hint="eastAsia" w:ascii="微软雅黑" w:hAnsi="微软雅黑" w:eastAsia="微软雅黑" w:cs="微软雅黑"/>
      <w:color w:val="000000"/>
      <w:sz w:val="22"/>
      <w:szCs w:val="22"/>
      <w:u w:val="none"/>
    </w:rPr>
  </w:style>
  <w:style w:type="character" w:customStyle="1" w:styleId="530">
    <w:name w:val="font41"/>
    <w:basedOn w:val="77"/>
    <w:qFormat/>
    <w:uiPriority w:val="0"/>
    <w:rPr>
      <w:rFonts w:hint="eastAsia" w:ascii="微软雅黑" w:hAnsi="微软雅黑" w:eastAsia="微软雅黑" w:cs="微软雅黑"/>
      <w:color w:val="000000"/>
      <w:sz w:val="22"/>
      <w:szCs w:val="22"/>
      <w:u w:val="none"/>
    </w:rPr>
  </w:style>
  <w:style w:type="paragraph" w:customStyle="1" w:styleId="531">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styleId="53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Normal_21_0"/>
    <w:qFormat/>
    <w:uiPriority w:val="0"/>
    <w:rPr>
      <w:rFonts w:ascii="黑体" w:hAnsi="黑体" w:eastAsia="黑体" w:cs="黑体"/>
      <w:b/>
      <w:sz w:val="32"/>
      <w:szCs w:val="24"/>
      <w:lang w:val="en-US" w:eastAsia="zh-CN" w:bidi="ar-SA"/>
    </w:rPr>
  </w:style>
  <w:style w:type="paragraph" w:customStyle="1" w:styleId="534">
    <w:name w:val="标题 2_0_0_0_0"/>
    <w:basedOn w:val="522"/>
    <w:next w:val="522"/>
    <w:qFormat/>
    <w:uiPriority w:val="0"/>
    <w:pPr>
      <w:keepNext/>
      <w:keepLines/>
      <w:spacing w:before="260" w:after="260" w:line="413" w:lineRule="auto"/>
      <w:outlineLvl w:val="1"/>
    </w:pPr>
    <w:rPr>
      <w:rFonts w:ascii="Arial" w:hAnsi="Arial" w:eastAsia="黑体"/>
      <w:b/>
      <w:sz w:val="32"/>
    </w:rPr>
  </w:style>
  <w:style w:type="paragraph" w:customStyle="1" w:styleId="535">
    <w:name w:val="纯文本1_0_0"/>
    <w:basedOn w:val="522"/>
    <w:qFormat/>
    <w:uiPriority w:val="0"/>
    <w:rPr>
      <w:rFonts w:hint="eastAsia" w:ascii="宋体" w:hAnsi="Courier New" w:eastAsia="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3743</Words>
  <Characters>21340</Characters>
  <Lines>177</Lines>
  <Paragraphs>50</Paragraphs>
  <TotalTime>0</TotalTime>
  <ScaleCrop>false</ScaleCrop>
  <LinksUpToDate>false</LinksUpToDate>
  <CharactersWithSpaces>25033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dcterms:modified xsi:type="dcterms:W3CDTF">2021-08-17T08:55:21Z</dcterms:modified>
  <dc:title>宜兴水务集团有限公司</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17DAF638E1CE4DB786B8A07B7E484727</vt:lpwstr>
  </property>
</Properties>
</file>